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23E5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B23E58" w:rsidRPr="00826E28">
            <w:rPr>
              <w:rStyle w:val="a9"/>
              <w:noProof/>
            </w:rPr>
            <w:fldChar w:fldCharType="begin"/>
          </w:r>
          <w:r w:rsidR="00B23E58" w:rsidRPr="00826E28">
            <w:rPr>
              <w:rStyle w:val="a9"/>
              <w:noProof/>
            </w:rPr>
            <w:instrText xml:space="preserve"> </w:instrText>
          </w:r>
          <w:r w:rsidR="00B23E58">
            <w:rPr>
              <w:noProof/>
            </w:rPr>
            <w:instrText>HYPERLINK \l "_Toc139615471"</w:instrText>
          </w:r>
          <w:r w:rsidR="00B23E58" w:rsidRPr="00826E28">
            <w:rPr>
              <w:rStyle w:val="a9"/>
              <w:noProof/>
            </w:rPr>
            <w:instrText xml:space="preserve"> </w:instrText>
          </w:r>
          <w:r w:rsidR="00B23E58" w:rsidRPr="00826E28">
            <w:rPr>
              <w:rStyle w:val="a9"/>
              <w:noProof/>
            </w:rPr>
          </w:r>
          <w:r w:rsidR="00B23E58" w:rsidRPr="00826E28">
            <w:rPr>
              <w:rStyle w:val="a9"/>
              <w:noProof/>
            </w:rPr>
            <w:fldChar w:fldCharType="separate"/>
          </w:r>
          <w:r w:rsidR="00B23E58" w:rsidRPr="00826E28">
            <w:rPr>
              <w:rStyle w:val="a9"/>
              <w:rFonts w:ascii="Times New Roman" w:eastAsia="楷体" w:hAnsi="Times New Roman"/>
              <w:b/>
              <w:noProof/>
            </w:rPr>
            <w:t>[</w:t>
          </w:r>
          <w:r w:rsidR="00B23E58" w:rsidRPr="00826E28">
            <w:rPr>
              <w:rStyle w:val="a9"/>
              <w:rFonts w:ascii="Times New Roman" w:eastAsia="楷体" w:hAnsi="Times New Roman"/>
              <w:b/>
              <w:noProof/>
            </w:rPr>
            <w:t>金融</w:t>
          </w:r>
          <w:r w:rsidR="00B23E58" w:rsidRPr="00826E28">
            <w:rPr>
              <w:rStyle w:val="a9"/>
              <w:rFonts w:ascii="Times New Roman" w:eastAsia="楷体" w:hAnsi="Times New Roman"/>
              <w:b/>
              <w:noProof/>
            </w:rPr>
            <w:t>]</w:t>
          </w:r>
          <w:r w:rsidR="00B23E58" w:rsidRPr="00826E28">
            <w:rPr>
              <w:rStyle w:val="a9"/>
              <w:noProof/>
            </w:rPr>
            <w:fldChar w:fldCharType="end"/>
          </w:r>
        </w:p>
        <w:p w:rsidR="00B23E58" w:rsidRDefault="00B23E58">
          <w:pPr>
            <w:pStyle w:val="23"/>
            <w:tabs>
              <w:tab w:val="right" w:leader="dot" w:pos="8296"/>
            </w:tabs>
            <w:rPr>
              <w:rFonts w:eastAsiaTheme="minorEastAsia"/>
              <w:noProof/>
              <w:szCs w:val="22"/>
            </w:rPr>
          </w:pPr>
          <w:hyperlink w:anchor="_Toc139615472" w:history="1">
            <w:r w:rsidRPr="00826E28">
              <w:rPr>
                <w:rStyle w:val="a9"/>
                <w:rFonts w:ascii="Times New Roman" w:eastAsia="楷体" w:hAnsi="Times New Roman"/>
                <w:b/>
                <w:noProof/>
              </w:rPr>
              <w:t>股指：多单持有</w:t>
            </w:r>
          </w:hyperlink>
        </w:p>
        <w:p w:rsidR="00B23E58" w:rsidRDefault="00B23E58">
          <w:pPr>
            <w:pStyle w:val="11"/>
            <w:tabs>
              <w:tab w:val="right" w:leader="dot" w:pos="8296"/>
            </w:tabs>
            <w:rPr>
              <w:rFonts w:eastAsiaTheme="minorEastAsia"/>
              <w:noProof/>
              <w:szCs w:val="22"/>
            </w:rPr>
          </w:pPr>
          <w:hyperlink w:anchor="_Toc139615473" w:history="1">
            <w:r w:rsidRPr="00826E28">
              <w:rPr>
                <w:rStyle w:val="a9"/>
                <w:rFonts w:ascii="Times New Roman" w:eastAsia="楷体" w:hAnsi="Times New Roman"/>
                <w:b/>
                <w:noProof/>
              </w:rPr>
              <w:t>[</w:t>
            </w:r>
            <w:r w:rsidRPr="00826E28">
              <w:rPr>
                <w:rStyle w:val="a9"/>
                <w:rFonts w:ascii="Times New Roman" w:eastAsia="楷体" w:hAnsi="Times New Roman"/>
                <w:b/>
                <w:noProof/>
              </w:rPr>
              <w:t>贵金属</w:t>
            </w:r>
            <w:r w:rsidRPr="00826E28">
              <w:rPr>
                <w:rStyle w:val="a9"/>
                <w:rFonts w:ascii="Times New Roman" w:eastAsia="楷体" w:hAnsi="Times New Roman"/>
                <w:b/>
                <w:noProof/>
              </w:rPr>
              <w:t>]</w:t>
            </w:r>
          </w:hyperlink>
        </w:p>
        <w:p w:rsidR="00B23E58" w:rsidRDefault="00B23E58">
          <w:pPr>
            <w:pStyle w:val="23"/>
            <w:tabs>
              <w:tab w:val="right" w:leader="dot" w:pos="8296"/>
            </w:tabs>
            <w:rPr>
              <w:rFonts w:eastAsiaTheme="minorEastAsia"/>
              <w:noProof/>
              <w:szCs w:val="22"/>
            </w:rPr>
          </w:pPr>
          <w:hyperlink w:anchor="_Toc139615474" w:history="1">
            <w:r w:rsidRPr="00826E28">
              <w:rPr>
                <w:rStyle w:val="a9"/>
                <w:rFonts w:ascii="Times New Roman" w:eastAsia="楷体" w:hAnsi="Times New Roman"/>
                <w:b/>
                <w:noProof/>
              </w:rPr>
              <w:t>贵金属：美国就业数据表现强势，贵金属价格回落</w:t>
            </w:r>
          </w:hyperlink>
        </w:p>
        <w:p w:rsidR="00B23E58" w:rsidRDefault="00B23E58">
          <w:pPr>
            <w:pStyle w:val="11"/>
            <w:tabs>
              <w:tab w:val="right" w:leader="dot" w:pos="8296"/>
            </w:tabs>
            <w:rPr>
              <w:rFonts w:eastAsiaTheme="minorEastAsia"/>
              <w:noProof/>
              <w:szCs w:val="22"/>
            </w:rPr>
          </w:pPr>
          <w:hyperlink w:anchor="_Toc139615475" w:history="1">
            <w:r w:rsidRPr="00826E28">
              <w:rPr>
                <w:rStyle w:val="a9"/>
                <w:rFonts w:ascii="Times New Roman" w:eastAsia="楷体" w:hAnsi="Times New Roman"/>
                <w:b/>
                <w:noProof/>
              </w:rPr>
              <w:t>[</w:t>
            </w:r>
            <w:r w:rsidRPr="00826E28">
              <w:rPr>
                <w:rStyle w:val="a9"/>
                <w:rFonts w:ascii="Times New Roman" w:eastAsia="楷体" w:hAnsi="Times New Roman"/>
                <w:b/>
                <w:noProof/>
              </w:rPr>
              <w:t>金属</w:t>
            </w:r>
            <w:r w:rsidRPr="00826E28">
              <w:rPr>
                <w:rStyle w:val="a9"/>
                <w:rFonts w:ascii="Times New Roman" w:eastAsia="楷体" w:hAnsi="Times New Roman"/>
                <w:b/>
                <w:noProof/>
              </w:rPr>
              <w:t>]</w:t>
            </w:r>
          </w:hyperlink>
        </w:p>
        <w:p w:rsidR="00B23E58" w:rsidRDefault="00B23E58">
          <w:pPr>
            <w:pStyle w:val="23"/>
            <w:tabs>
              <w:tab w:val="right" w:leader="dot" w:pos="8296"/>
            </w:tabs>
            <w:rPr>
              <w:rFonts w:eastAsiaTheme="minorEastAsia"/>
              <w:noProof/>
              <w:szCs w:val="22"/>
            </w:rPr>
          </w:pPr>
          <w:hyperlink w:anchor="_Toc139615476" w:history="1">
            <w:r w:rsidRPr="00826E28">
              <w:rPr>
                <w:rStyle w:val="a9"/>
                <w:rFonts w:ascii="楷体" w:eastAsia="楷体" w:hAnsi="楷体"/>
                <w:b/>
                <w:noProof/>
              </w:rPr>
              <w:t>螺纹钢：高位继续震荡，关注宏观事件</w:t>
            </w:r>
          </w:hyperlink>
        </w:p>
        <w:p w:rsidR="00B23E58" w:rsidRDefault="00B23E58">
          <w:pPr>
            <w:pStyle w:val="23"/>
            <w:tabs>
              <w:tab w:val="right" w:leader="dot" w:pos="8296"/>
            </w:tabs>
            <w:rPr>
              <w:rFonts w:eastAsiaTheme="minorEastAsia"/>
              <w:noProof/>
              <w:szCs w:val="22"/>
            </w:rPr>
          </w:pPr>
          <w:hyperlink w:anchor="_Toc139615477" w:history="1">
            <w:r w:rsidRPr="00826E28">
              <w:rPr>
                <w:rStyle w:val="a9"/>
                <w:rFonts w:ascii="楷体" w:eastAsia="楷体" w:hAnsi="楷体"/>
                <w:b/>
                <w:noProof/>
              </w:rPr>
              <w:t>焦炭：第一轮提涨落地，盘面震荡中枢上移</w:t>
            </w:r>
          </w:hyperlink>
        </w:p>
        <w:p w:rsidR="00B23E58" w:rsidRDefault="00B23E58">
          <w:pPr>
            <w:pStyle w:val="23"/>
            <w:tabs>
              <w:tab w:val="right" w:leader="dot" w:pos="8296"/>
            </w:tabs>
            <w:rPr>
              <w:rFonts w:eastAsiaTheme="minorEastAsia"/>
              <w:noProof/>
              <w:szCs w:val="22"/>
            </w:rPr>
          </w:pPr>
          <w:hyperlink w:anchor="_Toc139615478" w:history="1">
            <w:r w:rsidRPr="00826E28">
              <w:rPr>
                <w:rStyle w:val="a9"/>
                <w:rFonts w:ascii="楷体" w:eastAsia="楷体" w:hAnsi="楷体"/>
                <w:b/>
                <w:noProof/>
              </w:rPr>
              <w:t>焦煤：焦炭部分提涨落地，煤价震荡中枢上移</w:t>
            </w:r>
          </w:hyperlink>
        </w:p>
        <w:p w:rsidR="00B23E58" w:rsidRDefault="00B23E58">
          <w:pPr>
            <w:pStyle w:val="23"/>
            <w:tabs>
              <w:tab w:val="right" w:leader="dot" w:pos="8296"/>
            </w:tabs>
            <w:rPr>
              <w:rFonts w:eastAsiaTheme="minorEastAsia"/>
              <w:noProof/>
              <w:szCs w:val="22"/>
            </w:rPr>
          </w:pPr>
          <w:hyperlink w:anchor="_Toc139615479" w:history="1">
            <w:r w:rsidRPr="00826E28">
              <w:rPr>
                <w:rStyle w:val="a9"/>
                <w:rFonts w:ascii="楷体" w:eastAsia="楷体" w:hAnsi="楷体"/>
                <w:b/>
                <w:noProof/>
              </w:rPr>
              <w:t>铜：维持高位震荡，关注今晚美国非农数据</w:t>
            </w:r>
          </w:hyperlink>
        </w:p>
        <w:p w:rsidR="00B23E58" w:rsidRDefault="00B23E58">
          <w:pPr>
            <w:pStyle w:val="23"/>
            <w:tabs>
              <w:tab w:val="right" w:leader="dot" w:pos="8296"/>
            </w:tabs>
            <w:rPr>
              <w:rFonts w:eastAsiaTheme="minorEastAsia"/>
              <w:noProof/>
              <w:szCs w:val="22"/>
            </w:rPr>
          </w:pPr>
          <w:hyperlink w:anchor="_Toc139615480" w:history="1">
            <w:r w:rsidRPr="00826E28">
              <w:rPr>
                <w:rStyle w:val="a9"/>
                <w:rFonts w:ascii="楷体" w:eastAsia="楷体" w:hAnsi="楷体"/>
                <w:b/>
                <w:noProof/>
              </w:rPr>
              <w:t>铝：铝市供增需减格局延续，价格区间震荡等待驱动</w:t>
            </w:r>
          </w:hyperlink>
        </w:p>
        <w:p w:rsidR="00B23E58" w:rsidRDefault="00B23E58">
          <w:pPr>
            <w:pStyle w:val="23"/>
            <w:tabs>
              <w:tab w:val="right" w:leader="dot" w:pos="8296"/>
            </w:tabs>
            <w:rPr>
              <w:rFonts w:eastAsiaTheme="minorEastAsia"/>
              <w:noProof/>
              <w:szCs w:val="22"/>
            </w:rPr>
          </w:pPr>
          <w:hyperlink w:anchor="_Toc139615481" w:history="1">
            <w:r w:rsidRPr="00826E28">
              <w:rPr>
                <w:rStyle w:val="a9"/>
                <w:rFonts w:ascii="楷体" w:eastAsia="楷体" w:hAnsi="楷体"/>
                <w:b/>
                <w:noProof/>
              </w:rPr>
              <w:t>锌：基本面供强需弱格局延续，价格仍有下行压力</w:t>
            </w:r>
          </w:hyperlink>
        </w:p>
        <w:p w:rsidR="00B23E58" w:rsidRDefault="00B23E58">
          <w:pPr>
            <w:pStyle w:val="23"/>
            <w:tabs>
              <w:tab w:val="right" w:leader="dot" w:pos="8296"/>
            </w:tabs>
            <w:rPr>
              <w:rFonts w:eastAsiaTheme="minorEastAsia"/>
              <w:noProof/>
              <w:szCs w:val="22"/>
            </w:rPr>
          </w:pPr>
          <w:hyperlink w:anchor="_Toc139615482" w:history="1">
            <w:r w:rsidRPr="00826E28">
              <w:rPr>
                <w:rStyle w:val="a9"/>
                <w:rFonts w:ascii="楷体" w:eastAsia="楷体" w:hAnsi="楷体"/>
                <w:b/>
                <w:noProof/>
              </w:rPr>
              <w:t>镍：反弹后逐步逢高布空</w:t>
            </w:r>
          </w:hyperlink>
        </w:p>
        <w:p w:rsidR="00B23E58" w:rsidRDefault="00B23E58">
          <w:pPr>
            <w:pStyle w:val="23"/>
            <w:tabs>
              <w:tab w:val="right" w:leader="dot" w:pos="8296"/>
            </w:tabs>
            <w:rPr>
              <w:rFonts w:eastAsiaTheme="minorEastAsia"/>
              <w:noProof/>
              <w:szCs w:val="22"/>
            </w:rPr>
          </w:pPr>
          <w:hyperlink w:anchor="_Toc139615483" w:history="1">
            <w:r w:rsidRPr="00826E28">
              <w:rPr>
                <w:rStyle w:val="a9"/>
                <w:rFonts w:ascii="楷体" w:eastAsia="楷体" w:hAnsi="楷体"/>
                <w:b/>
                <w:noProof/>
              </w:rPr>
              <w:t>铅：价格走升但基本面较难支撑，注意回调风险</w:t>
            </w:r>
          </w:hyperlink>
        </w:p>
        <w:p w:rsidR="00B23E58" w:rsidRDefault="00B23E58">
          <w:pPr>
            <w:pStyle w:val="23"/>
            <w:tabs>
              <w:tab w:val="right" w:leader="dot" w:pos="8296"/>
            </w:tabs>
            <w:rPr>
              <w:rFonts w:eastAsiaTheme="minorEastAsia"/>
              <w:noProof/>
              <w:szCs w:val="22"/>
            </w:rPr>
          </w:pPr>
          <w:hyperlink w:anchor="_Toc139615484" w:history="1">
            <w:r w:rsidRPr="00826E28">
              <w:rPr>
                <w:rStyle w:val="a9"/>
                <w:rFonts w:ascii="楷体" w:eastAsia="楷体" w:hAnsi="楷体"/>
                <w:b/>
                <w:noProof/>
              </w:rPr>
              <w:t>不锈钢：基本面无明显矛盾，SS维持区间震荡</w:t>
            </w:r>
          </w:hyperlink>
        </w:p>
        <w:p w:rsidR="00B23E58" w:rsidRDefault="00B23E58">
          <w:pPr>
            <w:pStyle w:val="23"/>
            <w:tabs>
              <w:tab w:val="right" w:leader="dot" w:pos="8296"/>
            </w:tabs>
            <w:rPr>
              <w:rFonts w:eastAsiaTheme="minorEastAsia"/>
              <w:noProof/>
              <w:szCs w:val="22"/>
            </w:rPr>
          </w:pPr>
          <w:hyperlink w:anchor="_Toc139615485" w:history="1">
            <w:r w:rsidRPr="00826E28">
              <w:rPr>
                <w:rStyle w:val="a9"/>
                <w:rFonts w:ascii="楷体" w:eastAsia="楷体" w:hAnsi="楷体"/>
                <w:b/>
                <w:noProof/>
              </w:rPr>
              <w:t>工业硅：云南复产持续推进，市场或将承压运行</w:t>
            </w:r>
          </w:hyperlink>
        </w:p>
        <w:p w:rsidR="00B23E58" w:rsidRDefault="00B23E58">
          <w:pPr>
            <w:pStyle w:val="11"/>
            <w:tabs>
              <w:tab w:val="right" w:leader="dot" w:pos="8296"/>
            </w:tabs>
            <w:rPr>
              <w:rFonts w:eastAsiaTheme="minorEastAsia"/>
              <w:noProof/>
              <w:szCs w:val="22"/>
            </w:rPr>
          </w:pPr>
          <w:hyperlink w:anchor="_Toc139615486" w:history="1">
            <w:r w:rsidRPr="00826E28">
              <w:rPr>
                <w:rStyle w:val="a9"/>
                <w:rFonts w:ascii="Times New Roman" w:eastAsia="楷体" w:hAnsi="Times New Roman"/>
                <w:b/>
                <w:noProof/>
              </w:rPr>
              <w:t>[</w:t>
            </w:r>
            <w:r w:rsidRPr="00826E28">
              <w:rPr>
                <w:rStyle w:val="a9"/>
                <w:rFonts w:ascii="Times New Roman" w:eastAsia="楷体" w:hAnsi="Times New Roman"/>
                <w:b/>
                <w:noProof/>
              </w:rPr>
              <w:t>化工</w:t>
            </w:r>
            <w:r w:rsidRPr="00826E28">
              <w:rPr>
                <w:rStyle w:val="a9"/>
                <w:rFonts w:ascii="Times New Roman" w:eastAsia="楷体" w:hAnsi="Times New Roman"/>
                <w:b/>
                <w:noProof/>
              </w:rPr>
              <w:t>]</w:t>
            </w:r>
          </w:hyperlink>
        </w:p>
        <w:p w:rsidR="00B23E58" w:rsidRDefault="00B23E58">
          <w:pPr>
            <w:pStyle w:val="23"/>
            <w:tabs>
              <w:tab w:val="right" w:leader="dot" w:pos="8296"/>
            </w:tabs>
            <w:rPr>
              <w:rFonts w:eastAsiaTheme="minorEastAsia"/>
              <w:noProof/>
              <w:szCs w:val="22"/>
            </w:rPr>
          </w:pPr>
          <w:hyperlink w:anchor="_Toc139615487" w:history="1">
            <w:r w:rsidRPr="00826E28">
              <w:rPr>
                <w:rStyle w:val="a9"/>
                <w:rFonts w:ascii="Times New Roman" w:eastAsia="楷体" w:hAnsi="Times New Roman"/>
                <w:b/>
                <w:noProof/>
              </w:rPr>
              <w:t>天然橡胶</w:t>
            </w:r>
            <w:r w:rsidRPr="00826E28">
              <w:rPr>
                <w:rStyle w:val="a9"/>
                <w:rFonts w:ascii="Times New Roman" w:eastAsia="楷体" w:hAnsi="Times New Roman"/>
                <w:b/>
                <w:noProof/>
              </w:rPr>
              <w:t>:</w:t>
            </w:r>
            <w:r w:rsidRPr="00826E28">
              <w:rPr>
                <w:rStyle w:val="a9"/>
                <w:rFonts w:ascii="楷体" w:eastAsia="楷体" w:hAnsi="楷体"/>
                <w:b/>
                <w:noProof/>
              </w:rPr>
              <w:t xml:space="preserve"> 收储利好重提厄尔尼诺恐影响泰国产胶量 天胶强势反弹</w:t>
            </w:r>
          </w:hyperlink>
        </w:p>
        <w:p w:rsidR="00B23E58" w:rsidRDefault="00B23E58">
          <w:pPr>
            <w:pStyle w:val="23"/>
            <w:tabs>
              <w:tab w:val="right" w:leader="dot" w:pos="8296"/>
            </w:tabs>
            <w:rPr>
              <w:rFonts w:eastAsiaTheme="minorEastAsia"/>
              <w:noProof/>
              <w:szCs w:val="22"/>
            </w:rPr>
          </w:pPr>
          <w:hyperlink w:anchor="_Toc139615488" w:history="1">
            <w:r w:rsidRPr="00826E28">
              <w:rPr>
                <w:rStyle w:val="a9"/>
                <w:rFonts w:ascii="楷体" w:eastAsia="楷体" w:hAnsi="楷体"/>
                <w:b/>
                <w:noProof/>
              </w:rPr>
              <w:t xml:space="preserve">PTA：供需矛盾不明显 </w:t>
            </w:r>
            <w:r w:rsidRPr="00826E28">
              <w:rPr>
                <w:rStyle w:val="a9"/>
                <w:rFonts w:ascii="Calibri" w:eastAsia="楷体" w:hAnsi="Calibri" w:cs="Calibri"/>
                <w:b/>
                <w:noProof/>
              </w:rPr>
              <w:t> </w:t>
            </w:r>
            <w:r w:rsidRPr="00826E28">
              <w:rPr>
                <w:rStyle w:val="a9"/>
                <w:rFonts w:ascii="楷体" w:eastAsia="楷体" w:hAnsi="楷体"/>
                <w:b/>
                <w:noProof/>
              </w:rPr>
              <w:t>区间操作为主</w:t>
            </w:r>
          </w:hyperlink>
        </w:p>
        <w:p w:rsidR="00B23E58" w:rsidRDefault="00B23E58">
          <w:pPr>
            <w:pStyle w:val="23"/>
            <w:tabs>
              <w:tab w:val="right" w:leader="dot" w:pos="8296"/>
            </w:tabs>
            <w:rPr>
              <w:rFonts w:eastAsiaTheme="minorEastAsia"/>
              <w:noProof/>
              <w:szCs w:val="22"/>
            </w:rPr>
          </w:pPr>
          <w:hyperlink w:anchor="_Toc139615489" w:history="1">
            <w:r w:rsidRPr="00826E28">
              <w:rPr>
                <w:rStyle w:val="a9"/>
                <w:rFonts w:ascii="楷体" w:eastAsia="楷体" w:hAnsi="楷体"/>
                <w:b/>
                <w:noProof/>
              </w:rPr>
              <w:t>PVC：高库存+弱复苏 驱动不足</w:t>
            </w:r>
          </w:hyperlink>
        </w:p>
        <w:p w:rsidR="00B23E58" w:rsidRDefault="00B23E58">
          <w:pPr>
            <w:pStyle w:val="23"/>
            <w:tabs>
              <w:tab w:val="right" w:leader="dot" w:pos="8296"/>
            </w:tabs>
            <w:rPr>
              <w:rFonts w:eastAsiaTheme="minorEastAsia"/>
              <w:noProof/>
              <w:szCs w:val="22"/>
            </w:rPr>
          </w:pPr>
          <w:hyperlink w:anchor="_Toc139615490" w:history="1">
            <w:r w:rsidRPr="00826E28">
              <w:rPr>
                <w:rStyle w:val="a9"/>
                <w:rFonts w:ascii="楷体" w:eastAsia="楷体" w:hAnsi="楷体"/>
                <w:b/>
                <w:noProof/>
              </w:rPr>
              <w:t>聚烯烃：淡季需求持续弱势，聚烯烃价格或偏弱整理</w:t>
            </w:r>
          </w:hyperlink>
        </w:p>
        <w:p w:rsidR="00B23E58" w:rsidRDefault="00B23E58">
          <w:pPr>
            <w:pStyle w:val="23"/>
            <w:tabs>
              <w:tab w:val="right" w:leader="dot" w:pos="8296"/>
            </w:tabs>
            <w:rPr>
              <w:rFonts w:eastAsiaTheme="minorEastAsia"/>
              <w:noProof/>
              <w:szCs w:val="22"/>
            </w:rPr>
          </w:pPr>
          <w:hyperlink w:anchor="_Toc139615491" w:history="1">
            <w:r w:rsidRPr="00826E28">
              <w:rPr>
                <w:rStyle w:val="a9"/>
                <w:rFonts w:ascii="楷体" w:eastAsia="楷体" w:hAnsi="楷体"/>
                <w:b/>
                <w:noProof/>
              </w:rPr>
              <w:t>MEG：上行驱动不足 震荡筑底</w:t>
            </w:r>
          </w:hyperlink>
        </w:p>
        <w:p w:rsidR="00B23E58" w:rsidRDefault="00B23E58">
          <w:pPr>
            <w:pStyle w:val="23"/>
            <w:tabs>
              <w:tab w:val="right" w:leader="dot" w:pos="8296"/>
            </w:tabs>
            <w:rPr>
              <w:rFonts w:eastAsiaTheme="minorEastAsia"/>
              <w:noProof/>
              <w:szCs w:val="22"/>
            </w:rPr>
          </w:pPr>
          <w:hyperlink w:anchor="_Toc139615492" w:history="1">
            <w:r w:rsidRPr="00826E28">
              <w:rPr>
                <w:rStyle w:val="a9"/>
                <w:rFonts w:ascii="楷体" w:eastAsia="楷体" w:hAnsi="楷体"/>
                <w:b/>
                <w:noProof/>
              </w:rPr>
              <w:t>玻璃：产销好转，延续震荡反弹</w:t>
            </w:r>
          </w:hyperlink>
        </w:p>
        <w:p w:rsidR="00B23E58" w:rsidRDefault="00B23E58">
          <w:pPr>
            <w:pStyle w:val="23"/>
            <w:tabs>
              <w:tab w:val="right" w:leader="dot" w:pos="8296"/>
            </w:tabs>
            <w:rPr>
              <w:rFonts w:eastAsiaTheme="minorEastAsia"/>
              <w:noProof/>
              <w:szCs w:val="22"/>
            </w:rPr>
          </w:pPr>
          <w:hyperlink w:anchor="_Toc139615493" w:history="1">
            <w:r w:rsidRPr="00826E28">
              <w:rPr>
                <w:rStyle w:val="a9"/>
                <w:rFonts w:ascii="楷体" w:eastAsia="楷体" w:hAnsi="楷体"/>
                <w:b/>
                <w:noProof/>
              </w:rPr>
              <w:t>纯碱：周内去库，窄幅震荡格局暂未打破</w:t>
            </w:r>
          </w:hyperlink>
        </w:p>
        <w:p w:rsidR="00B23E58" w:rsidRDefault="00B23E58">
          <w:pPr>
            <w:pStyle w:val="11"/>
            <w:tabs>
              <w:tab w:val="right" w:leader="dot" w:pos="8296"/>
            </w:tabs>
            <w:rPr>
              <w:rFonts w:eastAsiaTheme="minorEastAsia"/>
              <w:noProof/>
              <w:szCs w:val="22"/>
            </w:rPr>
          </w:pPr>
          <w:hyperlink w:anchor="_Toc139615494" w:history="1">
            <w:r w:rsidRPr="00826E28">
              <w:rPr>
                <w:rStyle w:val="a9"/>
                <w:rFonts w:ascii="Times New Roman" w:eastAsia="楷体" w:hAnsi="Times New Roman"/>
                <w:b/>
                <w:noProof/>
              </w:rPr>
              <w:t>[</w:t>
            </w:r>
            <w:r w:rsidRPr="00826E28">
              <w:rPr>
                <w:rStyle w:val="a9"/>
                <w:rFonts w:ascii="Times New Roman" w:eastAsia="楷体" w:hAnsi="Times New Roman"/>
                <w:b/>
                <w:noProof/>
              </w:rPr>
              <w:t>农产品</w:t>
            </w:r>
            <w:r w:rsidRPr="00826E28">
              <w:rPr>
                <w:rStyle w:val="a9"/>
                <w:rFonts w:ascii="Times New Roman" w:eastAsia="楷体" w:hAnsi="Times New Roman"/>
                <w:b/>
                <w:noProof/>
              </w:rPr>
              <w:t>]</w:t>
            </w:r>
          </w:hyperlink>
        </w:p>
        <w:p w:rsidR="00B23E58" w:rsidRDefault="00B23E58">
          <w:pPr>
            <w:pStyle w:val="23"/>
            <w:tabs>
              <w:tab w:val="right" w:leader="dot" w:pos="8296"/>
            </w:tabs>
            <w:rPr>
              <w:rFonts w:eastAsiaTheme="minorEastAsia"/>
              <w:noProof/>
              <w:szCs w:val="22"/>
            </w:rPr>
          </w:pPr>
          <w:hyperlink w:anchor="_Toc139615495" w:history="1">
            <w:r w:rsidRPr="00826E28">
              <w:rPr>
                <w:rStyle w:val="a9"/>
                <w:rFonts w:ascii="楷体" w:eastAsia="楷体" w:hAnsi="楷体"/>
                <w:b/>
                <w:noProof/>
              </w:rPr>
              <w:t>豆粕/菜粕：短期维持高位震荡，关注7月USDA报告</w:t>
            </w:r>
          </w:hyperlink>
        </w:p>
        <w:p w:rsidR="00B23E58" w:rsidRDefault="00B23E58">
          <w:pPr>
            <w:pStyle w:val="23"/>
            <w:tabs>
              <w:tab w:val="right" w:leader="dot" w:pos="8296"/>
            </w:tabs>
            <w:rPr>
              <w:rFonts w:eastAsiaTheme="minorEastAsia"/>
              <w:noProof/>
              <w:szCs w:val="22"/>
            </w:rPr>
          </w:pPr>
          <w:hyperlink w:anchor="_Toc139615496" w:history="1">
            <w:r w:rsidRPr="00826E28">
              <w:rPr>
                <w:rStyle w:val="a9"/>
                <w:rFonts w:ascii="楷体" w:eastAsia="楷体" w:hAnsi="楷体"/>
                <w:b/>
                <w:noProof/>
              </w:rPr>
              <w:t>油脂：建议回调后偏多参与</w:t>
            </w:r>
          </w:hyperlink>
        </w:p>
        <w:p w:rsidR="00B23E58" w:rsidRDefault="00B23E58">
          <w:pPr>
            <w:pStyle w:val="23"/>
            <w:tabs>
              <w:tab w:val="right" w:leader="dot" w:pos="8296"/>
            </w:tabs>
            <w:rPr>
              <w:rFonts w:eastAsiaTheme="minorEastAsia"/>
              <w:noProof/>
              <w:szCs w:val="22"/>
            </w:rPr>
          </w:pPr>
          <w:hyperlink w:anchor="_Toc139615497" w:history="1">
            <w:r w:rsidRPr="00826E28">
              <w:rPr>
                <w:rStyle w:val="a9"/>
                <w:rFonts w:ascii="楷体" w:eastAsia="楷体" w:hAnsi="楷体"/>
                <w:b/>
                <w:bCs/>
                <w:noProof/>
              </w:rPr>
              <w:t>玉米与淀粉：</w:t>
            </w:r>
            <w:r w:rsidRPr="00826E28">
              <w:rPr>
                <w:rStyle w:val="a9"/>
                <w:rFonts w:ascii="楷体" w:eastAsia="楷体" w:hAnsi="楷体"/>
                <w:b/>
                <w:noProof/>
              </w:rPr>
              <w:t>现货带动期价延续强势</w:t>
            </w:r>
          </w:hyperlink>
        </w:p>
        <w:p w:rsidR="00B23E58" w:rsidRDefault="00B23E58">
          <w:pPr>
            <w:pStyle w:val="23"/>
            <w:tabs>
              <w:tab w:val="right" w:leader="dot" w:pos="8296"/>
            </w:tabs>
            <w:rPr>
              <w:rFonts w:eastAsiaTheme="minorEastAsia"/>
              <w:noProof/>
              <w:szCs w:val="22"/>
            </w:rPr>
          </w:pPr>
          <w:hyperlink w:anchor="_Toc139615498" w:history="1">
            <w:r w:rsidRPr="00826E28">
              <w:rPr>
                <w:rStyle w:val="a9"/>
                <w:rFonts w:ascii="楷体" w:eastAsia="楷体" w:hAnsi="楷体"/>
                <w:b/>
                <w:bCs/>
                <w:noProof/>
              </w:rPr>
              <w:t>畜禽养殖：生猪现货缺乏上涨持续性，期价延续低位震荡</w:t>
            </w:r>
          </w:hyperlink>
        </w:p>
        <w:p w:rsidR="00B23E58" w:rsidRDefault="00B23E58">
          <w:pPr>
            <w:pStyle w:val="23"/>
            <w:tabs>
              <w:tab w:val="right" w:leader="dot" w:pos="8296"/>
            </w:tabs>
            <w:rPr>
              <w:rFonts w:eastAsiaTheme="minorEastAsia"/>
              <w:noProof/>
              <w:szCs w:val="22"/>
            </w:rPr>
          </w:pPr>
          <w:hyperlink w:anchor="_Toc139615499" w:history="1">
            <w:r w:rsidRPr="00826E28">
              <w:rPr>
                <w:rStyle w:val="a9"/>
                <w:rFonts w:ascii="楷体" w:eastAsia="楷体" w:hAnsi="楷体"/>
                <w:b/>
                <w:noProof/>
              </w:rPr>
              <w:t>郑棉：预计09合约区间震荡，看跌期权卖权持有或等待低位买入机会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6154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615472"/>
      <w:bookmarkEnd w:id="4"/>
      <w:r>
        <w:rPr>
          <w:rFonts w:ascii="Times New Roman" w:eastAsia="楷体" w:hAnsi="Times New Roman" w:hint="eastAsia"/>
          <w:b/>
          <w:color w:val="000000" w:themeColor="text1"/>
          <w:sz w:val="24"/>
          <w:szCs w:val="24"/>
        </w:rPr>
        <w:t>股指：</w:t>
      </w:r>
      <w:bookmarkEnd w:id="6"/>
      <w:bookmarkEnd w:id="7"/>
      <w:r w:rsidR="00E7672C" w:rsidRPr="00E7672C">
        <w:rPr>
          <w:rFonts w:ascii="Times New Roman" w:eastAsia="楷体" w:hAnsi="Times New Roman" w:hint="eastAsia"/>
          <w:b/>
          <w:color w:val="000000" w:themeColor="text1"/>
          <w:sz w:val="24"/>
          <w:szCs w:val="24"/>
        </w:rPr>
        <w:t>多单持有</w:t>
      </w:r>
      <w:bookmarkEnd w:id="8"/>
    </w:p>
    <w:p w:rsidR="003F56A5" w:rsidRDefault="00E7672C">
      <w:pPr>
        <w:ind w:leftChars="300" w:left="630"/>
        <w:rPr>
          <w:rFonts w:ascii="Times New Roman" w:eastAsia="楷体" w:hAnsi="Times New Roman"/>
          <w:color w:val="000000" w:themeColor="text1"/>
          <w:sz w:val="24"/>
          <w:szCs w:val="24"/>
        </w:rPr>
      </w:pPr>
      <w:r w:rsidRPr="00E7672C">
        <w:rPr>
          <w:rFonts w:ascii="Times New Roman" w:eastAsia="楷体" w:hAnsi="Times New Roman" w:hint="eastAsia"/>
          <w:color w:val="000000" w:themeColor="text1"/>
          <w:sz w:val="24"/>
          <w:szCs w:val="24"/>
        </w:rPr>
        <w:t>昨日上行步伐放缓，但热度仍存，两市</w:t>
      </w:r>
      <w:r w:rsidRPr="00E7672C">
        <w:rPr>
          <w:rFonts w:ascii="Times New Roman" w:eastAsia="楷体" w:hAnsi="Times New Roman" w:hint="eastAsia"/>
          <w:color w:val="000000" w:themeColor="text1"/>
          <w:sz w:val="24"/>
          <w:szCs w:val="24"/>
        </w:rPr>
        <w:t>2800</w:t>
      </w:r>
      <w:r w:rsidRPr="00E7672C">
        <w:rPr>
          <w:rFonts w:ascii="Times New Roman" w:eastAsia="楷体" w:hAnsi="Times New Roman" w:hint="eastAsia"/>
          <w:color w:val="000000" w:themeColor="text1"/>
          <w:sz w:val="24"/>
          <w:szCs w:val="24"/>
        </w:rPr>
        <w:t>余只上涨，汽车、电子产业链现涨停潮。随着政策宽松呵护预期升温，市场风险偏好逐步修复，随着资金利率下行，股债收益差接近历史极值，同时叠加外部因素冲击逐步过去，市场有望迎来做多窗口，短期政策预期发酵下，总量经济相关行业或存在一定反弹机会，中期具备高成长、全球竞争优势的高景气方向也是资金青睐对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6154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615474"/>
      <w:r>
        <w:rPr>
          <w:rFonts w:ascii="Times New Roman" w:eastAsia="楷体" w:hAnsi="Times New Roman" w:hint="eastAsia"/>
          <w:b/>
          <w:color w:val="000000" w:themeColor="text1"/>
          <w:sz w:val="24"/>
          <w:szCs w:val="24"/>
        </w:rPr>
        <w:t>贵金属：</w:t>
      </w:r>
      <w:r w:rsidR="00827E8A" w:rsidRPr="00827E8A">
        <w:rPr>
          <w:rFonts w:ascii="Times New Roman" w:eastAsia="楷体" w:hAnsi="Times New Roman" w:hint="eastAsia"/>
          <w:b/>
          <w:color w:val="000000" w:themeColor="text1"/>
          <w:sz w:val="24"/>
          <w:szCs w:val="24"/>
        </w:rPr>
        <w:t>美国就业数据表现强势，贵金属价格回落</w:t>
      </w:r>
      <w:bookmarkEnd w:id="10"/>
    </w:p>
    <w:p w:rsidR="003F56A5" w:rsidRDefault="00827E8A">
      <w:pPr>
        <w:ind w:leftChars="300" w:left="630"/>
        <w:rPr>
          <w:rFonts w:ascii="Times New Roman" w:eastAsia="楷体" w:hAnsi="Times New Roman"/>
          <w:sz w:val="24"/>
          <w:szCs w:val="24"/>
        </w:rPr>
      </w:pPr>
      <w:r w:rsidRPr="00827E8A">
        <w:rPr>
          <w:rFonts w:ascii="Times New Roman" w:eastAsia="楷体" w:hAnsi="Times New Roman" w:hint="eastAsia"/>
          <w:color w:val="000000" w:themeColor="text1"/>
          <w:sz w:val="24"/>
          <w:szCs w:val="24"/>
        </w:rPr>
        <w:t>6</w:t>
      </w:r>
      <w:r w:rsidRPr="00827E8A">
        <w:rPr>
          <w:rFonts w:ascii="Times New Roman" w:eastAsia="楷体" w:hAnsi="Times New Roman" w:hint="eastAsia"/>
          <w:color w:val="000000" w:themeColor="text1"/>
          <w:sz w:val="24"/>
          <w:szCs w:val="24"/>
        </w:rPr>
        <w:t>月美国</w:t>
      </w:r>
      <w:r w:rsidRPr="00827E8A">
        <w:rPr>
          <w:rFonts w:ascii="Times New Roman" w:eastAsia="楷体" w:hAnsi="Times New Roman" w:hint="eastAsia"/>
          <w:color w:val="000000" w:themeColor="text1"/>
          <w:sz w:val="24"/>
          <w:szCs w:val="24"/>
        </w:rPr>
        <w:t>ADP</w:t>
      </w:r>
      <w:r w:rsidRPr="00827E8A">
        <w:rPr>
          <w:rFonts w:ascii="Times New Roman" w:eastAsia="楷体" w:hAnsi="Times New Roman" w:hint="eastAsia"/>
          <w:color w:val="000000" w:themeColor="text1"/>
          <w:sz w:val="24"/>
          <w:szCs w:val="24"/>
        </w:rPr>
        <w:t>就业人数录得超预期的</w:t>
      </w:r>
      <w:r w:rsidRPr="00827E8A">
        <w:rPr>
          <w:rFonts w:ascii="Times New Roman" w:eastAsia="楷体" w:hAnsi="Times New Roman" w:hint="eastAsia"/>
          <w:color w:val="000000" w:themeColor="text1"/>
          <w:sz w:val="24"/>
          <w:szCs w:val="24"/>
        </w:rPr>
        <w:t>49.7</w:t>
      </w:r>
      <w:r w:rsidRPr="00827E8A">
        <w:rPr>
          <w:rFonts w:ascii="Times New Roman" w:eastAsia="楷体" w:hAnsi="Times New Roman" w:hint="eastAsia"/>
          <w:color w:val="000000" w:themeColor="text1"/>
          <w:sz w:val="24"/>
          <w:szCs w:val="24"/>
        </w:rPr>
        <w:t>万人，</w:t>
      </w:r>
      <w:r w:rsidRPr="00827E8A">
        <w:rPr>
          <w:rFonts w:ascii="Times New Roman" w:eastAsia="楷体" w:hAnsi="Times New Roman" w:hint="eastAsia"/>
          <w:color w:val="000000" w:themeColor="text1"/>
          <w:sz w:val="24"/>
          <w:szCs w:val="24"/>
        </w:rPr>
        <w:t>5</w:t>
      </w:r>
      <w:r w:rsidRPr="00827E8A">
        <w:rPr>
          <w:rFonts w:ascii="Times New Roman" w:eastAsia="楷体" w:hAnsi="Times New Roman" w:hint="eastAsia"/>
          <w:color w:val="000000" w:themeColor="text1"/>
          <w:sz w:val="24"/>
          <w:szCs w:val="24"/>
        </w:rPr>
        <w:t>月</w:t>
      </w:r>
      <w:r w:rsidRPr="00827E8A">
        <w:rPr>
          <w:rFonts w:ascii="Times New Roman" w:eastAsia="楷体" w:hAnsi="Times New Roman" w:hint="eastAsia"/>
          <w:color w:val="000000" w:themeColor="text1"/>
          <w:sz w:val="24"/>
          <w:szCs w:val="24"/>
        </w:rPr>
        <w:t>JOLTs</w:t>
      </w:r>
      <w:r w:rsidRPr="00827E8A">
        <w:rPr>
          <w:rFonts w:ascii="Times New Roman" w:eastAsia="楷体" w:hAnsi="Times New Roman" w:hint="eastAsia"/>
          <w:color w:val="000000" w:themeColor="text1"/>
          <w:sz w:val="24"/>
          <w:szCs w:val="24"/>
        </w:rPr>
        <w:t>职位空缺人数下降至</w:t>
      </w:r>
      <w:r w:rsidRPr="00827E8A">
        <w:rPr>
          <w:rFonts w:ascii="Times New Roman" w:eastAsia="楷体" w:hAnsi="Times New Roman" w:hint="eastAsia"/>
          <w:color w:val="000000" w:themeColor="text1"/>
          <w:sz w:val="24"/>
          <w:szCs w:val="24"/>
        </w:rPr>
        <w:t>982.4</w:t>
      </w:r>
      <w:r w:rsidRPr="00827E8A">
        <w:rPr>
          <w:rFonts w:ascii="Times New Roman" w:eastAsia="楷体" w:hAnsi="Times New Roman" w:hint="eastAsia"/>
          <w:color w:val="000000" w:themeColor="text1"/>
          <w:sz w:val="24"/>
          <w:szCs w:val="24"/>
        </w:rPr>
        <w:t>万人，截至</w:t>
      </w:r>
      <w:r w:rsidRPr="00827E8A">
        <w:rPr>
          <w:rFonts w:ascii="Times New Roman" w:eastAsia="楷体" w:hAnsi="Times New Roman" w:hint="eastAsia"/>
          <w:color w:val="000000" w:themeColor="text1"/>
          <w:sz w:val="24"/>
          <w:szCs w:val="24"/>
        </w:rPr>
        <w:t>7</w:t>
      </w:r>
      <w:r w:rsidRPr="00827E8A">
        <w:rPr>
          <w:rFonts w:ascii="Times New Roman" w:eastAsia="楷体" w:hAnsi="Times New Roman" w:hint="eastAsia"/>
          <w:color w:val="000000" w:themeColor="text1"/>
          <w:sz w:val="24"/>
          <w:szCs w:val="24"/>
        </w:rPr>
        <w:t>月</w:t>
      </w:r>
      <w:r w:rsidRPr="00827E8A">
        <w:rPr>
          <w:rFonts w:ascii="Times New Roman" w:eastAsia="楷体" w:hAnsi="Times New Roman" w:hint="eastAsia"/>
          <w:color w:val="000000" w:themeColor="text1"/>
          <w:sz w:val="24"/>
          <w:szCs w:val="24"/>
        </w:rPr>
        <w:t>1</w:t>
      </w:r>
      <w:r w:rsidRPr="00827E8A">
        <w:rPr>
          <w:rFonts w:ascii="Times New Roman" w:eastAsia="楷体" w:hAnsi="Times New Roman" w:hint="eastAsia"/>
          <w:color w:val="000000" w:themeColor="text1"/>
          <w:sz w:val="24"/>
          <w:szCs w:val="24"/>
        </w:rPr>
        <w:t>日当周初请失业金人数</w:t>
      </w:r>
      <w:r w:rsidRPr="00827E8A">
        <w:rPr>
          <w:rFonts w:ascii="Times New Roman" w:eastAsia="楷体" w:hAnsi="Times New Roman" w:hint="eastAsia"/>
          <w:color w:val="000000" w:themeColor="text1"/>
          <w:sz w:val="24"/>
          <w:szCs w:val="24"/>
        </w:rPr>
        <w:t>24.8</w:t>
      </w:r>
      <w:r w:rsidRPr="00827E8A">
        <w:rPr>
          <w:rFonts w:ascii="Times New Roman" w:eastAsia="楷体" w:hAnsi="Times New Roman" w:hint="eastAsia"/>
          <w:color w:val="000000" w:themeColor="text1"/>
          <w:sz w:val="24"/>
          <w:szCs w:val="24"/>
        </w:rPr>
        <w:t>万人。紧张的劳动力市场表现相对缓和海外市场对于美国经济衰退的担忧，节奏上贵金属价格或有所震荡反复。美联储洛根称，需要实施更严格的政策以实现联储目标，其对通胀是否能够迅速降温非常担忧，可能有必要进一步加息。非农报告公布前夕，美国就业数据目前表现强势，夜盘沪金、沪银小幅低开。本周后续关注美国非农就业报告，数据公布前后贵金属价格波动或加剧，建议短线暂以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6154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615476"/>
      <w:r>
        <w:rPr>
          <w:rFonts w:ascii="楷体" w:eastAsia="楷体" w:hAnsi="楷体" w:hint="eastAsia"/>
          <w:b/>
          <w:color w:val="000000" w:themeColor="text1"/>
          <w:sz w:val="24"/>
          <w:szCs w:val="24"/>
        </w:rPr>
        <w:t>螺纹钢：</w:t>
      </w:r>
      <w:bookmarkEnd w:id="16"/>
      <w:bookmarkEnd w:id="17"/>
      <w:r w:rsidR="00827E8A" w:rsidRPr="00827E8A">
        <w:rPr>
          <w:rFonts w:ascii="楷体" w:eastAsia="楷体" w:hAnsi="楷体" w:hint="eastAsia"/>
          <w:b/>
          <w:color w:val="000000" w:themeColor="text1"/>
          <w:sz w:val="24"/>
          <w:szCs w:val="24"/>
        </w:rPr>
        <w:t>高位继续震荡，关注宏观事件</w:t>
      </w:r>
      <w:bookmarkEnd w:id="18"/>
    </w:p>
    <w:p w:rsidR="003F56A5" w:rsidRDefault="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海外受就业数据较好影响，美元指数大幅度上行，市场整体氛围较差，夜盘钢价上行无力后回落。但整体方向并不明朗，矛盾仍在继续积累，钢价或仍在震荡，关注（3700,3730）区间支撑力度</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615477"/>
      <w:r>
        <w:rPr>
          <w:rFonts w:ascii="楷体" w:eastAsia="楷体" w:hAnsi="楷体" w:hint="eastAsia"/>
          <w:b/>
          <w:color w:val="000000" w:themeColor="text1"/>
          <w:sz w:val="24"/>
          <w:szCs w:val="24"/>
        </w:rPr>
        <w:t>焦炭：</w:t>
      </w:r>
      <w:bookmarkEnd w:id="19"/>
      <w:bookmarkEnd w:id="20"/>
      <w:r w:rsidR="00827E8A" w:rsidRPr="00827E8A">
        <w:rPr>
          <w:rFonts w:ascii="楷体" w:eastAsia="楷体" w:hAnsi="楷体" w:hint="eastAsia"/>
          <w:b/>
          <w:color w:val="000000" w:themeColor="text1"/>
          <w:sz w:val="24"/>
          <w:szCs w:val="24"/>
        </w:rPr>
        <w:t>第一轮提涨落地，盘面震荡中枢上移</w:t>
      </w:r>
      <w:bookmarkEnd w:id="21"/>
    </w:p>
    <w:p w:rsidR="003F56A5" w:rsidRDefault="00827E8A" w:rsidP="00572E35">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部分钢厂同意第一轮提涨落地，港口焦炭价格小幅度上涨，当前情况较难共振，预计震荡中枢上移（2070,2160）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615478"/>
      <w:r>
        <w:rPr>
          <w:rFonts w:ascii="楷体" w:eastAsia="楷体" w:hAnsi="楷体" w:hint="eastAsia"/>
          <w:b/>
          <w:color w:val="000000" w:themeColor="text1"/>
          <w:sz w:val="24"/>
          <w:szCs w:val="24"/>
        </w:rPr>
        <w:t>焦煤：</w:t>
      </w:r>
      <w:r w:rsidR="00827E8A" w:rsidRPr="00827E8A">
        <w:rPr>
          <w:rFonts w:ascii="楷体" w:eastAsia="楷体" w:hAnsi="楷体" w:hint="eastAsia"/>
          <w:b/>
          <w:sz w:val="24"/>
          <w:szCs w:val="24"/>
        </w:rPr>
        <w:t>焦炭部分提涨落地，煤价震荡中枢上移</w:t>
      </w:r>
      <w:bookmarkEnd w:id="22"/>
    </w:p>
    <w:p w:rsidR="003F56A5" w:rsidRDefault="00827E8A">
      <w:pPr>
        <w:ind w:leftChars="300" w:left="630"/>
        <w:rPr>
          <w:rFonts w:ascii="楷体" w:eastAsia="楷体" w:hAnsi="楷体"/>
          <w:bCs/>
          <w:sz w:val="24"/>
          <w:szCs w:val="24"/>
        </w:rPr>
      </w:pPr>
      <w:r w:rsidRPr="00827E8A">
        <w:rPr>
          <w:rFonts w:ascii="楷体" w:eastAsia="楷体" w:hAnsi="楷体" w:hint="eastAsia"/>
          <w:sz w:val="24"/>
          <w:szCs w:val="24"/>
        </w:rPr>
        <w:t>部分钢厂同意第一轮提涨落地，煤价偏稳运行，当前情况较难共振，更多表现为基差波动，预计震荡中枢上移（1320,1370）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615479"/>
      <w:r>
        <w:rPr>
          <w:rFonts w:ascii="楷体" w:eastAsia="楷体" w:hAnsi="楷体" w:hint="eastAsia"/>
          <w:b/>
          <w:color w:val="000000" w:themeColor="text1"/>
          <w:sz w:val="24"/>
          <w:szCs w:val="24"/>
        </w:rPr>
        <w:t>铜：</w:t>
      </w:r>
      <w:bookmarkEnd w:id="23"/>
      <w:bookmarkEnd w:id="24"/>
      <w:r w:rsidR="00827E8A" w:rsidRPr="00827E8A">
        <w:rPr>
          <w:rFonts w:ascii="楷体" w:eastAsia="楷体" w:hAnsi="楷体" w:hint="eastAsia"/>
          <w:b/>
          <w:color w:val="000000" w:themeColor="text1"/>
          <w:sz w:val="24"/>
          <w:szCs w:val="24"/>
        </w:rPr>
        <w:t>维持高位震荡，关注今晚美国非农数据</w:t>
      </w:r>
      <w:bookmarkEnd w:id="25"/>
    </w:p>
    <w:p w:rsidR="00827E8A" w:rsidRPr="00827E8A" w:rsidRDefault="00827E8A" w:rsidP="00827E8A">
      <w:pPr>
        <w:ind w:leftChars="300" w:left="630"/>
        <w:rPr>
          <w:rFonts w:ascii="楷体" w:eastAsia="楷体" w:hAnsi="楷体" w:hint="eastAsia"/>
          <w:color w:val="000000" w:themeColor="text1"/>
          <w:sz w:val="24"/>
          <w:szCs w:val="24"/>
        </w:rPr>
      </w:pPr>
      <w:r w:rsidRPr="00827E8A">
        <w:rPr>
          <w:rFonts w:ascii="楷体" w:eastAsia="楷体" w:hAnsi="楷体" w:hint="eastAsia"/>
          <w:color w:val="000000" w:themeColor="text1"/>
          <w:sz w:val="24"/>
          <w:szCs w:val="24"/>
        </w:rPr>
        <w:t>(1)宏观：6月美国ADP就业季节性调整后增加了49.7万人，为市场预期22.5万人的两倍多，远远超过前值27.8万，创下2022年7月以来最大月度增幅。</w:t>
      </w:r>
    </w:p>
    <w:p w:rsidR="00827E8A" w:rsidRPr="00827E8A" w:rsidRDefault="00827E8A" w:rsidP="00827E8A">
      <w:pPr>
        <w:ind w:leftChars="300" w:left="630"/>
        <w:rPr>
          <w:rFonts w:ascii="楷体" w:eastAsia="楷体" w:hAnsi="楷体" w:hint="eastAsia"/>
          <w:color w:val="000000" w:themeColor="text1"/>
          <w:sz w:val="24"/>
          <w:szCs w:val="24"/>
        </w:rPr>
      </w:pPr>
      <w:r w:rsidRPr="00827E8A">
        <w:rPr>
          <w:rFonts w:ascii="楷体" w:eastAsia="楷体" w:hAnsi="楷体" w:hint="eastAsia"/>
          <w:color w:val="000000" w:themeColor="text1"/>
          <w:sz w:val="24"/>
          <w:szCs w:val="24"/>
        </w:rPr>
        <w:lastRenderedPageBreak/>
        <w:t>(2)库存：7月6日，SHFE仓单库存16479吨，减826吨；LME仓单库存65175吨，减2025吨。</w:t>
      </w:r>
    </w:p>
    <w:p w:rsidR="00827E8A" w:rsidRPr="00827E8A" w:rsidRDefault="00827E8A" w:rsidP="00827E8A">
      <w:pPr>
        <w:ind w:leftChars="300" w:left="630"/>
        <w:rPr>
          <w:rFonts w:ascii="楷体" w:eastAsia="楷体" w:hAnsi="楷体" w:hint="eastAsia"/>
          <w:color w:val="000000" w:themeColor="text1"/>
          <w:sz w:val="24"/>
          <w:szCs w:val="24"/>
        </w:rPr>
      </w:pPr>
      <w:r w:rsidRPr="00827E8A">
        <w:rPr>
          <w:rFonts w:ascii="楷体" w:eastAsia="楷体" w:hAnsi="楷体" w:hint="eastAsia"/>
          <w:color w:val="000000" w:themeColor="text1"/>
          <w:sz w:val="24"/>
          <w:szCs w:val="24"/>
        </w:rPr>
        <w:t>(3)精废价差：7月6日，Mysteel精废价差2150，扩大126。目前价差在合理价差1384之上。</w:t>
      </w:r>
    </w:p>
    <w:p w:rsidR="00827E8A" w:rsidRPr="00827E8A" w:rsidRDefault="00827E8A" w:rsidP="00827E8A">
      <w:pPr>
        <w:ind w:leftChars="300" w:left="630"/>
        <w:rPr>
          <w:rFonts w:ascii="楷体" w:eastAsia="楷体" w:hAnsi="楷体"/>
          <w:color w:val="000000" w:themeColor="text1"/>
          <w:sz w:val="24"/>
          <w:szCs w:val="24"/>
        </w:rPr>
      </w:pPr>
    </w:p>
    <w:p w:rsidR="00127803" w:rsidRPr="00127803" w:rsidRDefault="00827E8A" w:rsidP="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综述：中国主要铜冶炼厂将2023年第三季度铜精矿加工的处理和精炼费用（TC/RCs）分别定为每吨95美元和每磅9.5美分，为2017年第4季度以来最高，该数据暗示矿端供应偏宽松。宏观面，隔夜公布美国小非农数据远超预期，美联储7月加息25个基点至5.25%-5.50%区间的概率为91.8%，铜价承压运行。短期低库存去化对价格仍有支撑，等待新的驱动，关注今晚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615480"/>
      <w:r>
        <w:rPr>
          <w:rFonts w:ascii="楷体" w:eastAsia="楷体" w:hAnsi="楷体" w:hint="eastAsia"/>
          <w:b/>
          <w:color w:val="000000" w:themeColor="text1"/>
          <w:sz w:val="24"/>
          <w:szCs w:val="24"/>
        </w:rPr>
        <w:t>铝：</w:t>
      </w:r>
      <w:bookmarkEnd w:id="26"/>
      <w:bookmarkEnd w:id="27"/>
      <w:r w:rsidR="00827E8A" w:rsidRPr="00827E8A">
        <w:rPr>
          <w:rFonts w:ascii="楷体" w:eastAsia="楷体" w:hAnsi="楷体" w:hint="eastAsia"/>
          <w:b/>
          <w:color w:val="000000" w:themeColor="text1"/>
          <w:sz w:val="24"/>
          <w:szCs w:val="24"/>
        </w:rPr>
        <w:t>铝市供增需减格局延续，价格区间震荡等待驱动</w:t>
      </w:r>
      <w:bookmarkEnd w:id="28"/>
    </w:p>
    <w:p w:rsidR="003F56A5" w:rsidRDefault="00827E8A" w:rsidP="00127803">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欧美7月加息预期增强，美元指数高位震荡运行，美国周五非农就业数据表现高于市场预期，宏观情绪承压。内外价差扭转，进口盈利窗口打开，后续或有进口铝锭流入补充，云南丰水当地电解铝产能正在密集筹办释放，考虑到复产开槽需要3个月，四川又再传高温限电部分工业开工收到影响，供应确认有增量但复产节奏及复产程度仍待验证。国内库存维持低位，累库拐点仍未显现，电解铝厂退水铸锭增加，下游淡季消费边际走弱，短期来看供强需弱态势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615481"/>
      <w:r>
        <w:rPr>
          <w:rFonts w:ascii="楷体" w:eastAsia="楷体" w:hAnsi="楷体" w:hint="eastAsia"/>
          <w:b/>
          <w:color w:val="000000" w:themeColor="text1"/>
          <w:sz w:val="24"/>
          <w:szCs w:val="24"/>
        </w:rPr>
        <w:t>锌：</w:t>
      </w:r>
      <w:r w:rsidR="00827E8A" w:rsidRPr="00827E8A">
        <w:rPr>
          <w:rFonts w:ascii="楷体" w:eastAsia="楷体" w:hAnsi="楷体" w:hint="eastAsia"/>
          <w:b/>
          <w:color w:val="000000" w:themeColor="text1"/>
          <w:sz w:val="24"/>
          <w:szCs w:val="24"/>
        </w:rPr>
        <w:t>基本面供强需弱格局延续，价格仍有下行压力</w:t>
      </w:r>
      <w:bookmarkEnd w:id="29"/>
    </w:p>
    <w:p w:rsidR="003F56A5" w:rsidRDefault="00827E8A" w:rsidP="000B0648">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瑞典矿业公司 Boliden 表示将暂停欧洲最大的爱尔兰锌矿Tara 的生产，海外锌矿供应预期走紧，进口盈亏窗口打开，进口矿经济型提升导致进口量走增，国内矿端供应相对稳定，精炼锌产量仍在季节性相对高位，当前冶炼仍有利润，多数炼厂基本开满产能，整体来看锌供应格局延续偏强态势。需求端：海内外显性库存低位累库，库存增量集中亚洲仓，国内社会库存相对稳定，国内下游需求正值淡季表现平淡，终端对锌价支持不足。整体上看，锌市供强需弱格局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615482"/>
      <w:r>
        <w:rPr>
          <w:rFonts w:ascii="楷体" w:eastAsia="楷体" w:hAnsi="楷体" w:hint="eastAsia"/>
          <w:b/>
          <w:color w:val="000000" w:themeColor="text1"/>
          <w:sz w:val="24"/>
          <w:szCs w:val="24"/>
        </w:rPr>
        <w:t>镍：</w:t>
      </w:r>
      <w:r w:rsidR="00827E8A" w:rsidRPr="00827E8A">
        <w:rPr>
          <w:rFonts w:ascii="楷体" w:eastAsia="楷体" w:hAnsi="楷体" w:hint="eastAsia"/>
          <w:b/>
          <w:color w:val="000000" w:themeColor="text1"/>
          <w:sz w:val="24"/>
          <w:szCs w:val="24"/>
        </w:rPr>
        <w:t>反弹后逐步逢高布空</w:t>
      </w:r>
      <w:bookmarkEnd w:id="30"/>
    </w:p>
    <w:p w:rsidR="003F56A5" w:rsidRDefault="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2023年6月全国精炼镍产量共计2.04万吨，环比上调9.39%，同比上升31.06%，全国电解镍产量6月延续爬坡基本符合预期。中长期供应过剩预期仍将压制镍价，整体走势仍偏空。短期受国内小金属出口管制消息刺激，及在低库存的支撑下，价格低位反弹。操作上，仍建议反弹过程中逐步布局空单</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615483"/>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价格走升但基本面较难支撑，注意回调风险</w:t>
      </w:r>
      <w:bookmarkEnd w:id="31"/>
    </w:p>
    <w:p w:rsidR="008B13D2" w:rsidRPr="008B13D2" w:rsidRDefault="00827E8A" w:rsidP="008B13D2">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欧美7月加息预期增强，美元指数高位震荡运行，美国非农数据高于市场预期，宏观承压。国内检修炼厂复产及新增产能补充投放，供应环比走增，需求仍处于淡季，消费支撑力度不足，多空博弈之下铅价上下震荡余小宁，偏弱基本面难撑高价，注意回调风险</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615484"/>
      <w:r>
        <w:rPr>
          <w:rFonts w:ascii="楷体" w:eastAsia="楷体" w:hAnsi="楷体" w:hint="eastAsia"/>
          <w:b/>
          <w:color w:val="000000" w:themeColor="text1"/>
          <w:sz w:val="24"/>
          <w:szCs w:val="24"/>
        </w:rPr>
        <w:t>不锈钢：</w:t>
      </w:r>
      <w:r w:rsidR="00E7672C" w:rsidRPr="00E7672C">
        <w:rPr>
          <w:rFonts w:ascii="楷体" w:eastAsia="楷体" w:hAnsi="楷体" w:hint="eastAsia"/>
          <w:b/>
          <w:color w:val="000000" w:themeColor="text1"/>
          <w:sz w:val="24"/>
          <w:szCs w:val="24"/>
        </w:rPr>
        <w:t>基本面无明显矛盾，SS维持区间震荡</w:t>
      </w:r>
      <w:bookmarkEnd w:id="32"/>
    </w:p>
    <w:p w:rsidR="003F56A5" w:rsidRDefault="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lastRenderedPageBreak/>
        <w:t>当前不锈钢基本面矛盾不突出，整体价格跟随宏观情绪波动，短期区间震荡行情或延续，SS2308参考14200-15000。7月为国内传统消费淡季，供应无明显减量下，库存存累积预期。原料方面，镍铁价格阴跌，成本端对不锈钢价支撑不强。操作上，SS反弹至区间上沿尝试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615485"/>
      <w:r>
        <w:rPr>
          <w:rFonts w:ascii="楷体" w:eastAsia="楷体" w:hAnsi="楷体" w:hint="eastAsia"/>
          <w:b/>
          <w:color w:val="000000" w:themeColor="text1"/>
          <w:sz w:val="24"/>
          <w:szCs w:val="24"/>
        </w:rPr>
        <w:t>工业硅：</w:t>
      </w:r>
      <w:r w:rsidR="00827E8A" w:rsidRPr="00827E8A">
        <w:rPr>
          <w:rFonts w:ascii="楷体" w:eastAsia="楷体" w:hAnsi="楷体" w:hint="eastAsia"/>
          <w:b/>
          <w:sz w:val="24"/>
          <w:szCs w:val="24"/>
        </w:rPr>
        <w:t>云南复产持续推进，市场或将承压运行</w:t>
      </w:r>
      <w:bookmarkEnd w:id="33"/>
    </w:p>
    <w:p w:rsidR="00827E8A" w:rsidRPr="00827E8A" w:rsidRDefault="00827E8A" w:rsidP="00827E8A">
      <w:pPr>
        <w:ind w:leftChars="300" w:left="630"/>
        <w:rPr>
          <w:rFonts w:ascii="楷体" w:eastAsia="楷体" w:hAnsi="楷体" w:hint="eastAsia"/>
          <w:sz w:val="24"/>
          <w:szCs w:val="24"/>
        </w:rPr>
      </w:pPr>
      <w:r w:rsidRPr="00827E8A">
        <w:rPr>
          <w:rFonts w:ascii="楷体" w:eastAsia="楷体" w:hAnsi="楷体" w:hint="eastAsia"/>
          <w:sz w:val="24"/>
          <w:szCs w:val="24"/>
        </w:rPr>
        <w:t>7月6日，Si2309主力合约有所反弹，收盘价13215元/吨，较上一收盘价涨跌幅+0.72%。</w:t>
      </w:r>
    </w:p>
    <w:p w:rsidR="003F56A5" w:rsidRDefault="00827E8A" w:rsidP="00827E8A">
      <w:pPr>
        <w:ind w:leftChars="300" w:left="630"/>
        <w:rPr>
          <w:rFonts w:ascii="楷体" w:eastAsia="楷体" w:hAnsi="楷体"/>
          <w:sz w:val="24"/>
          <w:szCs w:val="24"/>
        </w:rPr>
      </w:pPr>
      <w:r w:rsidRPr="00827E8A">
        <w:rPr>
          <w:rFonts w:ascii="楷体" w:eastAsia="楷体" w:hAnsi="楷体" w:hint="eastAsia"/>
          <w:sz w:val="24"/>
          <w:szCs w:val="24"/>
        </w:rPr>
        <w:t>供应方面，本周云南继续维持复产，据SMM了解，7月以来德宏地区集中复产30台左右，当前云南在产矿热炉100台左右，开工率已达67%，预计后续仍有增量空间。需求方面，受硅料价格大幅下跌，多晶硅部分产能停产检修、降负荷生产，以及新增产能规划项目或推迟投产，整体需求增速不及预期。整体来看，当前供需格局维持偏宽松，短期较难出现明显改善，预计市场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6154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61548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827E8A" w:rsidRPr="00827E8A">
        <w:rPr>
          <w:rFonts w:ascii="楷体" w:eastAsia="楷体" w:hAnsi="楷体" w:hint="eastAsia"/>
          <w:b/>
          <w:sz w:val="24"/>
          <w:szCs w:val="24"/>
        </w:rPr>
        <w:t>收储利好重提厄尔尼诺恐影响泰国产胶量 天胶强势反弹</w:t>
      </w:r>
      <w:bookmarkEnd w:id="36"/>
    </w:p>
    <w:p w:rsidR="003F56A5" w:rsidRDefault="00827E8A">
      <w:pPr>
        <w:ind w:leftChars="300" w:left="630"/>
        <w:rPr>
          <w:rFonts w:ascii="楷体" w:eastAsia="楷体" w:hAnsi="楷体"/>
          <w:sz w:val="24"/>
          <w:szCs w:val="24"/>
        </w:rPr>
      </w:pPr>
      <w:r w:rsidRPr="00827E8A">
        <w:rPr>
          <w:rFonts w:ascii="楷体" w:eastAsia="楷体" w:hAnsi="楷体" w:hint="eastAsia"/>
          <w:sz w:val="24"/>
          <w:szCs w:val="24"/>
        </w:rPr>
        <w:t>点评：昨日橡胶主力强劲反弹，创下近四个月以来的新高。尽管天胶基本面并不理想，且国内库存极高。后期由于需求不佳，供应进入季节性生产旺季，库存还将继续走高。但是天胶当前炒作题材较多，一方面收储传言再起。另一方面泰国官员表示，今年季风季节的全国降雨量可能比平均水平低10%。厄尔尼诺气候模式的出现可能会导致未来两年降雨量进一步降低。泰国是最重要的产胶国，严重干旱容易导致天胶减产。另外，由于去年受到浓乳分流的影响全乳胶产量较低，因此RU2309合约仓单较少。今年09合约交割前，9-1价差将强于往年，如果有多头愿意在09合约上接货，也可能导致行情剧烈波动。建议空头暂时回避。9-1正套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61548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 xml:space="preserve">供需矛盾不明显 </w:t>
      </w:r>
      <w:r w:rsidR="00827E8A" w:rsidRPr="00827E8A">
        <w:rPr>
          <w:rFonts w:ascii="Calibri" w:eastAsia="楷体" w:hAnsi="Calibri" w:cs="Calibri"/>
          <w:b/>
          <w:color w:val="000000" w:themeColor="text1"/>
          <w:sz w:val="24"/>
          <w:szCs w:val="24"/>
        </w:rPr>
        <w:t> </w:t>
      </w:r>
      <w:r w:rsidR="00827E8A" w:rsidRPr="00827E8A">
        <w:rPr>
          <w:rFonts w:ascii="楷体" w:eastAsia="楷体" w:hAnsi="楷体" w:hint="eastAsia"/>
          <w:b/>
          <w:color w:val="000000" w:themeColor="text1"/>
          <w:sz w:val="24"/>
          <w:szCs w:val="24"/>
        </w:rPr>
        <w:t>区间操作为主</w:t>
      </w:r>
      <w:bookmarkEnd w:id="37"/>
      <w:r>
        <w:rPr>
          <w:rFonts w:ascii="楷体" w:eastAsia="楷体" w:hAnsi="楷体" w:hint="eastAsia"/>
          <w:b/>
          <w:color w:val="000000" w:themeColor="text1"/>
          <w:sz w:val="24"/>
          <w:szCs w:val="24"/>
        </w:rPr>
        <w:t xml:space="preserve"> </w:t>
      </w:r>
    </w:p>
    <w:p w:rsidR="003F56A5" w:rsidRDefault="00827E8A" w:rsidP="002C73FE">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PTA供给方面，本周三房巷120万吨PTA装置停车，个别装置负荷小幅下调，至周四PTA负荷降至78.7%（-2.3%），前期装置检修带动的供给端扰动减弱，PX供应偏宽松预期。近期石脑油企稳反弹，PXN小幅压缩，短期PTA成本端支撑依然较强。需求方面，本周有一套聚酯装置检修重启，另外短纤负荷局部上调，整体聚酯负荷继续小幅上行。截至本周四，初步核算国内大陆地区聚酯负荷在93.3%附近，随着河南一套短纤装置重启出产品，负荷将升至93.5%附近。江浙终端开工率有所恢复，近期长丝工厂库存持续维持偏低水平，预计7月聚酯负荷将持续维持高位运行，直接端需求对TA支撑较强。终端5月纺服零售同比和环比均增长，终端真实纺服需求中性，出口方面，印度BIS认证导致PTA出口预期下滑。展望后市，海外出行旺季下PXN难压缩，PTA近期检修增多开工率下滑，聚酯因效益尚可及库存低位高开工维持需求韧性尚可，短期PTA产业链整体矛盾尚未凸显，需求端及成本测驱动仍向上但预估空间有限，暂维持5450-5650区间波动为主，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615489"/>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615490"/>
      <w:r>
        <w:rPr>
          <w:rFonts w:ascii="楷体" w:eastAsia="楷体" w:hAnsi="楷体" w:hint="eastAsia"/>
          <w:b/>
          <w:color w:val="000000" w:themeColor="text1"/>
          <w:sz w:val="24"/>
          <w:szCs w:val="24"/>
        </w:rPr>
        <w:t>聚烯烃：</w:t>
      </w:r>
      <w:r w:rsidR="00827E8A" w:rsidRPr="00827E8A">
        <w:rPr>
          <w:rFonts w:ascii="楷体" w:eastAsia="楷体" w:hAnsi="楷体" w:hint="eastAsia"/>
          <w:b/>
          <w:color w:val="000000" w:themeColor="text1"/>
          <w:sz w:val="24"/>
          <w:szCs w:val="24"/>
        </w:rPr>
        <w:t>淡季需求持续弱势，聚烯烃价格或偏弱整理</w:t>
      </w:r>
      <w:bookmarkEnd w:id="39"/>
    </w:p>
    <w:p w:rsidR="003F56A5" w:rsidRDefault="00827E8A">
      <w:pPr>
        <w:ind w:leftChars="300" w:left="630"/>
        <w:rPr>
          <w:rFonts w:ascii="楷体" w:eastAsia="楷体" w:hAnsi="楷体"/>
          <w:bCs/>
          <w:sz w:val="24"/>
          <w:szCs w:val="24"/>
        </w:rPr>
      </w:pPr>
      <w:r w:rsidRPr="00827E8A">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对美国原油库存趋紧感到担忧，WTI小幅上涨；然而美国加息的可能性加大，可能会抑制能源需求；对需求和全球经济前景的持续担忧，布伦特原油微幅收跌；需求方面，PE下游方面，农膜整体需求平平，工厂生产清淡。棚膜工厂多停机检修；PP下游方面，BOPP市场成交刚需有量，整体量较上一交易日增加，BOPP企业未交付订单多数在一周以内，个别可至七月中旬。综合来看，PE方面，近期计划开车装置较多，供应有回归预期；下游工厂短期内难有提振，刚需采购为主，供需维持博弈状态，预计今日PE价格持稳。PP方面，国际油价小幅波动，成本支撑相对稳定。安庆石化投产放量叠加检修损失量减少，产量突破新高，供应压力升级。下游淡季需求持续弱势，工厂多随用随取，市场成交氛围清淡。 聚丙烯市场短期内难有明显好转，今日或偏弱整理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827E8A" w:rsidRDefault="00CC3FFA" w:rsidP="00827E8A">
      <w:pPr>
        <w:ind w:leftChars="200" w:left="420"/>
        <w:outlineLvl w:val="1"/>
        <w:rPr>
          <w:rFonts w:ascii="楷体" w:eastAsia="楷体" w:hAnsi="楷体"/>
          <w:b/>
          <w:color w:val="000000" w:themeColor="text1"/>
          <w:sz w:val="24"/>
          <w:szCs w:val="24"/>
        </w:rPr>
      </w:pPr>
      <w:bookmarkStart w:id="40" w:name="_Toc139615491"/>
      <w:r>
        <w:rPr>
          <w:rFonts w:ascii="楷体" w:eastAsia="楷体" w:hAnsi="楷体" w:hint="eastAsia"/>
          <w:b/>
          <w:color w:val="000000" w:themeColor="text1"/>
          <w:sz w:val="24"/>
          <w:szCs w:val="24"/>
        </w:rPr>
        <w:t>MEG：</w:t>
      </w:r>
      <w:r w:rsidR="00827E8A" w:rsidRPr="00827E8A">
        <w:rPr>
          <w:rFonts w:ascii="楷体" w:eastAsia="楷体" w:hAnsi="楷体" w:hint="eastAsia"/>
          <w:b/>
          <w:color w:val="000000" w:themeColor="text1"/>
          <w:sz w:val="24"/>
          <w:szCs w:val="24"/>
        </w:rPr>
        <w:t>上行驱动不足 震荡筑底</w:t>
      </w:r>
      <w:bookmarkEnd w:id="40"/>
    </w:p>
    <w:p w:rsidR="003F56A5" w:rsidRDefault="00827E8A" w:rsidP="00115EE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供需情况，7.3华东主港地区MEG港口库存约102.8万吨附近，环比上期增加5.2万吨，截至7月6日，中国大陆地区乙二醇整体开工负荷在66.39%（+2.08%），其中煤制乙二醇开工负荷在60.35%（-5.70%），其中煤制乙二醇开工负荷在66.05%（+0.33%）。煤化工方面，近期陕煤榆林化学一60万吨将于7月中下旬停车，另外60万吨在随后也有停车需要，预计时间均在10-15天左右；陕煤渭化一套30万吨/年的乙二醇装置因不可抗力停车，煤化工大型装置检修提前供应环比改善。截至7.6，初步核算国内大陆地区聚酯负荷在93.5%附近。江浙终端开工率局部调整， 江浙加弹综合开工率82%，江浙织机综合开工率72%（+1%），江浙印染综合开工率75%（+3%），江浙终端工厂原料备货再次增加。进口市场来看，6月底7月初远洋货将逐步抵港，现货环节可流动性仍在释放中。展望后市，近期天气异常炎热</w:t>
      </w:r>
      <w:r w:rsidRPr="00827E8A">
        <w:rPr>
          <w:rFonts w:ascii="楷体" w:eastAsia="楷体" w:hAnsi="楷体" w:hint="eastAsia"/>
          <w:color w:val="000000" w:themeColor="text1"/>
          <w:sz w:val="24"/>
          <w:szCs w:val="24"/>
        </w:rPr>
        <w:lastRenderedPageBreak/>
        <w:t>迎峰度夏，乙二醇成本端煤炭、乙烯及天然气走强，叠加聚酯高开工带动下乙二醇走出一波估值修复行情。后续来看，据悉目前煤化工个别工厂供货偏紧，能耗管控拉闸限电对煤化工供给端仍带来收缩预期，7-8月有望从累库转为去库格局，短期不具备继续做空价值。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61549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产销好转，延续震荡反弹</w:t>
      </w:r>
      <w:bookmarkEnd w:id="41"/>
    </w:p>
    <w:p w:rsidR="00A71A7E" w:rsidRDefault="00827E8A" w:rsidP="001F79C6">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隆众资讯7月6日报道：今日浮法玻璃现货价格1853，较上交易日-5。供给端,本周浮法产量116.18万吨，环比+0.78%，同比-3.28%。库存上，周内浮法玻璃厂库总库存5589.7万重箱，环比增加15.82万重箱，环比+0.28%。日度均销较上周增加，其中华北、华南区域周均产销超百，周内行业去库相对明显。需求端，下游加工厂库存不多，但订单量一般，淡季保持刚需补库。整体来看，基本面产销好转，基差相向走缩。盘面延续震荡反弹，但供给端后续点火压力尚在，产销持续性存忧，预计反弹有限，区间操作为主。短期建议多单继续持有</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61549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周内去库，窄幅震荡格局暂未打破</w:t>
      </w:r>
      <w:bookmarkEnd w:id="42"/>
    </w:p>
    <w:p w:rsidR="00A71A7E" w:rsidRDefault="00827E8A" w:rsidP="00A71A7E">
      <w:pPr>
        <w:ind w:leftChars="300" w:left="630"/>
        <w:rPr>
          <w:rFonts w:ascii="楷体" w:eastAsia="楷体" w:hAnsi="楷体"/>
          <w:bCs/>
          <w:sz w:val="24"/>
          <w:szCs w:val="24"/>
        </w:rPr>
      </w:pPr>
      <w:r w:rsidRPr="00827E8A">
        <w:rPr>
          <w:rFonts w:ascii="楷体" w:eastAsia="楷体" w:hAnsi="楷体" w:hint="eastAsia"/>
          <w:color w:val="000000" w:themeColor="text1"/>
          <w:sz w:val="24"/>
          <w:szCs w:val="24"/>
        </w:rPr>
        <w:t>国内纯碱市场价格近期无大幅变化。供给端，周内纯碱产量56.02万吨，环比下降4.32万吨，下降7.16%。检修逐步兑现。产量和开工下滑加上低库存给予碱厂挺价信心，短期现货价格稳定。库存上，周内纯碱厂家库存39.58万吨，环比下降，轻重同步下跌，其中重碱去库较大。需求上，周内纯碱企业待发订单稳中小增，维持13-14天；但远月扩产过剩情况下，下游采购不积极，刚需采购为主。盘面区间震荡幅度收窄。短期上下均无强驱动力，走基差修复行情。市场多空博弈平衡尚需新的刺激打破，盘面流动性收缩，振幅收窄。静待市场选择方向。重点关注：1）夏检企业是否如期，2）下游玻璃需求情况 3)天然碱投产能能否如期上量</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6154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61549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27E8A" w:rsidRPr="00827E8A">
        <w:rPr>
          <w:rFonts w:ascii="楷体" w:eastAsia="楷体" w:hAnsi="楷体" w:hint="eastAsia"/>
          <w:b/>
          <w:sz w:val="24"/>
          <w:szCs w:val="24"/>
        </w:rPr>
        <w:t>短期维持高位震荡，关注7月USDA报告</w:t>
      </w:r>
      <w:bookmarkEnd w:id="44"/>
    </w:p>
    <w:p w:rsidR="003F56A5" w:rsidRDefault="00827E8A">
      <w:pPr>
        <w:ind w:leftChars="300" w:left="630"/>
        <w:rPr>
          <w:rFonts w:ascii="楷体" w:eastAsia="楷体" w:hAnsi="楷体"/>
          <w:sz w:val="24"/>
          <w:szCs w:val="24"/>
        </w:rPr>
      </w:pPr>
      <w:r w:rsidRPr="00827E8A">
        <w:rPr>
          <w:rFonts w:ascii="楷体" w:eastAsia="楷体" w:hAnsi="楷体" w:hint="eastAsia"/>
          <w:sz w:val="24"/>
          <w:szCs w:val="24"/>
        </w:rPr>
        <w:t>国际方面，天气升水带来支撑，当前加拿大产区也面临干旱威胁，不利于菜籽生长。随着美豆逐步进入关键生长期，近期降雨能否有效缓解干旱仍待继续关注。关注7月USDA报告对单产及产量的调整。当前美豆种植情况仍不乐观，优良率持续走低，截至7月3日当周，美国大豆优良率为50%，低于市场预期的52%，前一周为51%，上年同期为63%。巴西当前基本完成收割，大豆销售量达到预期产量的60%以上，6月出口预计达1430万吨。国内市场，随着当前大豆到港量增加，油厂已基本恢复开机压榨，但压榨节奏表现有差异，部分地区压榨较为缓慢，但累库趋势不变，当前主流油厂豆粕现货报价小幅下调至4130-4230元/吨，现货基差仍有压力。大豆4-6月到港量较大，5月进口到港1202万吨，环比增66%，到港仍较充裕。下游养殖利润表现仍不佳，且在杂粕替代下饲企和养殖企业等对豆粕饲用需求增量有限，在后续供应宽松下，现货基差仍有压力。菜粕当前供给相对偏紧，随着6月份后菜籽到港预计减少，油厂压榨也将逐步下滑。而需求方面在近期天气逐步回暖后，为华南水产需求旺季，替代需求方面，豆</w:t>
      </w:r>
      <w:r w:rsidRPr="00827E8A">
        <w:rPr>
          <w:rFonts w:ascii="楷体" w:eastAsia="楷体" w:hAnsi="楷体" w:hint="eastAsia"/>
          <w:sz w:val="24"/>
          <w:szCs w:val="24"/>
        </w:rPr>
        <w:lastRenderedPageBreak/>
        <w:t>粕价格偏高，菜粕性价比仍存，整体供需表现紧张，对价格构成支撑。策略方面，短期走势预计偏强，建议偏多参与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615496"/>
      <w:r>
        <w:rPr>
          <w:rFonts w:ascii="楷体" w:eastAsia="楷体" w:hAnsi="楷体" w:hint="eastAsia"/>
          <w:b/>
          <w:color w:val="000000" w:themeColor="text1"/>
          <w:sz w:val="24"/>
          <w:szCs w:val="24"/>
        </w:rPr>
        <w:t>油脂：</w:t>
      </w:r>
      <w:r w:rsidR="00827E8A" w:rsidRPr="00827E8A">
        <w:rPr>
          <w:rFonts w:ascii="楷体" w:eastAsia="楷体" w:hAnsi="楷体" w:hint="eastAsia"/>
          <w:b/>
          <w:sz w:val="24"/>
          <w:szCs w:val="24"/>
        </w:rPr>
        <w:t>建议回调后偏多参与</w:t>
      </w:r>
      <w:bookmarkEnd w:id="45"/>
    </w:p>
    <w:p w:rsidR="003F56A5" w:rsidRDefault="00827E8A" w:rsidP="00792D31">
      <w:pPr>
        <w:ind w:leftChars="300" w:left="630"/>
        <w:rPr>
          <w:rFonts w:ascii="楷体" w:eastAsia="楷体" w:hAnsi="楷体"/>
          <w:sz w:val="24"/>
          <w:szCs w:val="24"/>
        </w:rPr>
      </w:pPr>
      <w:r w:rsidRPr="00827E8A">
        <w:rPr>
          <w:rFonts w:ascii="楷体" w:eastAsia="楷体" w:hAnsi="楷体" w:hint="eastAsia"/>
          <w:sz w:val="24"/>
          <w:szCs w:val="24"/>
        </w:rPr>
        <w:t>国际市场，获利了结及美国中西部出现利于作物生长的温和降雨，外盘美豆油回调；但加拿大部分地区干旱，不利于作物生长，对菜系构成支撑。棕榈油，在下周一MPOB报告公布前，市场预估马来西亚6月底的棕榈油库存为186万吨，环比增长约10.5%，创下四个月新高，因为出口低迷；6月份产量预计为151万吨，环比下降0.8%；出口可能增长0.7%，达到109万吨。虽市场开始炒作厄尔尼诺现象，但中期无法改变产地棕榈油累库的趋势，关注马棕产量修复情况。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虽5月初在大豆入关问题下，油厂开机不及预期，豆油供给修复缓慢。但随着4-7月进口大豆到港增加，豆油供应持续修复。需求端，在中小学及高校陆续进入暑期，且无大型节日消费提振，预计进入消费淡季。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加快去库仍需通过对竞争油脂替代来消耗。短期油脂谨慎看多，做多菜豆价差可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615497"/>
      <w:r>
        <w:rPr>
          <w:rFonts w:ascii="楷体" w:eastAsia="楷体" w:hAnsi="楷体" w:hint="eastAsia"/>
          <w:b/>
          <w:bCs/>
          <w:color w:val="000000" w:themeColor="text1"/>
        </w:rPr>
        <w:t>玉米与淀粉：</w:t>
      </w:r>
      <w:r w:rsidR="00827E8A" w:rsidRPr="00827E8A">
        <w:rPr>
          <w:rFonts w:ascii="楷体" w:eastAsia="楷体" w:hAnsi="楷体" w:hint="eastAsia"/>
          <w:b/>
        </w:rPr>
        <w:t>现货带动期价延续强势</w:t>
      </w:r>
      <w:bookmarkEnd w:id="46"/>
    </w:p>
    <w:p w:rsidR="00827E8A" w:rsidRPr="00827E8A" w:rsidRDefault="00827E8A" w:rsidP="00827E8A">
      <w:pPr>
        <w:pStyle w:val="paragraph"/>
        <w:spacing w:before="60" w:after="60"/>
        <w:ind w:leftChars="300" w:left="630"/>
        <w:rPr>
          <w:rFonts w:ascii="楷体" w:eastAsia="楷体" w:hAnsi="楷体" w:hint="eastAsia"/>
        </w:rPr>
      </w:pPr>
      <w:r w:rsidRPr="00827E8A">
        <w:rPr>
          <w:rFonts w:ascii="楷体" w:eastAsia="楷体" w:hAnsi="楷体" w:hint="eastAsia"/>
        </w:rPr>
        <w:t>对于玉米而言，在前期提及的两个方面的上涨驱动中，外盘天气炒作熄火叠加美玉米种植面积增加，但考虑到国家严查玉米保税区进口，这使得玉米期价仍有望受到陈化水稻抛储出库成本的支撑。旧作被动补库存逻辑依然成立，因下游需求企业玉米库存依然低位，产销区和华北-东北玉米已持续走扩，后期需要留意小麦饲用替代和陈化水稻抛储政策两个方面。我们仍建议继续关注前期提及的两个方面的上涨驱动，短期由于期现货价格持续上涨过后对供需两端的影响，叠加外盘天气熄火和美玉米种植面积大增的影响，玉米期现货可能出现阶段性回落，但考虑到进口受阻，陈化水稻成本支撑，其回落空间或有限。在这种情况下，我们维持谨慎看多观点。</w:t>
      </w:r>
    </w:p>
    <w:p w:rsidR="003F56A5" w:rsidRDefault="00827E8A" w:rsidP="00827E8A">
      <w:pPr>
        <w:pStyle w:val="paragraph"/>
        <w:spacing w:before="60" w:beforeAutospacing="0" w:after="60" w:afterAutospacing="0"/>
        <w:ind w:leftChars="300" w:left="630"/>
        <w:rPr>
          <w:rFonts w:ascii="楷体" w:eastAsia="楷体" w:hAnsi="楷体"/>
        </w:rPr>
      </w:pPr>
      <w:r w:rsidRPr="00827E8A">
        <w:rPr>
          <w:rFonts w:ascii="楷体" w:eastAsia="楷体" w:hAnsi="楷体" w:hint="eastAsia"/>
        </w:rPr>
        <w:t>对于淀粉而言，6月期间淀粉-玉米价差先抑后扬，整体大幅走扩，主要源于行业供需改善及其原料成本上涨带动下的基差修复。后期需要关注两个方面的风险，其一是豆粕有望带动副产品价格上涨；其二在经历季节性旺季的补库之后，根据往年规律，淀粉出库量（表观需求量）会出现阶段性的低迷期。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615498"/>
      <w:r>
        <w:rPr>
          <w:rFonts w:ascii="楷体" w:eastAsia="楷体" w:hAnsi="楷体" w:hint="eastAsia"/>
          <w:b/>
          <w:bCs/>
          <w:color w:val="000000" w:themeColor="text1"/>
        </w:rPr>
        <w:lastRenderedPageBreak/>
        <w:t>畜禽养殖：</w:t>
      </w:r>
      <w:r w:rsidR="00827E8A" w:rsidRPr="00827E8A">
        <w:rPr>
          <w:rFonts w:ascii="楷体" w:eastAsia="楷体" w:hAnsi="楷体" w:hint="eastAsia"/>
          <w:b/>
          <w:bCs/>
          <w:color w:val="000000" w:themeColor="text1"/>
        </w:rPr>
        <w:t>生猪现货缺乏上涨持续性，期价延续低位震荡</w:t>
      </w:r>
      <w:bookmarkEnd w:id="47"/>
    </w:p>
    <w:p w:rsidR="00827E8A" w:rsidRPr="00827E8A" w:rsidRDefault="00827E8A" w:rsidP="00827E8A">
      <w:pPr>
        <w:pStyle w:val="paragraph"/>
        <w:spacing w:before="60" w:after="60"/>
        <w:ind w:leftChars="300" w:left="630"/>
        <w:rPr>
          <w:rFonts w:ascii="楷体" w:eastAsia="楷体" w:hAnsi="楷体" w:hint="eastAsia"/>
        </w:rPr>
      </w:pPr>
      <w:r w:rsidRPr="00827E8A">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观点由前期的中性转为谨慎看多。</w:t>
      </w:r>
    </w:p>
    <w:p w:rsidR="003F56A5" w:rsidRDefault="00827E8A" w:rsidP="00827E8A">
      <w:pPr>
        <w:pStyle w:val="paragraph"/>
        <w:spacing w:before="60" w:beforeAutospacing="0" w:after="60" w:afterAutospacing="0"/>
        <w:ind w:leftChars="300" w:left="630"/>
        <w:rPr>
          <w:rFonts w:ascii="楷体" w:eastAsia="楷体" w:hAnsi="楷体"/>
        </w:rPr>
      </w:pPr>
      <w:r w:rsidRPr="00827E8A">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615499"/>
      <w:r>
        <w:rPr>
          <w:rFonts w:ascii="楷体" w:eastAsia="楷体" w:hAnsi="楷体" w:hint="eastAsia"/>
          <w:b/>
          <w:sz w:val="24"/>
          <w:szCs w:val="24"/>
        </w:rPr>
        <w:t>郑棉：</w:t>
      </w:r>
      <w:r w:rsidR="00827E8A" w:rsidRPr="00827E8A">
        <w:rPr>
          <w:rFonts w:ascii="楷体" w:eastAsia="楷体" w:hAnsi="楷体" w:hint="eastAsia"/>
          <w:b/>
          <w:sz w:val="24"/>
          <w:szCs w:val="24"/>
        </w:rPr>
        <w:t>预计09合约区间震荡，看跌期权卖权持有或等待低位买入机会</w:t>
      </w:r>
      <w:bookmarkEnd w:id="48"/>
    </w:p>
    <w:p w:rsidR="003F56A5" w:rsidRDefault="00827E8A" w:rsidP="007B3290">
      <w:pPr>
        <w:ind w:leftChars="300" w:left="630"/>
        <w:rPr>
          <w:rFonts w:ascii="楷体" w:eastAsia="楷体" w:hAnsi="楷体"/>
          <w:sz w:val="24"/>
          <w:szCs w:val="24"/>
        </w:rPr>
      </w:pPr>
      <w:r w:rsidRPr="00827E8A">
        <w:rPr>
          <w:rFonts w:ascii="楷体" w:eastAsia="楷体" w:hAnsi="楷体" w:hint="eastAsia"/>
          <w:sz w:val="24"/>
          <w:szCs w:val="24"/>
        </w:rPr>
        <w:t>联合国世界气象组织正式宣布厄尔尼诺现象在太平洋出现。叠加美国农业部多个报告，农产品板块近期显著走强。天气因素对内外棉产量的预期此前已有部分预期体现，因此郑棉的反馈显著小于其他农作物品种。但农产品板块的强势，以及国内商品近期的走强都对郑棉起支撑作用。尽管短期内受限于产业在淡季难以支撑高价原料的桎梏，但下方空间同样有限。预计郑棉高位宽幅震荡，区间1.62-1.72万元/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85" w:rsidRDefault="00973185">
      <w:r>
        <w:separator/>
      </w:r>
    </w:p>
  </w:endnote>
  <w:endnote w:type="continuationSeparator" w:id="0">
    <w:p w:rsidR="00973185" w:rsidRDefault="0097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AFC3E44" wp14:editId="09ED5CB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23E58">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23E58">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85" w:rsidRDefault="00973185">
      <w:r>
        <w:separator/>
      </w:r>
    </w:p>
  </w:footnote>
  <w:footnote w:type="continuationSeparator" w:id="0">
    <w:p w:rsidR="00973185" w:rsidRDefault="009731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E9F4B3F" wp14:editId="5016851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209CFA9" wp14:editId="7D706CA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827E8A">
      <w:rPr>
        <w:rFonts w:ascii="Times New Roman" w:eastAsia="楷体" w:hAnsi="Times New Roman" w:hint="eastAsia"/>
        <w:b/>
        <w:bCs/>
        <w:noProof/>
        <w:color w:val="833C0B"/>
        <w:sz w:val="21"/>
      </w:rPr>
      <w:t>2023</w:t>
    </w:r>
    <w:r w:rsidR="00827E8A">
      <w:rPr>
        <w:rFonts w:ascii="Times New Roman" w:eastAsia="楷体" w:hAnsi="Times New Roman" w:hint="eastAsia"/>
        <w:b/>
        <w:bCs/>
        <w:noProof/>
        <w:color w:val="833C0B"/>
        <w:sz w:val="21"/>
      </w:rPr>
      <w:t>年</w:t>
    </w:r>
    <w:r w:rsidR="00827E8A">
      <w:rPr>
        <w:rFonts w:ascii="Times New Roman" w:eastAsia="楷体" w:hAnsi="Times New Roman" w:hint="eastAsia"/>
        <w:b/>
        <w:bCs/>
        <w:noProof/>
        <w:color w:val="833C0B"/>
        <w:sz w:val="21"/>
      </w:rPr>
      <w:t>7</w:t>
    </w:r>
    <w:r w:rsidR="00827E8A">
      <w:rPr>
        <w:rFonts w:ascii="Times New Roman" w:eastAsia="楷体" w:hAnsi="Times New Roman" w:hint="eastAsia"/>
        <w:b/>
        <w:bCs/>
        <w:noProof/>
        <w:color w:val="833C0B"/>
        <w:sz w:val="21"/>
      </w:rPr>
      <w:t>月</w:t>
    </w:r>
    <w:r w:rsidR="00827E8A">
      <w:rPr>
        <w:rFonts w:ascii="Times New Roman" w:eastAsia="楷体" w:hAnsi="Times New Roman" w:hint="eastAsia"/>
        <w:b/>
        <w:bCs/>
        <w:noProof/>
        <w:color w:val="833C0B"/>
        <w:sz w:val="21"/>
      </w:rPr>
      <w:t>7</w:t>
    </w:r>
    <w:r w:rsidR="00827E8A">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A885D-3A2D-471E-963E-4E192A66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9</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27</cp:revision>
  <cp:lastPrinted>2023-06-08T02:23:00Z</cp:lastPrinted>
  <dcterms:created xsi:type="dcterms:W3CDTF">2022-11-15T10:06:00Z</dcterms:created>
  <dcterms:modified xsi:type="dcterms:W3CDTF">2023-07-07T01:44:00Z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