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bookmarkStart w:id="1" w:name="_GoBack"/>
      <w:bookmarkEnd w:id="1"/>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D1367C"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9273928" w:history="1">
            <w:r w:rsidR="00D1367C" w:rsidRPr="00A137C0">
              <w:rPr>
                <w:rStyle w:val="a9"/>
                <w:rFonts w:ascii="Times New Roman" w:eastAsia="楷体" w:hAnsi="Times New Roman"/>
                <w:b/>
                <w:noProof/>
              </w:rPr>
              <w:t>[</w:t>
            </w:r>
            <w:r w:rsidR="00D1367C" w:rsidRPr="00A137C0">
              <w:rPr>
                <w:rStyle w:val="a9"/>
                <w:rFonts w:ascii="Times New Roman" w:eastAsia="楷体" w:hAnsi="Times New Roman"/>
                <w:b/>
                <w:noProof/>
              </w:rPr>
              <w:t>金融</w:t>
            </w:r>
            <w:r w:rsidR="00D1367C" w:rsidRPr="00A137C0">
              <w:rPr>
                <w:rStyle w:val="a9"/>
                <w:rFonts w:ascii="Times New Roman" w:eastAsia="楷体" w:hAnsi="Times New Roman"/>
                <w:b/>
                <w:noProof/>
              </w:rPr>
              <w:t>]</w:t>
            </w:r>
          </w:hyperlink>
        </w:p>
        <w:p w:rsidR="00D1367C" w:rsidRDefault="00D1367C">
          <w:pPr>
            <w:pStyle w:val="23"/>
            <w:tabs>
              <w:tab w:val="right" w:leader="dot" w:pos="8296"/>
            </w:tabs>
            <w:rPr>
              <w:rFonts w:eastAsiaTheme="minorEastAsia"/>
              <w:noProof/>
              <w:szCs w:val="22"/>
            </w:rPr>
          </w:pPr>
          <w:hyperlink w:anchor="_Toc139273929" w:history="1">
            <w:r w:rsidRPr="00A137C0">
              <w:rPr>
                <w:rStyle w:val="a9"/>
                <w:rFonts w:ascii="Times New Roman" w:eastAsia="楷体" w:hAnsi="Times New Roman"/>
                <w:b/>
                <w:noProof/>
              </w:rPr>
              <w:t>股指：关注</w:t>
            </w:r>
            <w:r w:rsidRPr="00A137C0">
              <w:rPr>
                <w:rStyle w:val="a9"/>
                <w:rFonts w:ascii="Times New Roman" w:eastAsia="楷体" w:hAnsi="Times New Roman"/>
                <w:b/>
                <w:noProof/>
              </w:rPr>
              <w:t>IF</w:t>
            </w:r>
            <w:r w:rsidRPr="00A137C0">
              <w:rPr>
                <w:rStyle w:val="a9"/>
                <w:rFonts w:ascii="Times New Roman" w:eastAsia="楷体" w:hAnsi="Times New Roman"/>
                <w:b/>
                <w:noProof/>
              </w:rPr>
              <w:t>、</w:t>
            </w:r>
            <w:r w:rsidRPr="00A137C0">
              <w:rPr>
                <w:rStyle w:val="a9"/>
                <w:rFonts w:ascii="Times New Roman" w:eastAsia="楷体" w:hAnsi="Times New Roman"/>
                <w:b/>
                <w:noProof/>
              </w:rPr>
              <w:t>IM</w:t>
            </w:r>
            <w:r w:rsidRPr="00A137C0">
              <w:rPr>
                <w:rStyle w:val="a9"/>
                <w:rFonts w:ascii="Times New Roman" w:eastAsia="楷体" w:hAnsi="Times New Roman"/>
                <w:b/>
                <w:noProof/>
              </w:rPr>
              <w:t>低多机会</w:t>
            </w:r>
          </w:hyperlink>
        </w:p>
        <w:p w:rsidR="00D1367C" w:rsidRDefault="00D1367C">
          <w:pPr>
            <w:pStyle w:val="11"/>
            <w:tabs>
              <w:tab w:val="right" w:leader="dot" w:pos="8296"/>
            </w:tabs>
            <w:rPr>
              <w:rFonts w:eastAsiaTheme="minorEastAsia"/>
              <w:noProof/>
              <w:szCs w:val="22"/>
            </w:rPr>
          </w:pPr>
          <w:hyperlink w:anchor="_Toc139273930" w:history="1">
            <w:r w:rsidRPr="00A137C0">
              <w:rPr>
                <w:rStyle w:val="a9"/>
                <w:rFonts w:ascii="Times New Roman" w:eastAsia="楷体" w:hAnsi="Times New Roman"/>
                <w:b/>
                <w:noProof/>
              </w:rPr>
              <w:t>[</w:t>
            </w:r>
            <w:r w:rsidRPr="00A137C0">
              <w:rPr>
                <w:rStyle w:val="a9"/>
                <w:rFonts w:ascii="Times New Roman" w:eastAsia="楷体" w:hAnsi="Times New Roman"/>
                <w:b/>
                <w:noProof/>
              </w:rPr>
              <w:t>贵金属</w:t>
            </w:r>
            <w:r w:rsidRPr="00A137C0">
              <w:rPr>
                <w:rStyle w:val="a9"/>
                <w:rFonts w:ascii="Times New Roman" w:eastAsia="楷体" w:hAnsi="Times New Roman"/>
                <w:b/>
                <w:noProof/>
              </w:rPr>
              <w:t>]</w:t>
            </w:r>
          </w:hyperlink>
        </w:p>
        <w:p w:rsidR="00D1367C" w:rsidRDefault="00D1367C">
          <w:pPr>
            <w:pStyle w:val="23"/>
            <w:tabs>
              <w:tab w:val="right" w:leader="dot" w:pos="8296"/>
            </w:tabs>
            <w:rPr>
              <w:rFonts w:eastAsiaTheme="minorEastAsia"/>
              <w:noProof/>
              <w:szCs w:val="22"/>
            </w:rPr>
          </w:pPr>
          <w:hyperlink w:anchor="_Toc139273931" w:history="1">
            <w:r w:rsidRPr="00A137C0">
              <w:rPr>
                <w:rStyle w:val="a9"/>
                <w:rFonts w:ascii="Times New Roman" w:eastAsia="楷体" w:hAnsi="Times New Roman"/>
                <w:b/>
                <w:noProof/>
              </w:rPr>
              <w:t>贵金属：美国</w:t>
            </w:r>
            <w:r w:rsidRPr="00A137C0">
              <w:rPr>
                <w:rStyle w:val="a9"/>
                <w:rFonts w:ascii="Times New Roman" w:eastAsia="楷体" w:hAnsi="Times New Roman"/>
                <w:b/>
                <w:noProof/>
              </w:rPr>
              <w:t>PCE</w:t>
            </w:r>
            <w:r w:rsidRPr="00A137C0">
              <w:rPr>
                <w:rStyle w:val="a9"/>
                <w:rFonts w:ascii="Times New Roman" w:eastAsia="楷体" w:hAnsi="Times New Roman"/>
                <w:b/>
                <w:noProof/>
              </w:rPr>
              <w:t>通胀回落，贵金属价格小幅反弹</w:t>
            </w:r>
          </w:hyperlink>
        </w:p>
        <w:p w:rsidR="00D1367C" w:rsidRDefault="00D1367C">
          <w:pPr>
            <w:pStyle w:val="11"/>
            <w:tabs>
              <w:tab w:val="right" w:leader="dot" w:pos="8296"/>
            </w:tabs>
            <w:rPr>
              <w:rFonts w:eastAsiaTheme="minorEastAsia"/>
              <w:noProof/>
              <w:szCs w:val="22"/>
            </w:rPr>
          </w:pPr>
          <w:hyperlink w:anchor="_Toc139273932" w:history="1">
            <w:r w:rsidRPr="00A137C0">
              <w:rPr>
                <w:rStyle w:val="a9"/>
                <w:rFonts w:ascii="Times New Roman" w:eastAsia="楷体" w:hAnsi="Times New Roman"/>
                <w:b/>
                <w:noProof/>
              </w:rPr>
              <w:t>[</w:t>
            </w:r>
            <w:r w:rsidRPr="00A137C0">
              <w:rPr>
                <w:rStyle w:val="a9"/>
                <w:rFonts w:ascii="Times New Roman" w:eastAsia="楷体" w:hAnsi="Times New Roman"/>
                <w:b/>
                <w:noProof/>
              </w:rPr>
              <w:t>金属</w:t>
            </w:r>
            <w:r w:rsidRPr="00A137C0">
              <w:rPr>
                <w:rStyle w:val="a9"/>
                <w:rFonts w:ascii="Times New Roman" w:eastAsia="楷体" w:hAnsi="Times New Roman"/>
                <w:b/>
                <w:noProof/>
              </w:rPr>
              <w:t>]</w:t>
            </w:r>
          </w:hyperlink>
        </w:p>
        <w:p w:rsidR="00D1367C" w:rsidRDefault="00D1367C">
          <w:pPr>
            <w:pStyle w:val="23"/>
            <w:tabs>
              <w:tab w:val="right" w:leader="dot" w:pos="8296"/>
            </w:tabs>
            <w:rPr>
              <w:rFonts w:eastAsiaTheme="minorEastAsia"/>
              <w:noProof/>
              <w:szCs w:val="22"/>
            </w:rPr>
          </w:pPr>
          <w:hyperlink w:anchor="_Toc139273933" w:history="1">
            <w:r w:rsidRPr="00A137C0">
              <w:rPr>
                <w:rStyle w:val="a9"/>
                <w:rFonts w:ascii="楷体" w:eastAsia="楷体" w:hAnsi="楷体"/>
                <w:b/>
                <w:noProof/>
              </w:rPr>
              <w:t>螺纹钢：预期与现实并不共振，或继续震荡运行</w:t>
            </w:r>
          </w:hyperlink>
        </w:p>
        <w:p w:rsidR="00D1367C" w:rsidRDefault="00D1367C">
          <w:pPr>
            <w:pStyle w:val="23"/>
            <w:tabs>
              <w:tab w:val="right" w:leader="dot" w:pos="8296"/>
            </w:tabs>
            <w:rPr>
              <w:rFonts w:eastAsiaTheme="minorEastAsia"/>
              <w:noProof/>
              <w:szCs w:val="22"/>
            </w:rPr>
          </w:pPr>
          <w:hyperlink w:anchor="_Toc139273934" w:history="1">
            <w:r w:rsidRPr="00A137C0">
              <w:rPr>
                <w:rStyle w:val="a9"/>
                <w:rFonts w:ascii="楷体" w:eastAsia="楷体" w:hAnsi="楷体"/>
                <w:b/>
                <w:noProof/>
              </w:rPr>
              <w:t>焦炭：现货提涨尚未落地，盘面上下两难</w:t>
            </w:r>
          </w:hyperlink>
        </w:p>
        <w:p w:rsidR="00D1367C" w:rsidRDefault="00D1367C">
          <w:pPr>
            <w:pStyle w:val="23"/>
            <w:tabs>
              <w:tab w:val="right" w:leader="dot" w:pos="8296"/>
            </w:tabs>
            <w:rPr>
              <w:rFonts w:eastAsiaTheme="minorEastAsia"/>
              <w:noProof/>
              <w:szCs w:val="22"/>
            </w:rPr>
          </w:pPr>
          <w:hyperlink w:anchor="_Toc139273935" w:history="1">
            <w:r w:rsidRPr="00A137C0">
              <w:rPr>
                <w:rStyle w:val="a9"/>
                <w:rFonts w:ascii="楷体" w:eastAsia="楷体" w:hAnsi="楷体"/>
                <w:b/>
                <w:noProof/>
              </w:rPr>
              <w:t>焦煤：安全事故下，煤价偏强运行</w:t>
            </w:r>
          </w:hyperlink>
        </w:p>
        <w:p w:rsidR="00D1367C" w:rsidRDefault="00D1367C">
          <w:pPr>
            <w:pStyle w:val="23"/>
            <w:tabs>
              <w:tab w:val="right" w:leader="dot" w:pos="8296"/>
            </w:tabs>
            <w:rPr>
              <w:rFonts w:eastAsiaTheme="minorEastAsia"/>
              <w:noProof/>
              <w:szCs w:val="22"/>
            </w:rPr>
          </w:pPr>
          <w:hyperlink w:anchor="_Toc139273936" w:history="1">
            <w:r w:rsidRPr="00A137C0">
              <w:rPr>
                <w:rStyle w:val="a9"/>
                <w:rFonts w:ascii="楷体" w:eastAsia="楷体" w:hAnsi="楷体"/>
                <w:b/>
                <w:noProof/>
              </w:rPr>
              <w:t>铜：维持高位震荡</w:t>
            </w:r>
          </w:hyperlink>
        </w:p>
        <w:p w:rsidR="00D1367C" w:rsidRDefault="00D1367C">
          <w:pPr>
            <w:pStyle w:val="23"/>
            <w:tabs>
              <w:tab w:val="right" w:leader="dot" w:pos="8296"/>
            </w:tabs>
            <w:rPr>
              <w:rFonts w:eastAsiaTheme="minorEastAsia"/>
              <w:noProof/>
              <w:szCs w:val="22"/>
            </w:rPr>
          </w:pPr>
          <w:hyperlink w:anchor="_Toc139273937" w:history="1">
            <w:r w:rsidRPr="00A137C0">
              <w:rPr>
                <w:rStyle w:val="a9"/>
                <w:rFonts w:ascii="楷体" w:eastAsia="楷体" w:hAnsi="楷体"/>
                <w:b/>
                <w:noProof/>
              </w:rPr>
              <w:t>铝：基本面供增需减，短期或下探成本支撑</w:t>
            </w:r>
          </w:hyperlink>
        </w:p>
        <w:p w:rsidR="00D1367C" w:rsidRDefault="00D1367C">
          <w:pPr>
            <w:pStyle w:val="23"/>
            <w:tabs>
              <w:tab w:val="right" w:leader="dot" w:pos="8296"/>
            </w:tabs>
            <w:rPr>
              <w:rFonts w:eastAsiaTheme="minorEastAsia"/>
              <w:noProof/>
              <w:szCs w:val="22"/>
            </w:rPr>
          </w:pPr>
          <w:hyperlink w:anchor="_Toc139273938" w:history="1">
            <w:r w:rsidRPr="00A137C0">
              <w:rPr>
                <w:rStyle w:val="a9"/>
                <w:rFonts w:ascii="楷体" w:eastAsia="楷体" w:hAnsi="楷体"/>
                <w:b/>
                <w:noProof/>
              </w:rPr>
              <w:t>锌：锌市供需关系或转入平衡，短期价格仍有压力</w:t>
            </w:r>
          </w:hyperlink>
        </w:p>
        <w:p w:rsidR="00D1367C" w:rsidRDefault="00D1367C">
          <w:pPr>
            <w:pStyle w:val="23"/>
            <w:tabs>
              <w:tab w:val="right" w:leader="dot" w:pos="8296"/>
            </w:tabs>
            <w:rPr>
              <w:rFonts w:eastAsiaTheme="minorEastAsia"/>
              <w:noProof/>
              <w:szCs w:val="22"/>
            </w:rPr>
          </w:pPr>
          <w:hyperlink w:anchor="_Toc139273939" w:history="1">
            <w:r w:rsidRPr="00A137C0">
              <w:rPr>
                <w:rStyle w:val="a9"/>
                <w:rFonts w:ascii="楷体" w:eastAsia="楷体" w:hAnsi="楷体"/>
                <w:b/>
                <w:noProof/>
              </w:rPr>
              <w:t>镍：基本面过剩预期仍压制镍价</w:t>
            </w:r>
          </w:hyperlink>
        </w:p>
        <w:p w:rsidR="00D1367C" w:rsidRDefault="00D1367C">
          <w:pPr>
            <w:pStyle w:val="23"/>
            <w:tabs>
              <w:tab w:val="right" w:leader="dot" w:pos="8296"/>
            </w:tabs>
            <w:rPr>
              <w:rFonts w:eastAsiaTheme="minorEastAsia"/>
              <w:noProof/>
              <w:szCs w:val="22"/>
            </w:rPr>
          </w:pPr>
          <w:hyperlink w:anchor="_Toc139273940" w:history="1">
            <w:r w:rsidRPr="00A137C0">
              <w:rPr>
                <w:rStyle w:val="a9"/>
                <w:rFonts w:ascii="楷体" w:eastAsia="楷体" w:hAnsi="楷体"/>
                <w:b/>
                <w:noProof/>
              </w:rPr>
              <w:t>铅：宏观叠加基本面影响铝价走势偏空</w:t>
            </w:r>
          </w:hyperlink>
        </w:p>
        <w:p w:rsidR="00D1367C" w:rsidRDefault="00D1367C">
          <w:pPr>
            <w:pStyle w:val="23"/>
            <w:tabs>
              <w:tab w:val="right" w:leader="dot" w:pos="8296"/>
            </w:tabs>
            <w:rPr>
              <w:rFonts w:eastAsiaTheme="minorEastAsia"/>
              <w:noProof/>
              <w:szCs w:val="22"/>
            </w:rPr>
          </w:pPr>
          <w:hyperlink w:anchor="_Toc139273941" w:history="1">
            <w:r w:rsidRPr="00A137C0">
              <w:rPr>
                <w:rStyle w:val="a9"/>
                <w:rFonts w:ascii="楷体" w:eastAsia="楷体" w:hAnsi="楷体"/>
                <w:b/>
                <w:noProof/>
              </w:rPr>
              <w:t>不锈钢：需求淡季下社库转增，SS承压运行</w:t>
            </w:r>
          </w:hyperlink>
        </w:p>
        <w:p w:rsidR="00D1367C" w:rsidRDefault="00D1367C">
          <w:pPr>
            <w:pStyle w:val="23"/>
            <w:tabs>
              <w:tab w:val="right" w:leader="dot" w:pos="8296"/>
            </w:tabs>
            <w:rPr>
              <w:rFonts w:eastAsiaTheme="minorEastAsia"/>
              <w:noProof/>
              <w:szCs w:val="22"/>
            </w:rPr>
          </w:pPr>
          <w:hyperlink w:anchor="_Toc139273942" w:history="1">
            <w:r w:rsidRPr="00A137C0">
              <w:rPr>
                <w:rStyle w:val="a9"/>
                <w:rFonts w:ascii="楷体" w:eastAsia="楷体" w:hAnsi="楷体"/>
                <w:b/>
                <w:noProof/>
              </w:rPr>
              <w:t>工业硅：需求暂无明显改善，短期市场或震荡为主</w:t>
            </w:r>
          </w:hyperlink>
        </w:p>
        <w:p w:rsidR="00D1367C" w:rsidRDefault="00D1367C">
          <w:pPr>
            <w:pStyle w:val="11"/>
            <w:tabs>
              <w:tab w:val="right" w:leader="dot" w:pos="8296"/>
            </w:tabs>
            <w:rPr>
              <w:rFonts w:eastAsiaTheme="minorEastAsia"/>
              <w:noProof/>
              <w:szCs w:val="22"/>
            </w:rPr>
          </w:pPr>
          <w:hyperlink w:anchor="_Toc139273943" w:history="1">
            <w:r w:rsidRPr="00A137C0">
              <w:rPr>
                <w:rStyle w:val="a9"/>
                <w:rFonts w:ascii="Times New Roman" w:eastAsia="楷体" w:hAnsi="Times New Roman"/>
                <w:b/>
                <w:noProof/>
              </w:rPr>
              <w:t>[</w:t>
            </w:r>
            <w:r w:rsidRPr="00A137C0">
              <w:rPr>
                <w:rStyle w:val="a9"/>
                <w:rFonts w:ascii="Times New Roman" w:eastAsia="楷体" w:hAnsi="Times New Roman"/>
                <w:b/>
                <w:noProof/>
              </w:rPr>
              <w:t>化工</w:t>
            </w:r>
            <w:r w:rsidRPr="00A137C0">
              <w:rPr>
                <w:rStyle w:val="a9"/>
                <w:rFonts w:ascii="Times New Roman" w:eastAsia="楷体" w:hAnsi="Times New Roman"/>
                <w:b/>
                <w:noProof/>
              </w:rPr>
              <w:t>]</w:t>
            </w:r>
          </w:hyperlink>
        </w:p>
        <w:p w:rsidR="00D1367C" w:rsidRDefault="00D1367C">
          <w:pPr>
            <w:pStyle w:val="23"/>
            <w:tabs>
              <w:tab w:val="right" w:leader="dot" w:pos="8296"/>
            </w:tabs>
            <w:rPr>
              <w:rFonts w:eastAsiaTheme="minorEastAsia"/>
              <w:noProof/>
              <w:szCs w:val="22"/>
            </w:rPr>
          </w:pPr>
          <w:hyperlink w:anchor="_Toc139273944" w:history="1">
            <w:r w:rsidRPr="00A137C0">
              <w:rPr>
                <w:rStyle w:val="a9"/>
                <w:rFonts w:ascii="Times New Roman" w:eastAsia="楷体" w:hAnsi="Times New Roman"/>
                <w:b/>
                <w:noProof/>
              </w:rPr>
              <w:t>天然橡胶</w:t>
            </w:r>
            <w:r w:rsidRPr="00A137C0">
              <w:rPr>
                <w:rStyle w:val="a9"/>
                <w:rFonts w:ascii="Times New Roman" w:eastAsia="楷体" w:hAnsi="Times New Roman"/>
                <w:b/>
                <w:noProof/>
              </w:rPr>
              <w:t>:</w:t>
            </w:r>
            <w:r w:rsidRPr="00A137C0">
              <w:rPr>
                <w:rStyle w:val="a9"/>
                <w:rFonts w:ascii="楷体" w:eastAsia="楷体" w:hAnsi="楷体"/>
                <w:b/>
                <w:noProof/>
              </w:rPr>
              <w:t xml:space="preserve"> 短期持续上行动能不足，RU维持震荡走势为主</w:t>
            </w:r>
          </w:hyperlink>
        </w:p>
        <w:p w:rsidR="00D1367C" w:rsidRDefault="00D1367C">
          <w:pPr>
            <w:pStyle w:val="23"/>
            <w:tabs>
              <w:tab w:val="right" w:leader="dot" w:pos="8296"/>
            </w:tabs>
            <w:rPr>
              <w:rFonts w:eastAsiaTheme="minorEastAsia"/>
              <w:noProof/>
              <w:szCs w:val="22"/>
            </w:rPr>
          </w:pPr>
          <w:hyperlink w:anchor="_Toc139273945" w:history="1">
            <w:r w:rsidRPr="00A137C0">
              <w:rPr>
                <w:rStyle w:val="a9"/>
                <w:rFonts w:ascii="楷体" w:eastAsia="楷体" w:hAnsi="楷体"/>
                <w:b/>
                <w:noProof/>
              </w:rPr>
              <w:t xml:space="preserve">PTA：供需矛盾不明显 </w:t>
            </w:r>
            <w:r w:rsidRPr="00A137C0">
              <w:rPr>
                <w:rStyle w:val="a9"/>
                <w:rFonts w:ascii="Calibri" w:eastAsia="楷体" w:hAnsi="Calibri" w:cs="Calibri"/>
                <w:b/>
                <w:noProof/>
              </w:rPr>
              <w:t> </w:t>
            </w:r>
            <w:r w:rsidRPr="00A137C0">
              <w:rPr>
                <w:rStyle w:val="a9"/>
                <w:rFonts w:ascii="楷体" w:eastAsia="楷体" w:hAnsi="楷体"/>
                <w:b/>
                <w:noProof/>
              </w:rPr>
              <w:t>走势暂由成本端主导</w:t>
            </w:r>
          </w:hyperlink>
        </w:p>
        <w:p w:rsidR="00D1367C" w:rsidRDefault="00D1367C">
          <w:pPr>
            <w:pStyle w:val="23"/>
            <w:tabs>
              <w:tab w:val="right" w:leader="dot" w:pos="8296"/>
            </w:tabs>
            <w:rPr>
              <w:rFonts w:eastAsiaTheme="minorEastAsia"/>
              <w:noProof/>
              <w:szCs w:val="22"/>
            </w:rPr>
          </w:pPr>
          <w:hyperlink w:anchor="_Toc139273946" w:history="1">
            <w:r w:rsidRPr="00A137C0">
              <w:rPr>
                <w:rStyle w:val="a9"/>
                <w:rFonts w:ascii="楷体" w:eastAsia="楷体" w:hAnsi="楷体"/>
                <w:b/>
                <w:noProof/>
              </w:rPr>
              <w:t>PVC：高库存+弱复苏 驱动不足</w:t>
            </w:r>
          </w:hyperlink>
        </w:p>
        <w:p w:rsidR="00D1367C" w:rsidRDefault="00D1367C">
          <w:pPr>
            <w:pStyle w:val="23"/>
            <w:tabs>
              <w:tab w:val="right" w:leader="dot" w:pos="8296"/>
            </w:tabs>
            <w:rPr>
              <w:rFonts w:eastAsiaTheme="minorEastAsia"/>
              <w:noProof/>
              <w:szCs w:val="22"/>
            </w:rPr>
          </w:pPr>
          <w:hyperlink w:anchor="_Toc139273947" w:history="1">
            <w:r w:rsidRPr="00A137C0">
              <w:rPr>
                <w:rStyle w:val="a9"/>
                <w:rFonts w:ascii="楷体" w:eastAsia="楷体" w:hAnsi="楷体"/>
                <w:b/>
                <w:noProof/>
              </w:rPr>
              <w:t>聚烯烃：原油成本端上扬，聚烯烃或持稳</w:t>
            </w:r>
          </w:hyperlink>
        </w:p>
        <w:p w:rsidR="00D1367C" w:rsidRDefault="00D1367C">
          <w:pPr>
            <w:pStyle w:val="23"/>
            <w:tabs>
              <w:tab w:val="right" w:leader="dot" w:pos="8296"/>
            </w:tabs>
            <w:rPr>
              <w:rFonts w:eastAsiaTheme="minorEastAsia"/>
              <w:noProof/>
              <w:szCs w:val="22"/>
            </w:rPr>
          </w:pPr>
          <w:hyperlink w:anchor="_Toc139273948" w:history="1">
            <w:r w:rsidRPr="00A137C0">
              <w:rPr>
                <w:rStyle w:val="a9"/>
                <w:rFonts w:ascii="楷体" w:eastAsia="楷体" w:hAnsi="楷体"/>
                <w:b/>
                <w:noProof/>
              </w:rPr>
              <w:t>MEG：供应增量明显 乙二醇反弹空间受限</w:t>
            </w:r>
          </w:hyperlink>
        </w:p>
        <w:p w:rsidR="00D1367C" w:rsidRDefault="00D1367C">
          <w:pPr>
            <w:pStyle w:val="23"/>
            <w:tabs>
              <w:tab w:val="right" w:leader="dot" w:pos="8296"/>
            </w:tabs>
            <w:rPr>
              <w:rFonts w:eastAsiaTheme="minorEastAsia"/>
              <w:noProof/>
              <w:szCs w:val="22"/>
            </w:rPr>
          </w:pPr>
          <w:hyperlink w:anchor="_Toc139273949" w:history="1">
            <w:r w:rsidRPr="00A137C0">
              <w:rPr>
                <w:rStyle w:val="a9"/>
                <w:rFonts w:ascii="楷体" w:eastAsia="楷体" w:hAnsi="楷体"/>
                <w:b/>
                <w:noProof/>
              </w:rPr>
              <w:t>玻璃：市场情绪渐好，盘面横盘整理</w:t>
            </w:r>
          </w:hyperlink>
        </w:p>
        <w:p w:rsidR="00D1367C" w:rsidRDefault="00D1367C">
          <w:pPr>
            <w:pStyle w:val="23"/>
            <w:tabs>
              <w:tab w:val="right" w:leader="dot" w:pos="8296"/>
            </w:tabs>
            <w:rPr>
              <w:rFonts w:eastAsiaTheme="minorEastAsia"/>
              <w:noProof/>
              <w:szCs w:val="22"/>
            </w:rPr>
          </w:pPr>
          <w:hyperlink w:anchor="_Toc139273950" w:history="1">
            <w:r w:rsidRPr="00A137C0">
              <w:rPr>
                <w:rStyle w:val="a9"/>
                <w:rFonts w:ascii="楷体" w:eastAsia="楷体" w:hAnsi="楷体"/>
                <w:b/>
                <w:noProof/>
              </w:rPr>
              <w:t>纯碱：海化老线检修，基差逐渐修复</w:t>
            </w:r>
          </w:hyperlink>
        </w:p>
        <w:p w:rsidR="00D1367C" w:rsidRDefault="00D1367C">
          <w:pPr>
            <w:pStyle w:val="11"/>
            <w:tabs>
              <w:tab w:val="right" w:leader="dot" w:pos="8296"/>
            </w:tabs>
            <w:rPr>
              <w:rFonts w:eastAsiaTheme="minorEastAsia"/>
              <w:noProof/>
              <w:szCs w:val="22"/>
            </w:rPr>
          </w:pPr>
          <w:hyperlink w:anchor="_Toc139273951" w:history="1">
            <w:r w:rsidRPr="00A137C0">
              <w:rPr>
                <w:rStyle w:val="a9"/>
                <w:rFonts w:ascii="Times New Roman" w:eastAsia="楷体" w:hAnsi="Times New Roman"/>
                <w:b/>
                <w:noProof/>
              </w:rPr>
              <w:t>[</w:t>
            </w:r>
            <w:r w:rsidRPr="00A137C0">
              <w:rPr>
                <w:rStyle w:val="a9"/>
                <w:rFonts w:ascii="Times New Roman" w:eastAsia="楷体" w:hAnsi="Times New Roman"/>
                <w:b/>
                <w:noProof/>
              </w:rPr>
              <w:t>农产品</w:t>
            </w:r>
            <w:r w:rsidRPr="00A137C0">
              <w:rPr>
                <w:rStyle w:val="a9"/>
                <w:rFonts w:ascii="Times New Roman" w:eastAsia="楷体" w:hAnsi="Times New Roman"/>
                <w:b/>
                <w:noProof/>
              </w:rPr>
              <w:t>]</w:t>
            </w:r>
          </w:hyperlink>
        </w:p>
        <w:p w:rsidR="00D1367C" w:rsidRDefault="00D1367C">
          <w:pPr>
            <w:pStyle w:val="23"/>
            <w:tabs>
              <w:tab w:val="right" w:leader="dot" w:pos="8296"/>
            </w:tabs>
            <w:rPr>
              <w:rFonts w:eastAsiaTheme="minorEastAsia"/>
              <w:noProof/>
              <w:szCs w:val="22"/>
            </w:rPr>
          </w:pPr>
          <w:hyperlink w:anchor="_Toc139273952" w:history="1">
            <w:r w:rsidRPr="00A137C0">
              <w:rPr>
                <w:rStyle w:val="a9"/>
                <w:rFonts w:ascii="楷体" w:eastAsia="楷体" w:hAnsi="楷体"/>
                <w:b/>
                <w:noProof/>
              </w:rPr>
              <w:t>豆粕/菜粕：美农报告超预期，预计偏强</w:t>
            </w:r>
          </w:hyperlink>
        </w:p>
        <w:p w:rsidR="00D1367C" w:rsidRDefault="00D1367C">
          <w:pPr>
            <w:pStyle w:val="23"/>
            <w:tabs>
              <w:tab w:val="right" w:leader="dot" w:pos="8296"/>
            </w:tabs>
            <w:rPr>
              <w:rFonts w:eastAsiaTheme="minorEastAsia"/>
              <w:noProof/>
              <w:szCs w:val="22"/>
            </w:rPr>
          </w:pPr>
          <w:hyperlink w:anchor="_Toc139273953" w:history="1">
            <w:r w:rsidRPr="00A137C0">
              <w:rPr>
                <w:rStyle w:val="a9"/>
                <w:rFonts w:ascii="楷体" w:eastAsia="楷体" w:hAnsi="楷体"/>
                <w:b/>
                <w:noProof/>
              </w:rPr>
              <w:t>油脂：报告利多驱动，预计延续偏强走势</w:t>
            </w:r>
          </w:hyperlink>
        </w:p>
        <w:p w:rsidR="00D1367C" w:rsidRDefault="00D1367C">
          <w:pPr>
            <w:pStyle w:val="23"/>
            <w:tabs>
              <w:tab w:val="right" w:leader="dot" w:pos="8296"/>
            </w:tabs>
            <w:rPr>
              <w:rFonts w:eastAsiaTheme="minorEastAsia"/>
              <w:noProof/>
              <w:szCs w:val="22"/>
            </w:rPr>
          </w:pPr>
          <w:hyperlink w:anchor="_Toc139273954" w:history="1">
            <w:r w:rsidRPr="00A137C0">
              <w:rPr>
                <w:rStyle w:val="a9"/>
                <w:rFonts w:ascii="楷体" w:eastAsia="楷体" w:hAnsi="楷体"/>
                <w:b/>
                <w:bCs/>
                <w:noProof/>
              </w:rPr>
              <w:t>玉米与淀粉：</w:t>
            </w:r>
            <w:r w:rsidRPr="00A137C0">
              <w:rPr>
                <w:rStyle w:val="a9"/>
                <w:rFonts w:ascii="楷体" w:eastAsia="楷体" w:hAnsi="楷体"/>
                <w:b/>
                <w:noProof/>
              </w:rPr>
              <w:t>淀粉-玉米价差大幅走扩</w:t>
            </w:r>
          </w:hyperlink>
        </w:p>
        <w:p w:rsidR="00D1367C" w:rsidRDefault="00D1367C">
          <w:pPr>
            <w:pStyle w:val="23"/>
            <w:tabs>
              <w:tab w:val="right" w:leader="dot" w:pos="8296"/>
            </w:tabs>
            <w:rPr>
              <w:rFonts w:eastAsiaTheme="minorEastAsia"/>
              <w:noProof/>
              <w:szCs w:val="22"/>
            </w:rPr>
          </w:pPr>
          <w:hyperlink w:anchor="_Toc139273955" w:history="1">
            <w:r w:rsidRPr="00A137C0">
              <w:rPr>
                <w:rStyle w:val="a9"/>
                <w:rFonts w:ascii="楷体" w:eastAsia="楷体" w:hAnsi="楷体"/>
                <w:b/>
                <w:bCs/>
                <w:noProof/>
              </w:rPr>
              <w:t>畜禽养殖：期价近弱远强分化运行</w:t>
            </w:r>
          </w:hyperlink>
        </w:p>
        <w:p w:rsidR="00D1367C" w:rsidRDefault="00D1367C">
          <w:pPr>
            <w:pStyle w:val="23"/>
            <w:tabs>
              <w:tab w:val="right" w:leader="dot" w:pos="8296"/>
            </w:tabs>
            <w:rPr>
              <w:rFonts w:eastAsiaTheme="minorEastAsia"/>
              <w:noProof/>
              <w:szCs w:val="22"/>
            </w:rPr>
          </w:pPr>
          <w:hyperlink w:anchor="_Toc139273956" w:history="1">
            <w:r w:rsidRPr="00A137C0">
              <w:rPr>
                <w:rStyle w:val="a9"/>
                <w:rFonts w:ascii="楷体" w:eastAsia="楷体" w:hAnsi="楷体"/>
                <w:b/>
                <w:noProof/>
              </w:rPr>
              <w:t>郑棉：预计09合约偏强震荡，看跌期权卖权持有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927392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9273929"/>
      <w:bookmarkEnd w:id="4"/>
      <w:r>
        <w:rPr>
          <w:rFonts w:ascii="Times New Roman" w:eastAsia="楷体" w:hAnsi="Times New Roman" w:hint="eastAsia"/>
          <w:b/>
          <w:color w:val="000000" w:themeColor="text1"/>
          <w:sz w:val="24"/>
          <w:szCs w:val="24"/>
        </w:rPr>
        <w:t>股指：</w:t>
      </w:r>
      <w:bookmarkEnd w:id="6"/>
      <w:bookmarkEnd w:id="7"/>
      <w:r w:rsidR="00D1367C" w:rsidRPr="00D1367C">
        <w:rPr>
          <w:rFonts w:ascii="Times New Roman" w:eastAsia="楷体" w:hAnsi="Times New Roman" w:hint="eastAsia"/>
          <w:b/>
          <w:color w:val="000000" w:themeColor="text1"/>
          <w:sz w:val="24"/>
          <w:szCs w:val="24"/>
        </w:rPr>
        <w:t>关注</w:t>
      </w:r>
      <w:r w:rsidR="00D1367C" w:rsidRPr="00D1367C">
        <w:rPr>
          <w:rFonts w:ascii="Times New Roman" w:eastAsia="楷体" w:hAnsi="Times New Roman" w:hint="eastAsia"/>
          <w:b/>
          <w:color w:val="000000" w:themeColor="text1"/>
          <w:sz w:val="24"/>
          <w:szCs w:val="24"/>
        </w:rPr>
        <w:t>IF</w:t>
      </w:r>
      <w:r w:rsidR="00D1367C" w:rsidRPr="00D1367C">
        <w:rPr>
          <w:rFonts w:ascii="Times New Roman" w:eastAsia="楷体" w:hAnsi="Times New Roman" w:hint="eastAsia"/>
          <w:b/>
          <w:color w:val="000000" w:themeColor="text1"/>
          <w:sz w:val="24"/>
          <w:szCs w:val="24"/>
        </w:rPr>
        <w:t>、</w:t>
      </w:r>
      <w:r w:rsidR="00D1367C" w:rsidRPr="00D1367C">
        <w:rPr>
          <w:rFonts w:ascii="Times New Roman" w:eastAsia="楷体" w:hAnsi="Times New Roman" w:hint="eastAsia"/>
          <w:b/>
          <w:color w:val="000000" w:themeColor="text1"/>
          <w:sz w:val="24"/>
          <w:szCs w:val="24"/>
        </w:rPr>
        <w:t>IM</w:t>
      </w:r>
      <w:r w:rsidR="00D1367C" w:rsidRPr="00D1367C">
        <w:rPr>
          <w:rFonts w:ascii="Times New Roman" w:eastAsia="楷体" w:hAnsi="Times New Roman" w:hint="eastAsia"/>
          <w:b/>
          <w:color w:val="000000" w:themeColor="text1"/>
          <w:sz w:val="24"/>
          <w:szCs w:val="24"/>
        </w:rPr>
        <w:t>低多机会</w:t>
      </w:r>
      <w:bookmarkEnd w:id="8"/>
    </w:p>
    <w:p w:rsidR="003F56A5" w:rsidRDefault="00D1367C">
      <w:pPr>
        <w:ind w:leftChars="300" w:left="630"/>
        <w:rPr>
          <w:rFonts w:ascii="Times New Roman" w:eastAsia="楷体" w:hAnsi="Times New Roman"/>
          <w:color w:val="000000" w:themeColor="text1"/>
          <w:sz w:val="24"/>
          <w:szCs w:val="24"/>
        </w:rPr>
      </w:pPr>
      <w:r w:rsidRPr="00D1367C">
        <w:rPr>
          <w:rFonts w:ascii="Times New Roman" w:eastAsia="楷体" w:hAnsi="Times New Roman" w:hint="eastAsia"/>
          <w:color w:val="000000" w:themeColor="text1"/>
          <w:sz w:val="24"/>
          <w:szCs w:val="24"/>
        </w:rPr>
        <w:t>随宏观环境的边际改善，市场赚钱效应将逐步回归，短期政策预期发酵下，总量经济相关行业或存在一定反弹机会，中期具备高成长、全球竞争优势的高景气方向也是资金青睐对象</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927393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9273931"/>
      <w:r>
        <w:rPr>
          <w:rFonts w:ascii="Times New Roman" w:eastAsia="楷体" w:hAnsi="Times New Roman" w:hint="eastAsia"/>
          <w:b/>
          <w:color w:val="000000" w:themeColor="text1"/>
          <w:sz w:val="24"/>
          <w:szCs w:val="24"/>
        </w:rPr>
        <w:t>贵金属：</w:t>
      </w:r>
      <w:r w:rsidR="00D1367C" w:rsidRPr="00D1367C">
        <w:rPr>
          <w:rFonts w:ascii="Times New Roman" w:eastAsia="楷体" w:hAnsi="Times New Roman" w:hint="eastAsia"/>
          <w:b/>
          <w:color w:val="000000" w:themeColor="text1"/>
          <w:sz w:val="24"/>
          <w:szCs w:val="24"/>
        </w:rPr>
        <w:t>美国</w:t>
      </w:r>
      <w:r w:rsidR="00D1367C" w:rsidRPr="00D1367C">
        <w:rPr>
          <w:rFonts w:ascii="Times New Roman" w:eastAsia="楷体" w:hAnsi="Times New Roman" w:hint="eastAsia"/>
          <w:b/>
          <w:color w:val="000000" w:themeColor="text1"/>
          <w:sz w:val="24"/>
          <w:szCs w:val="24"/>
        </w:rPr>
        <w:t>PCE</w:t>
      </w:r>
      <w:r w:rsidR="00D1367C" w:rsidRPr="00D1367C">
        <w:rPr>
          <w:rFonts w:ascii="Times New Roman" w:eastAsia="楷体" w:hAnsi="Times New Roman" w:hint="eastAsia"/>
          <w:b/>
          <w:color w:val="000000" w:themeColor="text1"/>
          <w:sz w:val="24"/>
          <w:szCs w:val="24"/>
        </w:rPr>
        <w:t>通胀回落，贵金属价格小幅反弹</w:t>
      </w:r>
      <w:bookmarkEnd w:id="10"/>
    </w:p>
    <w:p w:rsidR="003F56A5" w:rsidRDefault="00D1367C">
      <w:pPr>
        <w:ind w:leftChars="300" w:left="630"/>
        <w:rPr>
          <w:rFonts w:ascii="Times New Roman" w:eastAsia="楷体" w:hAnsi="Times New Roman"/>
          <w:sz w:val="24"/>
          <w:szCs w:val="24"/>
        </w:rPr>
      </w:pPr>
      <w:r w:rsidRPr="00D1367C">
        <w:rPr>
          <w:rFonts w:ascii="Times New Roman" w:eastAsia="楷体" w:hAnsi="Times New Roman" w:hint="eastAsia"/>
          <w:color w:val="000000" w:themeColor="text1"/>
          <w:sz w:val="24"/>
          <w:szCs w:val="24"/>
        </w:rPr>
        <w:t>美国</w:t>
      </w:r>
      <w:r w:rsidRPr="00D1367C">
        <w:rPr>
          <w:rFonts w:ascii="Times New Roman" w:eastAsia="楷体" w:hAnsi="Times New Roman" w:hint="eastAsia"/>
          <w:color w:val="000000" w:themeColor="text1"/>
          <w:sz w:val="24"/>
          <w:szCs w:val="24"/>
        </w:rPr>
        <w:t>5</w:t>
      </w:r>
      <w:r w:rsidRPr="00D1367C">
        <w:rPr>
          <w:rFonts w:ascii="Times New Roman" w:eastAsia="楷体" w:hAnsi="Times New Roman" w:hint="eastAsia"/>
          <w:color w:val="000000" w:themeColor="text1"/>
          <w:sz w:val="24"/>
          <w:szCs w:val="24"/>
        </w:rPr>
        <w:t>月</w:t>
      </w:r>
      <w:r w:rsidRPr="00D1367C">
        <w:rPr>
          <w:rFonts w:ascii="Times New Roman" w:eastAsia="楷体" w:hAnsi="Times New Roman" w:hint="eastAsia"/>
          <w:color w:val="000000" w:themeColor="text1"/>
          <w:sz w:val="24"/>
          <w:szCs w:val="24"/>
        </w:rPr>
        <w:t>PCE</w:t>
      </w:r>
      <w:r w:rsidRPr="00D1367C">
        <w:rPr>
          <w:rFonts w:ascii="Times New Roman" w:eastAsia="楷体" w:hAnsi="Times New Roman" w:hint="eastAsia"/>
          <w:color w:val="000000" w:themeColor="text1"/>
          <w:sz w:val="24"/>
          <w:szCs w:val="24"/>
        </w:rPr>
        <w:t>同比增</w:t>
      </w:r>
      <w:r w:rsidRPr="00D1367C">
        <w:rPr>
          <w:rFonts w:ascii="Times New Roman" w:eastAsia="楷体" w:hAnsi="Times New Roman" w:hint="eastAsia"/>
          <w:color w:val="000000" w:themeColor="text1"/>
          <w:sz w:val="24"/>
          <w:szCs w:val="24"/>
        </w:rPr>
        <w:t>3.8%</w:t>
      </w:r>
      <w:r w:rsidRPr="00D1367C">
        <w:rPr>
          <w:rFonts w:ascii="Times New Roman" w:eastAsia="楷体" w:hAnsi="Times New Roman" w:hint="eastAsia"/>
          <w:color w:val="000000" w:themeColor="text1"/>
          <w:sz w:val="24"/>
          <w:szCs w:val="24"/>
        </w:rPr>
        <w:t>，较上月而言下行</w:t>
      </w:r>
      <w:r w:rsidRPr="00D1367C">
        <w:rPr>
          <w:rFonts w:ascii="Times New Roman" w:eastAsia="楷体" w:hAnsi="Times New Roman" w:hint="eastAsia"/>
          <w:color w:val="000000" w:themeColor="text1"/>
          <w:sz w:val="24"/>
          <w:szCs w:val="24"/>
        </w:rPr>
        <w:t>0.5</w:t>
      </w:r>
      <w:r w:rsidRPr="00D1367C">
        <w:rPr>
          <w:rFonts w:ascii="Times New Roman" w:eastAsia="楷体" w:hAnsi="Times New Roman" w:hint="eastAsia"/>
          <w:color w:val="000000" w:themeColor="text1"/>
          <w:sz w:val="24"/>
          <w:szCs w:val="24"/>
        </w:rPr>
        <w:t>个百分点，符合预期；美国</w:t>
      </w:r>
      <w:r w:rsidRPr="00D1367C">
        <w:rPr>
          <w:rFonts w:ascii="Times New Roman" w:eastAsia="楷体" w:hAnsi="Times New Roman" w:hint="eastAsia"/>
          <w:color w:val="000000" w:themeColor="text1"/>
          <w:sz w:val="24"/>
          <w:szCs w:val="24"/>
        </w:rPr>
        <w:t>5</w:t>
      </w:r>
      <w:r w:rsidRPr="00D1367C">
        <w:rPr>
          <w:rFonts w:ascii="Times New Roman" w:eastAsia="楷体" w:hAnsi="Times New Roman" w:hint="eastAsia"/>
          <w:color w:val="000000" w:themeColor="text1"/>
          <w:sz w:val="24"/>
          <w:szCs w:val="24"/>
        </w:rPr>
        <w:t>月</w:t>
      </w:r>
      <w:r w:rsidRPr="00D1367C">
        <w:rPr>
          <w:rFonts w:ascii="Times New Roman" w:eastAsia="楷体" w:hAnsi="Times New Roman" w:hint="eastAsia"/>
          <w:color w:val="000000" w:themeColor="text1"/>
          <w:sz w:val="24"/>
          <w:szCs w:val="24"/>
        </w:rPr>
        <w:t>PCE</w:t>
      </w:r>
      <w:r w:rsidRPr="00D1367C">
        <w:rPr>
          <w:rFonts w:ascii="Times New Roman" w:eastAsia="楷体" w:hAnsi="Times New Roman" w:hint="eastAsia"/>
          <w:color w:val="000000" w:themeColor="text1"/>
          <w:sz w:val="24"/>
          <w:szCs w:val="24"/>
        </w:rPr>
        <w:t>环比增</w:t>
      </w:r>
      <w:r w:rsidRPr="00D1367C">
        <w:rPr>
          <w:rFonts w:ascii="Times New Roman" w:eastAsia="楷体" w:hAnsi="Times New Roman" w:hint="eastAsia"/>
          <w:color w:val="000000" w:themeColor="text1"/>
          <w:sz w:val="24"/>
          <w:szCs w:val="24"/>
        </w:rPr>
        <w:t>0.1%</w:t>
      </w:r>
      <w:r w:rsidRPr="00D1367C">
        <w:rPr>
          <w:rFonts w:ascii="Times New Roman" w:eastAsia="楷体" w:hAnsi="Times New Roman" w:hint="eastAsia"/>
          <w:color w:val="000000" w:themeColor="text1"/>
          <w:sz w:val="24"/>
          <w:szCs w:val="24"/>
        </w:rPr>
        <w:t>，核心</w:t>
      </w:r>
      <w:r w:rsidRPr="00D1367C">
        <w:rPr>
          <w:rFonts w:ascii="Times New Roman" w:eastAsia="楷体" w:hAnsi="Times New Roman" w:hint="eastAsia"/>
          <w:color w:val="000000" w:themeColor="text1"/>
          <w:sz w:val="24"/>
          <w:szCs w:val="24"/>
        </w:rPr>
        <w:t>PCE</w:t>
      </w:r>
      <w:r w:rsidRPr="00D1367C">
        <w:rPr>
          <w:rFonts w:ascii="Times New Roman" w:eastAsia="楷体" w:hAnsi="Times New Roman" w:hint="eastAsia"/>
          <w:color w:val="000000" w:themeColor="text1"/>
          <w:sz w:val="24"/>
          <w:szCs w:val="24"/>
        </w:rPr>
        <w:t>同比增</w:t>
      </w:r>
      <w:r w:rsidRPr="00D1367C">
        <w:rPr>
          <w:rFonts w:ascii="Times New Roman" w:eastAsia="楷体" w:hAnsi="Times New Roman" w:hint="eastAsia"/>
          <w:color w:val="000000" w:themeColor="text1"/>
          <w:sz w:val="24"/>
          <w:szCs w:val="24"/>
        </w:rPr>
        <w:t>4.6%</w:t>
      </w:r>
      <w:r w:rsidRPr="00D1367C">
        <w:rPr>
          <w:rFonts w:ascii="Times New Roman" w:eastAsia="楷体" w:hAnsi="Times New Roman" w:hint="eastAsia"/>
          <w:color w:val="000000" w:themeColor="text1"/>
          <w:sz w:val="24"/>
          <w:szCs w:val="24"/>
        </w:rPr>
        <w:t>，核心</w:t>
      </w:r>
      <w:r w:rsidRPr="00D1367C">
        <w:rPr>
          <w:rFonts w:ascii="Times New Roman" w:eastAsia="楷体" w:hAnsi="Times New Roman" w:hint="eastAsia"/>
          <w:color w:val="000000" w:themeColor="text1"/>
          <w:sz w:val="24"/>
          <w:szCs w:val="24"/>
        </w:rPr>
        <w:t>PCE</w:t>
      </w:r>
      <w:r w:rsidRPr="00D1367C">
        <w:rPr>
          <w:rFonts w:ascii="Times New Roman" w:eastAsia="楷体" w:hAnsi="Times New Roman" w:hint="eastAsia"/>
          <w:color w:val="000000" w:themeColor="text1"/>
          <w:sz w:val="24"/>
          <w:szCs w:val="24"/>
        </w:rPr>
        <w:t>环比增</w:t>
      </w:r>
      <w:r w:rsidRPr="00D1367C">
        <w:rPr>
          <w:rFonts w:ascii="Times New Roman" w:eastAsia="楷体" w:hAnsi="Times New Roman" w:hint="eastAsia"/>
          <w:color w:val="000000" w:themeColor="text1"/>
          <w:sz w:val="24"/>
          <w:szCs w:val="24"/>
        </w:rPr>
        <w:t>0.3%</w:t>
      </w:r>
      <w:r w:rsidRPr="00D1367C">
        <w:rPr>
          <w:rFonts w:ascii="Times New Roman" w:eastAsia="楷体" w:hAnsi="Times New Roman" w:hint="eastAsia"/>
          <w:color w:val="000000" w:themeColor="text1"/>
          <w:sz w:val="24"/>
          <w:szCs w:val="24"/>
        </w:rPr>
        <w:t>，基本符合预期。美国</w:t>
      </w:r>
      <w:r w:rsidRPr="00D1367C">
        <w:rPr>
          <w:rFonts w:ascii="Times New Roman" w:eastAsia="楷体" w:hAnsi="Times New Roman" w:hint="eastAsia"/>
          <w:color w:val="000000" w:themeColor="text1"/>
          <w:sz w:val="24"/>
          <w:szCs w:val="24"/>
        </w:rPr>
        <w:t>PCE</w:t>
      </w:r>
      <w:r w:rsidRPr="00D1367C">
        <w:rPr>
          <w:rFonts w:ascii="Times New Roman" w:eastAsia="楷体" w:hAnsi="Times New Roman" w:hint="eastAsia"/>
          <w:color w:val="000000" w:themeColor="text1"/>
          <w:sz w:val="24"/>
          <w:szCs w:val="24"/>
        </w:rPr>
        <w:t>通胀回落削弱鹰派预期，上周尾盘沪金、沪银小幅反弹。当前贵金属价格对紧缩政策计价较为充分，下半年海外市场或逐步转向围绕美国基本面走弱的衰退逻辑交易，避险情绪将对贵金属价格形成支撑，建议沪金、沪银维持偏多思路</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927393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9273933"/>
      <w:r>
        <w:rPr>
          <w:rFonts w:ascii="楷体" w:eastAsia="楷体" w:hAnsi="楷体" w:hint="eastAsia"/>
          <w:b/>
          <w:color w:val="000000" w:themeColor="text1"/>
          <w:sz w:val="24"/>
          <w:szCs w:val="24"/>
        </w:rPr>
        <w:t>螺纹钢：</w:t>
      </w:r>
      <w:bookmarkEnd w:id="16"/>
      <w:bookmarkEnd w:id="17"/>
      <w:r w:rsidR="00D1367C" w:rsidRPr="00D1367C">
        <w:rPr>
          <w:rFonts w:ascii="楷体" w:eastAsia="楷体" w:hAnsi="楷体" w:hint="eastAsia"/>
          <w:b/>
          <w:color w:val="000000" w:themeColor="text1"/>
          <w:sz w:val="24"/>
          <w:szCs w:val="24"/>
        </w:rPr>
        <w:t>预期与现实并不共振，或继续震荡运行</w:t>
      </w:r>
      <w:bookmarkEnd w:id="18"/>
    </w:p>
    <w:p w:rsidR="003F56A5" w:rsidRDefault="00D1367C">
      <w:pPr>
        <w:ind w:leftChars="300" w:left="630"/>
        <w:rPr>
          <w:rFonts w:ascii="楷体" w:eastAsia="楷体" w:hAnsi="楷体"/>
          <w:color w:val="000000" w:themeColor="text1"/>
          <w:sz w:val="24"/>
          <w:szCs w:val="24"/>
        </w:rPr>
      </w:pPr>
      <w:r w:rsidRPr="00D1367C">
        <w:rPr>
          <w:rFonts w:ascii="楷体" w:eastAsia="楷体" w:hAnsi="楷体" w:hint="eastAsia"/>
          <w:color w:val="000000" w:themeColor="text1"/>
          <w:sz w:val="24"/>
          <w:szCs w:val="24"/>
        </w:rPr>
        <w:t>累库压制上方空间，低厂库、高成本支撑价格下限，政策刺激下的投机需求成为价格波动的主要因素，短期钢价或在（3700，3770）区间继续震荡</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9273934"/>
      <w:r>
        <w:rPr>
          <w:rFonts w:ascii="楷体" w:eastAsia="楷体" w:hAnsi="楷体" w:hint="eastAsia"/>
          <w:b/>
          <w:color w:val="000000" w:themeColor="text1"/>
          <w:sz w:val="24"/>
          <w:szCs w:val="24"/>
        </w:rPr>
        <w:t>焦炭：</w:t>
      </w:r>
      <w:bookmarkEnd w:id="19"/>
      <w:bookmarkEnd w:id="20"/>
      <w:r w:rsidR="00D1367C" w:rsidRPr="00D1367C">
        <w:rPr>
          <w:rFonts w:ascii="楷体" w:eastAsia="楷体" w:hAnsi="楷体" w:hint="eastAsia"/>
          <w:b/>
          <w:color w:val="000000" w:themeColor="text1"/>
          <w:sz w:val="24"/>
          <w:szCs w:val="24"/>
        </w:rPr>
        <w:t>现货提涨尚未落地，盘面上下两难</w:t>
      </w:r>
      <w:bookmarkEnd w:id="21"/>
    </w:p>
    <w:p w:rsidR="003F56A5" w:rsidRDefault="00D1367C" w:rsidP="00572E35">
      <w:pPr>
        <w:ind w:leftChars="300" w:left="630"/>
        <w:rPr>
          <w:rFonts w:ascii="楷体" w:eastAsia="楷体" w:hAnsi="楷体"/>
          <w:color w:val="000000" w:themeColor="text1"/>
          <w:sz w:val="24"/>
          <w:szCs w:val="24"/>
        </w:rPr>
      </w:pPr>
      <w:r w:rsidRPr="00D1367C">
        <w:rPr>
          <w:rFonts w:ascii="楷体" w:eastAsia="楷体" w:hAnsi="楷体" w:hint="eastAsia"/>
          <w:color w:val="000000" w:themeColor="text1"/>
          <w:sz w:val="24"/>
          <w:szCs w:val="24"/>
        </w:rPr>
        <w:t>成材较为疲软，压制现货价格涨价幅度，现货价格支撑较强，短期盘面升水较高，预计（2080，2180）区间震荡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9273935"/>
      <w:r>
        <w:rPr>
          <w:rFonts w:ascii="楷体" w:eastAsia="楷体" w:hAnsi="楷体" w:hint="eastAsia"/>
          <w:b/>
          <w:color w:val="000000" w:themeColor="text1"/>
          <w:sz w:val="24"/>
          <w:szCs w:val="24"/>
        </w:rPr>
        <w:t>焦煤：</w:t>
      </w:r>
      <w:r w:rsidR="00D1367C" w:rsidRPr="00D1367C">
        <w:rPr>
          <w:rFonts w:ascii="楷体" w:eastAsia="楷体" w:hAnsi="楷体" w:hint="eastAsia"/>
          <w:b/>
          <w:sz w:val="24"/>
          <w:szCs w:val="24"/>
        </w:rPr>
        <w:t>安全事故下，煤价偏强运行</w:t>
      </w:r>
      <w:bookmarkEnd w:id="22"/>
    </w:p>
    <w:p w:rsidR="003F56A5" w:rsidRDefault="00D1367C">
      <w:pPr>
        <w:ind w:leftChars="300" w:left="630"/>
        <w:rPr>
          <w:rFonts w:ascii="楷体" w:eastAsia="楷体" w:hAnsi="楷体"/>
          <w:bCs/>
          <w:sz w:val="24"/>
          <w:szCs w:val="24"/>
        </w:rPr>
      </w:pPr>
      <w:r w:rsidRPr="00D1367C">
        <w:rPr>
          <w:rFonts w:ascii="楷体" w:eastAsia="楷体" w:hAnsi="楷体" w:hint="eastAsia"/>
          <w:sz w:val="24"/>
          <w:szCs w:val="24"/>
        </w:rPr>
        <w:t>现货价格回调后平稳运行，下游需求铁水创下新高后或短期较难下行，近期安全事故刺激市场情况偏强，预计或继续在（1330,1400）区间震荡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9273936"/>
      <w:r>
        <w:rPr>
          <w:rFonts w:ascii="楷体" w:eastAsia="楷体" w:hAnsi="楷体" w:hint="eastAsia"/>
          <w:b/>
          <w:color w:val="000000" w:themeColor="text1"/>
          <w:sz w:val="24"/>
          <w:szCs w:val="24"/>
        </w:rPr>
        <w:t>铜：</w:t>
      </w:r>
      <w:bookmarkEnd w:id="23"/>
      <w:bookmarkEnd w:id="24"/>
      <w:r w:rsidR="00D1367C" w:rsidRPr="00D1367C">
        <w:rPr>
          <w:rFonts w:ascii="楷体" w:eastAsia="楷体" w:hAnsi="楷体" w:hint="eastAsia"/>
          <w:b/>
          <w:color w:val="000000" w:themeColor="text1"/>
          <w:sz w:val="24"/>
          <w:szCs w:val="24"/>
        </w:rPr>
        <w:t>维持高位震荡</w:t>
      </w:r>
      <w:bookmarkEnd w:id="25"/>
    </w:p>
    <w:p w:rsidR="00D1367C" w:rsidRPr="00D1367C" w:rsidRDefault="00D1367C" w:rsidP="00D1367C">
      <w:pPr>
        <w:ind w:leftChars="300" w:left="630"/>
        <w:rPr>
          <w:rFonts w:ascii="楷体" w:eastAsia="楷体" w:hAnsi="楷体" w:hint="eastAsia"/>
          <w:color w:val="000000" w:themeColor="text1"/>
          <w:sz w:val="24"/>
          <w:szCs w:val="24"/>
        </w:rPr>
      </w:pPr>
      <w:r w:rsidRPr="00D1367C">
        <w:rPr>
          <w:rFonts w:ascii="楷体" w:eastAsia="楷体" w:hAnsi="楷体" w:hint="eastAsia"/>
          <w:color w:val="000000" w:themeColor="text1"/>
          <w:sz w:val="24"/>
          <w:szCs w:val="24"/>
        </w:rPr>
        <w:t>(1)宏观：中国6月官方制造业PMI为49.0%，环比上升0.2个百分点，制造业景气水平有所改善；官方非制造业PMI为53.2%，环比下降1.3个百分点，仍高于临界点；综合PMI产出指数为52.3%，表明我国企业生产经营活动总体延续扩张态势。</w:t>
      </w:r>
    </w:p>
    <w:p w:rsidR="00D1367C" w:rsidRPr="00D1367C" w:rsidRDefault="00D1367C" w:rsidP="00D1367C">
      <w:pPr>
        <w:ind w:leftChars="300" w:left="630"/>
        <w:rPr>
          <w:rFonts w:ascii="楷体" w:eastAsia="楷体" w:hAnsi="楷体" w:hint="eastAsia"/>
          <w:color w:val="000000" w:themeColor="text1"/>
          <w:sz w:val="24"/>
          <w:szCs w:val="24"/>
        </w:rPr>
      </w:pPr>
      <w:r w:rsidRPr="00D1367C">
        <w:rPr>
          <w:rFonts w:ascii="楷体" w:eastAsia="楷体" w:hAnsi="楷体" w:hint="eastAsia"/>
          <w:color w:val="000000" w:themeColor="text1"/>
          <w:sz w:val="24"/>
          <w:szCs w:val="24"/>
        </w:rPr>
        <w:t>(2)库存：6月30日，SHFE周库存68313吨，较上周五增7889吨；LME仓单库存72975吨，较上周五减6325吨。</w:t>
      </w:r>
    </w:p>
    <w:p w:rsidR="00D1367C" w:rsidRPr="00D1367C" w:rsidRDefault="00D1367C" w:rsidP="00D1367C">
      <w:pPr>
        <w:ind w:leftChars="300" w:left="630"/>
        <w:rPr>
          <w:rFonts w:ascii="楷体" w:eastAsia="楷体" w:hAnsi="楷体" w:hint="eastAsia"/>
          <w:color w:val="000000" w:themeColor="text1"/>
          <w:sz w:val="24"/>
          <w:szCs w:val="24"/>
        </w:rPr>
      </w:pPr>
      <w:r w:rsidRPr="00D1367C">
        <w:rPr>
          <w:rFonts w:ascii="楷体" w:eastAsia="楷体" w:hAnsi="楷体" w:hint="eastAsia"/>
          <w:color w:val="000000" w:themeColor="text1"/>
          <w:sz w:val="24"/>
          <w:szCs w:val="24"/>
        </w:rPr>
        <w:t>(3)精废价差：6月30日，Mysteel精废价差1718，收窄110。目前价差在合理价差1377之上。</w:t>
      </w:r>
    </w:p>
    <w:p w:rsidR="00D1367C" w:rsidRPr="00D1367C" w:rsidRDefault="00D1367C" w:rsidP="00D1367C">
      <w:pPr>
        <w:ind w:leftChars="300" w:left="630"/>
        <w:rPr>
          <w:rFonts w:ascii="楷体" w:eastAsia="楷体" w:hAnsi="楷体"/>
          <w:color w:val="000000" w:themeColor="text1"/>
          <w:sz w:val="24"/>
          <w:szCs w:val="24"/>
        </w:rPr>
      </w:pPr>
    </w:p>
    <w:p w:rsidR="00127803" w:rsidRPr="00127803" w:rsidRDefault="00D1367C" w:rsidP="00D1367C">
      <w:pPr>
        <w:ind w:leftChars="300" w:left="630"/>
        <w:rPr>
          <w:rFonts w:ascii="楷体" w:eastAsia="楷体" w:hAnsi="楷体"/>
          <w:color w:val="000000" w:themeColor="text1"/>
          <w:sz w:val="24"/>
          <w:szCs w:val="24"/>
        </w:rPr>
      </w:pPr>
      <w:r w:rsidRPr="00D1367C">
        <w:rPr>
          <w:rFonts w:ascii="楷体" w:eastAsia="楷体" w:hAnsi="楷体" w:hint="eastAsia"/>
          <w:color w:val="000000" w:themeColor="text1"/>
          <w:sz w:val="24"/>
          <w:szCs w:val="24"/>
        </w:rPr>
        <w:lastRenderedPageBreak/>
        <w:t>综述：当前内外低库存对价格仍有支撑，铜价的趋势性下跌需要更强的驱动因素。6月国内PMI制造业数据回暖，市场情绪修复带动铜价小幅反弹。国内炼厂集中检修即将结束，当然矿端渐宽，冶炼利润尚可，供给端预计继续释放，国内需求虽尚有韧性，但需求旺季已过，需求提升难度较大，供需存转弱预期，难对价格形成驱动，短期国内外宏观预期扰动，沪铜维持高位震荡运行</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9273937"/>
      <w:r>
        <w:rPr>
          <w:rFonts w:ascii="楷体" w:eastAsia="楷体" w:hAnsi="楷体" w:hint="eastAsia"/>
          <w:b/>
          <w:color w:val="000000" w:themeColor="text1"/>
          <w:sz w:val="24"/>
          <w:szCs w:val="24"/>
        </w:rPr>
        <w:t>铝：</w:t>
      </w:r>
      <w:bookmarkEnd w:id="26"/>
      <w:bookmarkEnd w:id="27"/>
      <w:r w:rsidR="00D1367C" w:rsidRPr="00D1367C">
        <w:rPr>
          <w:rFonts w:ascii="楷体" w:eastAsia="楷体" w:hAnsi="楷体" w:hint="eastAsia"/>
          <w:b/>
          <w:color w:val="000000" w:themeColor="text1"/>
          <w:sz w:val="24"/>
          <w:szCs w:val="24"/>
        </w:rPr>
        <w:t>基本面供增需减，短期或下探成本支撑</w:t>
      </w:r>
      <w:bookmarkEnd w:id="28"/>
    </w:p>
    <w:p w:rsidR="003F56A5" w:rsidRDefault="00D1367C" w:rsidP="00127803">
      <w:pPr>
        <w:ind w:leftChars="300" w:left="630"/>
        <w:rPr>
          <w:rFonts w:ascii="楷体" w:eastAsia="楷体" w:hAnsi="楷体"/>
          <w:color w:val="000000" w:themeColor="text1"/>
          <w:sz w:val="24"/>
          <w:szCs w:val="24"/>
        </w:rPr>
      </w:pPr>
      <w:r w:rsidRPr="00D1367C">
        <w:rPr>
          <w:rFonts w:ascii="楷体" w:eastAsia="楷体" w:hAnsi="楷体" w:hint="eastAsia"/>
          <w:color w:val="000000" w:themeColor="text1"/>
          <w:sz w:val="24"/>
          <w:szCs w:val="24"/>
        </w:rPr>
        <w:t>美国通胀改善，联储加息态度偏鹰，海外宏观情绪多变风险较大。国内市场在博弈7月的政策窗口期，假如7月未能有效扭转国内弱现实状态，那么进入三季度国内经济市场的压力依然存在。国内矿端供应偏松，电解铝成本塌缩导致冶炼利润维持高位，刺激生产企业积极投产，铝水比例走缩，铝棒加工亏损部分厂家经营困难实行减产，铝棒库存拐入累库，铸锭库存偏低持续去库，后续铝水拉棒或转为铸锭产能，进入7月铝市仍然为消费淡季，铸锭有一定量的补库需求，需求一般可能会导致补库幅度低于往年，铝价上下空间有限，短期受供应走强、需求偏弱的预期影响或下探17500附近的成本支撑，可尝试逢高布局短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9273938"/>
      <w:r>
        <w:rPr>
          <w:rFonts w:ascii="楷体" w:eastAsia="楷体" w:hAnsi="楷体" w:hint="eastAsia"/>
          <w:b/>
          <w:color w:val="000000" w:themeColor="text1"/>
          <w:sz w:val="24"/>
          <w:szCs w:val="24"/>
        </w:rPr>
        <w:t>锌：</w:t>
      </w:r>
      <w:r w:rsidR="00D1367C" w:rsidRPr="00D1367C">
        <w:rPr>
          <w:rFonts w:ascii="楷体" w:eastAsia="楷体" w:hAnsi="楷体" w:hint="eastAsia"/>
          <w:b/>
          <w:color w:val="000000" w:themeColor="text1"/>
          <w:sz w:val="24"/>
          <w:szCs w:val="24"/>
        </w:rPr>
        <w:t>锌市供需关系或转入平衡，短期价格仍有压力</w:t>
      </w:r>
      <w:bookmarkEnd w:id="29"/>
    </w:p>
    <w:p w:rsidR="003F56A5" w:rsidRDefault="00D1367C" w:rsidP="000B0648">
      <w:pPr>
        <w:ind w:leftChars="300" w:left="630"/>
        <w:rPr>
          <w:rFonts w:ascii="楷体" w:eastAsia="楷体" w:hAnsi="楷体"/>
          <w:color w:val="000000" w:themeColor="text1"/>
          <w:sz w:val="24"/>
          <w:szCs w:val="24"/>
        </w:rPr>
      </w:pPr>
      <w:r w:rsidRPr="00D1367C">
        <w:rPr>
          <w:rFonts w:ascii="楷体" w:eastAsia="楷体" w:hAnsi="楷体" w:hint="eastAsia"/>
          <w:color w:val="000000" w:themeColor="text1"/>
          <w:sz w:val="24"/>
          <w:szCs w:val="24"/>
        </w:rPr>
        <w:t>联储6月暂停加息但对未来加息态度偏鹰，担忧美国TGA发债抽调市场流动性，国内市场持续交易政策利多预期，宏观情绪多变风险仍存。瑞典矿业公司Boliden表示将暂停欧洲最大的爱尔兰锌矿Tara的生产，海外供应预期走弱，锌锭进口窗口打开对国内锌锭价格形成冲击，随着锌价小幅企稳回升，冶炼利润逐步走升，精炼锌生产依旧维持，三季度精炼锌厂家进入集中检修期，后续国内供应或有收缩。下游需求实则为消费淡季，周度镀锌开工率有所回升，镀锌管订单好转，压铸锌合金及氧化锌开工维持弱势，海内外库存持续累库，锌价上下驱动有限，预期仍震荡在18500-21000，短期仍有下行压力，可尝试布短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9273939"/>
      <w:r>
        <w:rPr>
          <w:rFonts w:ascii="楷体" w:eastAsia="楷体" w:hAnsi="楷体" w:hint="eastAsia"/>
          <w:b/>
          <w:color w:val="000000" w:themeColor="text1"/>
          <w:sz w:val="24"/>
          <w:szCs w:val="24"/>
        </w:rPr>
        <w:t>镍：</w:t>
      </w:r>
      <w:r w:rsidR="001F79C6" w:rsidRPr="001F79C6">
        <w:rPr>
          <w:rFonts w:ascii="楷体" w:eastAsia="楷体" w:hAnsi="楷体" w:hint="eastAsia"/>
          <w:b/>
          <w:color w:val="000000" w:themeColor="text1"/>
          <w:sz w:val="24"/>
          <w:szCs w:val="24"/>
        </w:rPr>
        <w:t>基本面过剩预期仍压制镍价</w:t>
      </w:r>
      <w:bookmarkEnd w:id="30"/>
    </w:p>
    <w:p w:rsidR="003F56A5" w:rsidRDefault="001F79C6">
      <w:pPr>
        <w:ind w:leftChars="300" w:left="630"/>
        <w:rPr>
          <w:rFonts w:ascii="楷体" w:eastAsia="楷体" w:hAnsi="楷体"/>
          <w:color w:val="000000" w:themeColor="text1"/>
          <w:sz w:val="24"/>
          <w:szCs w:val="24"/>
        </w:rPr>
      </w:pPr>
      <w:r w:rsidRPr="001F79C6">
        <w:rPr>
          <w:rFonts w:ascii="楷体" w:eastAsia="楷体" w:hAnsi="楷体" w:hint="eastAsia"/>
          <w:color w:val="000000" w:themeColor="text1"/>
          <w:sz w:val="24"/>
          <w:szCs w:val="24"/>
        </w:rPr>
        <w:t>近期受华友电积镍获得交割资格消息影响，镍价连续下跌试探前期低位15万附近支撑，6月内外纯镍库存均有增加，月末再次转降，持续性有待观察。新能源汽车需求改善，近期镍产业链硫酸镍价格低位反弹，对镍价短期存一定支撑。但中长期基本面过剩预期对镍价压制依旧较强，维持逢高空思路不变。短线交易者前期空单可先止盈</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9273940"/>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32D2F" w:rsidRPr="00D32D2F">
        <w:rPr>
          <w:rFonts w:ascii="楷体" w:eastAsia="楷体" w:hAnsi="楷体" w:hint="eastAsia"/>
          <w:b/>
          <w:color w:val="000000" w:themeColor="text1"/>
          <w:sz w:val="24"/>
          <w:szCs w:val="24"/>
        </w:rPr>
        <w:t>宏观叠加基本面影响铝价走势偏空</w:t>
      </w:r>
      <w:bookmarkEnd w:id="31"/>
    </w:p>
    <w:p w:rsidR="008B13D2" w:rsidRPr="008B13D2" w:rsidRDefault="00D32D2F" w:rsidP="008B13D2">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宏观情绪再度承压，联储表示仍将有两次加息，美元指数上行，国内市场仍在交易后续的利好政策预期，市场信心提振，超预期政策可期待性不强，待政策落地后效果证伪。国内电解铝5月产量季度偏高位，电解铝生产成本塌陷，冶炼利润修复刺激企业生产，铝水比例下降，部分厂家铝水长单违约，铝棒加工亏损，铝棒库存拐入累库，铝棒产能后续可能缩减或调整为铸锭产能，云南地区大幅降水补充水电，当地部分产能进入复产，后续铝锭供应预期走增。6月后进入消费淡季，需求驱动较弱，交易所库存维</w:t>
      </w:r>
      <w:r w:rsidRPr="00D32D2F">
        <w:rPr>
          <w:rFonts w:ascii="楷体" w:eastAsia="楷体" w:hAnsi="楷体" w:hint="eastAsia"/>
          <w:color w:val="000000" w:themeColor="text1"/>
          <w:sz w:val="24"/>
          <w:szCs w:val="24"/>
        </w:rPr>
        <w:lastRenderedPageBreak/>
        <w:t>持低位去库，社库库存累库，整体来看，宏观情绪仍有压力，基本面供增需减，短期来看铝价上方空间有限或再度向下探底，下方17500附近为下方支撑位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9273941"/>
      <w:r>
        <w:rPr>
          <w:rFonts w:ascii="楷体" w:eastAsia="楷体" w:hAnsi="楷体" w:hint="eastAsia"/>
          <w:b/>
          <w:color w:val="000000" w:themeColor="text1"/>
          <w:sz w:val="24"/>
          <w:szCs w:val="24"/>
        </w:rPr>
        <w:t>不锈钢：</w:t>
      </w:r>
      <w:r w:rsidR="00D32D2F" w:rsidRPr="00D32D2F">
        <w:rPr>
          <w:rFonts w:ascii="楷体" w:eastAsia="楷体" w:hAnsi="楷体" w:hint="eastAsia"/>
          <w:b/>
          <w:color w:val="000000" w:themeColor="text1"/>
          <w:sz w:val="24"/>
          <w:szCs w:val="24"/>
        </w:rPr>
        <w:t>需求淡季下社库转增，SS承压运行</w:t>
      </w:r>
      <w:bookmarkEnd w:id="32"/>
    </w:p>
    <w:p w:rsidR="003F56A5" w:rsidRDefault="00D32D2F">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需求淡季下不锈钢社会库存结束下滑态势，转为小幅增长，对价格支撑边际转弱，当前不锈钢厂利润在盈亏平衡附近，价格继续向下的空间取决于钢厂是否减产，镍铁价格保持弱稳运行，短期成本端对价格影响中性。预计不锈钢价格维持区间震荡运行，SS2308参考14200-15200。操作上，暂时观望</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9273942"/>
      <w:r>
        <w:rPr>
          <w:rFonts w:ascii="楷体" w:eastAsia="楷体" w:hAnsi="楷体" w:hint="eastAsia"/>
          <w:b/>
          <w:color w:val="000000" w:themeColor="text1"/>
          <w:sz w:val="24"/>
          <w:szCs w:val="24"/>
        </w:rPr>
        <w:t>工业硅：</w:t>
      </w:r>
      <w:r w:rsidR="00D1367C" w:rsidRPr="00D1367C">
        <w:rPr>
          <w:rFonts w:ascii="楷体" w:eastAsia="楷体" w:hAnsi="楷体" w:hint="eastAsia"/>
          <w:b/>
          <w:sz w:val="24"/>
          <w:szCs w:val="24"/>
        </w:rPr>
        <w:t>需求暂无明显改善，短期市场或震荡为主</w:t>
      </w:r>
      <w:bookmarkEnd w:id="33"/>
    </w:p>
    <w:p w:rsidR="003F56A5" w:rsidRDefault="00D1367C" w:rsidP="007103A5">
      <w:pPr>
        <w:ind w:leftChars="300" w:left="630"/>
        <w:rPr>
          <w:rFonts w:ascii="楷体" w:eastAsia="楷体" w:hAnsi="楷体"/>
          <w:sz w:val="24"/>
          <w:szCs w:val="24"/>
        </w:rPr>
      </w:pPr>
      <w:r w:rsidRPr="00D1367C">
        <w:rPr>
          <w:rFonts w:ascii="楷体" w:eastAsia="楷体" w:hAnsi="楷体" w:hint="eastAsia"/>
          <w:sz w:val="24"/>
          <w:szCs w:val="24"/>
        </w:rPr>
        <w:t>6月30日，Si2308主力合约呈高开低走走势，收盘价13275元/吨，较上一收盘价涨跌幅-0.75%。近期下游多晶硅市场大幅下跌，已跌破部分企业生产成本线，导致部分产能开始停产检修，另外新增规划项目出现推迟投产情况，例如东立、宝丰、上机等多家企业的项目推迟投产，短期需求较难出现明显增量，市场或延续低位震荡</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927394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927394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D1367C" w:rsidRPr="00D1367C">
        <w:rPr>
          <w:rFonts w:ascii="楷体" w:eastAsia="楷体" w:hAnsi="楷体" w:hint="eastAsia"/>
          <w:b/>
          <w:sz w:val="24"/>
          <w:szCs w:val="24"/>
        </w:rPr>
        <w:t>短期持续上行动能不足，RU维持震荡走势为主</w:t>
      </w:r>
      <w:bookmarkEnd w:id="36"/>
    </w:p>
    <w:p w:rsidR="003F56A5" w:rsidRDefault="00D1367C">
      <w:pPr>
        <w:ind w:leftChars="300" w:left="630"/>
        <w:rPr>
          <w:rFonts w:ascii="楷体" w:eastAsia="楷体" w:hAnsi="楷体"/>
          <w:sz w:val="24"/>
          <w:szCs w:val="24"/>
        </w:rPr>
      </w:pPr>
      <w:r w:rsidRPr="00D1367C">
        <w:rPr>
          <w:rFonts w:ascii="楷体" w:eastAsia="楷体" w:hAnsi="楷体" w:hint="eastAsia"/>
          <w:sz w:val="24"/>
          <w:szCs w:val="24"/>
        </w:rPr>
        <w:t>点评：上周末天胶价格小幅反弹，但持续上行能力不足。当前制约RU价格上行的主要矛盾还是偏高的港口库存。高库存对行情形成较大压制。橡胶其余基本面来看，供应端，随着产区物候条件恢复正常，供给端上量将逐步回归正常。下游轮胎方面，半钢胎企业外贸订单充足，企业产能利用率维持高位水平，全钢胎内销出货压力增加，外贸订单亦有缩量迹象，整体库存延续增势。终端汽车方面，5月份乘用车终端销量在175万辆左右，环比继续小幅上升。从分项指数来看，汽车市场需求、平均日销量、经营状况指数环比上升，车市整体温和回暖；重卡方面，5月我国重卡市场大约7.74万辆左右，环比下滑16%，全行业仅仅处于弱复苏阶段，还未完全进入恢复期间。综合来看，近期收储、刺激房地产等题材轮番上演，但都缺乏实质行动。国家“降息”举措利多近期胶市，但还需关注消费端能否显著转好。对于热度最高的轮储传闻，目前市场暂无定论，而从盘面1-9价差缩窄来看，市场相关预期或已弱化。目前期现价差仍处于历史同期较高位置，同时随着09合约交割期的临近，对多头的压力会逐步增大。综合来看，在缺乏核心驱动下，短期橡胶大概率继续维持震荡走势。操作上，建议多NR空RU，期现套利降低仓位持有正套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927394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D1367C" w:rsidRPr="00D1367C">
        <w:rPr>
          <w:rFonts w:ascii="楷体" w:eastAsia="楷体" w:hAnsi="楷体" w:hint="eastAsia"/>
          <w:b/>
          <w:color w:val="000000" w:themeColor="text1"/>
          <w:sz w:val="24"/>
          <w:szCs w:val="24"/>
        </w:rPr>
        <w:t xml:space="preserve">供需矛盾不明显 </w:t>
      </w:r>
      <w:r w:rsidR="00D1367C" w:rsidRPr="00D1367C">
        <w:rPr>
          <w:rFonts w:ascii="Calibri" w:eastAsia="楷体" w:hAnsi="Calibri" w:cs="Calibri"/>
          <w:b/>
          <w:color w:val="000000" w:themeColor="text1"/>
          <w:sz w:val="24"/>
          <w:szCs w:val="24"/>
        </w:rPr>
        <w:t> </w:t>
      </w:r>
      <w:r w:rsidR="00D1367C" w:rsidRPr="00D1367C">
        <w:rPr>
          <w:rFonts w:ascii="楷体" w:eastAsia="楷体" w:hAnsi="楷体" w:hint="eastAsia"/>
          <w:b/>
          <w:color w:val="000000" w:themeColor="text1"/>
          <w:sz w:val="24"/>
          <w:szCs w:val="24"/>
        </w:rPr>
        <w:t>走势暂由成本端主导</w:t>
      </w:r>
      <w:bookmarkEnd w:id="37"/>
      <w:r>
        <w:rPr>
          <w:rFonts w:ascii="楷体" w:eastAsia="楷体" w:hAnsi="楷体" w:hint="eastAsia"/>
          <w:b/>
          <w:color w:val="000000" w:themeColor="text1"/>
          <w:sz w:val="24"/>
          <w:szCs w:val="24"/>
        </w:rPr>
        <w:t xml:space="preserve"> </w:t>
      </w:r>
    </w:p>
    <w:p w:rsidR="003F56A5" w:rsidRDefault="00D1367C" w:rsidP="002C73FE">
      <w:pPr>
        <w:ind w:leftChars="300" w:left="630"/>
        <w:rPr>
          <w:rFonts w:ascii="楷体" w:eastAsia="楷体" w:hAnsi="楷体"/>
          <w:color w:val="000000" w:themeColor="text1"/>
          <w:sz w:val="24"/>
          <w:szCs w:val="24"/>
        </w:rPr>
      </w:pPr>
      <w:r w:rsidRPr="00D1367C">
        <w:rPr>
          <w:rFonts w:ascii="楷体" w:eastAsia="楷体" w:hAnsi="楷体" w:hint="eastAsia"/>
          <w:color w:val="000000" w:themeColor="text1"/>
          <w:sz w:val="24"/>
          <w:szCs w:val="24"/>
        </w:rPr>
        <w:t>PTA供给方面，逸盛海南降负运行，台化重启但未出料，嘉通1期重启，福海创停车降负中，至6.30 PTA负荷在81%。PTA开工负荷又恢复到8成附近，近期装置检修计划不多叠加新装置要投产，现货流通性相对充足。PX方面增加宁波大榭160万吨装置，前期装置检修带动的供给端扰动减</w:t>
      </w:r>
      <w:r w:rsidRPr="00D1367C">
        <w:rPr>
          <w:rFonts w:ascii="楷体" w:eastAsia="楷体" w:hAnsi="楷体" w:hint="eastAsia"/>
          <w:color w:val="000000" w:themeColor="text1"/>
          <w:sz w:val="24"/>
          <w:szCs w:val="24"/>
        </w:rPr>
        <w:lastRenderedPageBreak/>
        <w:t>弱，PX供应偏宽松预期。但石脑油难有起色的背景下PXN还将偏强，短期PTA成本端支撑依然较强。需求方面，本周有一套聚酯装置检修重启，另外局部装置长丝短纤切片负荷微调，聚酯负荷继续小幅上行。截至6.30 初步核算国内大陆地区聚酯负荷在93.1%附近。节后江浙终端开工率有所恢复，预计月内聚酯负荷将持续维持高位运行。近期长丝工厂促销效果显著，库存持续维持偏低水平，对上游原料形成一定支撑。终端5月纺服零售同比和环比均增长，终端真实纺服需求中性。展望后市，短期PTA产业链整体矛盾尚未凸显，刚需韧性良好，走势更多跟随成本波动，关注后续计划外的减产情况。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9273946"/>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9273947"/>
      <w:r>
        <w:rPr>
          <w:rFonts w:ascii="楷体" w:eastAsia="楷体" w:hAnsi="楷体" w:hint="eastAsia"/>
          <w:b/>
          <w:color w:val="000000" w:themeColor="text1"/>
          <w:sz w:val="24"/>
          <w:szCs w:val="24"/>
        </w:rPr>
        <w:t>聚烯烃：</w:t>
      </w:r>
      <w:r w:rsidR="008111C8" w:rsidRPr="008111C8">
        <w:rPr>
          <w:rFonts w:ascii="楷体" w:eastAsia="楷体" w:hAnsi="楷体" w:hint="eastAsia"/>
          <w:b/>
          <w:color w:val="000000" w:themeColor="text1"/>
          <w:sz w:val="24"/>
          <w:szCs w:val="24"/>
        </w:rPr>
        <w:t>原油成本端上扬，聚烯烃或持稳</w:t>
      </w:r>
      <w:bookmarkEnd w:id="39"/>
    </w:p>
    <w:p w:rsidR="003F56A5" w:rsidRDefault="008111C8">
      <w:pPr>
        <w:ind w:leftChars="300" w:left="630"/>
        <w:rPr>
          <w:rFonts w:ascii="楷体" w:eastAsia="楷体" w:hAnsi="楷体"/>
          <w:bCs/>
          <w:sz w:val="24"/>
          <w:szCs w:val="24"/>
        </w:rPr>
      </w:pPr>
      <w:r w:rsidRPr="008111C8">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市场权衡美国原油库存持续骤降和美联储继续加息对经济和需求衰退的影响，国际油价连续第二天上涨，然而涨幅受限；需求方面，PE下游方面，农膜整体需求平平，工厂生产清淡。棚膜工厂多停机检修；PP下游方面，BOPP市场成交刚需有量，整体量较上一交易日增加，BOPP企业未交付订单多数在一周以内，个别可至七月初。综合来看，PE方面，原油成本端走势上扬，聚乙烯支撑力度增强；供应端，月底部分检修装置开车，供应压力小幅回升；需求端月底市场矛盾不大，供需边际也变化不大，市场亦难涨难跌。预计今日PE价格维持震荡走势。PP方面，聚丙烯下游处于淡季需求，工厂存停车或降负现象，订单量大幅下滑，且短期内难有改善。近期开车装置较多，产能利用率明显提升，库存高位，供应面增量利空。聚丙烯基本面弱势，但月底中上游出货节奏暂缓，挺价意愿明显，预计今日PP价格持稳</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40" w:name="_Toc139273948"/>
      <w:r>
        <w:rPr>
          <w:rFonts w:ascii="楷体" w:eastAsia="楷体" w:hAnsi="楷体" w:hint="eastAsia"/>
          <w:b/>
          <w:color w:val="000000" w:themeColor="text1"/>
          <w:sz w:val="24"/>
          <w:szCs w:val="24"/>
        </w:rPr>
        <w:t>MEG：</w:t>
      </w:r>
      <w:r w:rsidR="00D1367C" w:rsidRPr="00D1367C">
        <w:rPr>
          <w:rFonts w:ascii="楷体" w:eastAsia="楷体" w:hAnsi="楷体" w:hint="eastAsia"/>
          <w:b/>
          <w:color w:val="000000" w:themeColor="text1"/>
          <w:sz w:val="24"/>
          <w:szCs w:val="24"/>
        </w:rPr>
        <w:t>供应增量明显 乙二醇反弹空间受限</w:t>
      </w:r>
      <w:bookmarkEnd w:id="40"/>
    </w:p>
    <w:p w:rsidR="003F56A5" w:rsidRDefault="00D1367C" w:rsidP="00115EEA">
      <w:pPr>
        <w:ind w:leftChars="300" w:left="630"/>
        <w:rPr>
          <w:rFonts w:ascii="楷体" w:eastAsia="楷体" w:hAnsi="楷体"/>
          <w:color w:val="000000" w:themeColor="text1"/>
          <w:sz w:val="24"/>
          <w:szCs w:val="24"/>
        </w:rPr>
      </w:pPr>
      <w:r w:rsidRPr="00D1367C">
        <w:rPr>
          <w:rFonts w:ascii="楷体" w:eastAsia="楷体" w:hAnsi="楷体" w:hint="eastAsia"/>
          <w:color w:val="000000" w:themeColor="text1"/>
          <w:sz w:val="24"/>
          <w:szCs w:val="24"/>
        </w:rPr>
        <w:t>供需情况，6.29华东主港地区MEG港口库存约97.6万吨附近，环比上期</w:t>
      </w:r>
      <w:r w:rsidRPr="00D1367C">
        <w:rPr>
          <w:rFonts w:ascii="楷体" w:eastAsia="楷体" w:hAnsi="楷体" w:hint="eastAsia"/>
          <w:color w:val="000000" w:themeColor="text1"/>
          <w:sz w:val="24"/>
          <w:szCs w:val="24"/>
        </w:rPr>
        <w:lastRenderedPageBreak/>
        <w:t>增加0.4万吨。截至6月29日，中国大陆地区乙二醇整体开工负荷在64.31%（+6.44%），其中煤制乙二醇开工负荷在66.05%（+0.33%）。近期乙二醇开工率回升至64%偏高以上水平，浙江石化（75+80)、海南炼化重启负荷提升中，煤化工新疆天业装置重启，新装置三江石化新装置投产较为顺利。聚酯需求端来看，截至6.30初步核算国内大陆地区聚酯负荷在93.1%附近。节后江浙终端开工率有所恢复，江浙加弹综合开工率82%，江浙织机综合开工率69%，江浙印染综合开工率77%。进口市场来看，6月底7月初远洋货将逐步抵港，现货环节可流动性仍在释放中。展望后市，国产负荷大幅提升供应环节增量预估有20万吨左右，据悉马油及韩国货近期有成交，预计6-7月乙二醇进口增量8-10万吨左右。近期受聚酯高开工带动下，价格进一步走跌动能弱化。但乙二醇成本下行及后续供应端增量较为明显，09合约上行驱动不足，择机高位布空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927394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D1367C" w:rsidRPr="00D1367C">
        <w:rPr>
          <w:rFonts w:ascii="楷体" w:eastAsia="楷体" w:hAnsi="楷体" w:hint="eastAsia"/>
          <w:b/>
          <w:color w:val="000000" w:themeColor="text1"/>
          <w:sz w:val="24"/>
          <w:szCs w:val="24"/>
        </w:rPr>
        <w:t>市场情绪渐好，盘面横盘整理</w:t>
      </w:r>
      <w:bookmarkEnd w:id="41"/>
    </w:p>
    <w:p w:rsidR="00A71A7E" w:rsidRDefault="00D1367C" w:rsidP="001F79C6">
      <w:pPr>
        <w:ind w:leftChars="300" w:left="630"/>
        <w:rPr>
          <w:rFonts w:ascii="楷体" w:eastAsia="楷体" w:hAnsi="楷体"/>
          <w:color w:val="000000" w:themeColor="text1"/>
          <w:sz w:val="24"/>
          <w:szCs w:val="24"/>
        </w:rPr>
      </w:pPr>
      <w:r w:rsidRPr="00D1367C">
        <w:rPr>
          <w:rFonts w:ascii="楷体" w:eastAsia="楷体" w:hAnsi="楷体" w:hint="eastAsia"/>
          <w:color w:val="000000" w:themeColor="text1"/>
          <w:sz w:val="24"/>
          <w:szCs w:val="24"/>
        </w:rPr>
        <w:t>隆众资讯6月30日报道：今日浮法玻璃现货价格1896，较上交易日-5。截止到20230629，全国浮法玻璃样本企业总库存5573.9万重箱，环比增加49.2万重箱，环比+0.89%，同比-30.65%。折库存天数24天，较上期增加0.2天。周末产销持平，各地价格松动，湖北现货价格下跌。临近下半年开端，宏观情绪渐好，但基本面偏弱。盘面反复冲高回落，收红十字星，短期缺乏强驱动力，短期1500-1650区间震荡。重点关注：1）后续保交楼实施情况和地产销售与竣工数据，2）各区域产销情况</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927395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D1367C" w:rsidRPr="00D1367C">
        <w:rPr>
          <w:rFonts w:ascii="楷体" w:eastAsia="楷体" w:hAnsi="楷体" w:hint="eastAsia"/>
          <w:b/>
          <w:color w:val="000000" w:themeColor="text1"/>
          <w:sz w:val="24"/>
          <w:szCs w:val="24"/>
        </w:rPr>
        <w:t>海化老线检修，基差逐渐修复</w:t>
      </w:r>
      <w:bookmarkEnd w:id="42"/>
    </w:p>
    <w:p w:rsidR="00A71A7E" w:rsidRDefault="00D1367C" w:rsidP="00A71A7E">
      <w:pPr>
        <w:ind w:leftChars="300" w:left="630"/>
        <w:rPr>
          <w:rFonts w:ascii="楷体" w:eastAsia="楷体" w:hAnsi="楷体"/>
          <w:bCs/>
          <w:sz w:val="24"/>
          <w:szCs w:val="24"/>
        </w:rPr>
      </w:pPr>
      <w:r w:rsidRPr="00D1367C">
        <w:rPr>
          <w:rFonts w:ascii="楷体" w:eastAsia="楷体" w:hAnsi="楷体" w:hint="eastAsia"/>
          <w:color w:val="000000" w:themeColor="text1"/>
          <w:sz w:val="24"/>
          <w:szCs w:val="24"/>
        </w:rPr>
        <w:t>国内纯碱市场价格近期无大幅变化。供给端，今日山东海化老线进入检修，其余装置暂稳运行。短期来看，天然碱投产兑现后，检修逐步兑现。7月纯碱产量和开工下滑，现货碱厂挺价，短期价格稳定，盘面区间震荡。多空博弈暂未打破平衡。如果出现超卖可以尝试低多08，出现超买可高空09。重点关注：1）夏检企业是否如期，2）下游玻璃点火情况 3)天然碱投产能能否如期上量</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927395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927395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D1367C" w:rsidRPr="00D1367C">
        <w:rPr>
          <w:rFonts w:ascii="楷体" w:eastAsia="楷体" w:hAnsi="楷体" w:hint="eastAsia"/>
          <w:b/>
          <w:sz w:val="24"/>
          <w:szCs w:val="24"/>
        </w:rPr>
        <w:t>美农报告超预期，预计偏强</w:t>
      </w:r>
      <w:bookmarkEnd w:id="44"/>
    </w:p>
    <w:p w:rsidR="003F56A5" w:rsidRDefault="00D1367C">
      <w:pPr>
        <w:ind w:leftChars="300" w:left="630"/>
        <w:rPr>
          <w:rFonts w:ascii="楷体" w:eastAsia="楷体" w:hAnsi="楷体"/>
          <w:sz w:val="24"/>
          <w:szCs w:val="24"/>
        </w:rPr>
      </w:pPr>
      <w:r w:rsidRPr="00D1367C">
        <w:rPr>
          <w:rFonts w:ascii="楷体" w:eastAsia="楷体" w:hAnsi="楷体" w:hint="eastAsia"/>
          <w:sz w:val="24"/>
          <w:szCs w:val="24"/>
        </w:rPr>
        <w:t>国际方面，美农报告超预期，对盘面带来利多驱动，2023年大豆种植面积8350.5万英亩较3月预估低400万英亩，此前市场预估8767.3万英亩，2022年8745万英亩。随着美豆逐步进入关键生长期，近期降雨的持续性以及能否有效缓解干旱仍待继续关注。当前美豆种植情况仍不乐观，优良率持续走低，截至6月25日当周，美国大豆优良率为51%，符合市场预期前一周为54%，去年同期为65%，创下1988年以来同期最低。巴西当前基本完成收割，大豆销售量达到预期产量的60%以上，6月出口预计达1430万吨。国内市场，随着当前大豆到港量增加，油厂已基本恢复开机压榨，但压榨节奏表现有差异，部分地区压榨较为缓慢，但累库趋势不变，当前主流油厂豆粕现货报价上调30-50元/吨不等，但后续仍有回落压力。大豆</w:t>
      </w:r>
      <w:r w:rsidRPr="00D1367C">
        <w:rPr>
          <w:rFonts w:ascii="楷体" w:eastAsia="楷体" w:hAnsi="楷体" w:hint="eastAsia"/>
          <w:sz w:val="24"/>
          <w:szCs w:val="24"/>
        </w:rPr>
        <w:lastRenderedPageBreak/>
        <w:t>4-6月到港量较大，5月进口到港1202万吨，环比增66%，到港仍较充裕。下游养殖利润表现仍不佳，且在杂粕替代下饲企和养殖企业等对豆粕饲用需求增量有限，在后续供应宽松下，现货基差仍有压力。菜粕当前供给相对偏紧，随着6月份后菜籽到港预计减少，油厂压榨也将逐步下滑。而需求方面在近期天气逐步回暖后，为华南水产需求旺季，替代需求方面，豆粕价格偏高，菜粕性价比仍存，整体供需表现紧张，对价格构成支撑。策略方面，短期走势预计偏强，建议偏多参与</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9273953"/>
      <w:r>
        <w:rPr>
          <w:rFonts w:ascii="楷体" w:eastAsia="楷体" w:hAnsi="楷体" w:hint="eastAsia"/>
          <w:b/>
          <w:color w:val="000000" w:themeColor="text1"/>
          <w:sz w:val="24"/>
          <w:szCs w:val="24"/>
        </w:rPr>
        <w:t>油脂：</w:t>
      </w:r>
      <w:r w:rsidR="00D1367C" w:rsidRPr="00D1367C">
        <w:rPr>
          <w:rFonts w:ascii="楷体" w:eastAsia="楷体" w:hAnsi="楷体" w:hint="eastAsia"/>
          <w:b/>
          <w:sz w:val="24"/>
          <w:szCs w:val="24"/>
        </w:rPr>
        <w:t>报告利多驱动，预计延续偏强走势</w:t>
      </w:r>
      <w:bookmarkEnd w:id="45"/>
    </w:p>
    <w:p w:rsidR="003F56A5" w:rsidRDefault="00D1367C" w:rsidP="00792D31">
      <w:pPr>
        <w:ind w:leftChars="300" w:left="630"/>
        <w:rPr>
          <w:rFonts w:ascii="楷体" w:eastAsia="楷体" w:hAnsi="楷体"/>
          <w:sz w:val="24"/>
          <w:szCs w:val="24"/>
        </w:rPr>
      </w:pPr>
      <w:r w:rsidRPr="00D1367C">
        <w:rPr>
          <w:rFonts w:ascii="楷体" w:eastAsia="楷体" w:hAnsi="楷体" w:hint="eastAsia"/>
          <w:sz w:val="24"/>
          <w:szCs w:val="24"/>
        </w:rPr>
        <w:t>国际市场，受美国农业部利多驱动，美豆及美豆油价格盘中触及涨停，因种植面积超预期下调以及美豆季度库存低于预期。棕榈油，马来产区在近期干旱天气影响下，MPOA数据显示马来西亚6月1-25日棕榈油产量预估降幅收窄；而出口预计环比下滑8%，需求疲软下，仍限制涨幅。虽市场开始炒作厄尔尼诺现象，但中期无法改变产地棕榈油累库的趋势。国内棕榈油在需求增加及进口下滑下，库存稳步去化。但在近期产地报价下滑，国内进口利润有所修复，6-7月船期买船增加，去库速度逐步放缓。需求端，随着气温回升利好棕榈油消费，但近期成交平平，无明显增量。豆油在供应修复预期下，压力仍存。虽5月初在大豆入关问题下，油厂开机不及预期，豆油供给修复缓慢。但随着4-7月进口大豆到港增加，豆油供应存边际修复预期。需求，在中小学及高校陆续进入暑期，且无大型节日消费提振，预计进入消费淡季。菜油现阶段处于供强需弱格局，但后续供应压力边际减轻。随着进口加籽到港量维持高位，菜籽供应较稳定，5月菜籽进口68.6万吨，菜油进口17万吨，均较同期增加，且近期菜油进口利润打开，有新增买船，菜油供应较宽松。需求方面，在国产菜籽上市后，浓香菜油偏好增加，进口菜油去库仍需通过对竞争油脂替代来消耗。短期油脂谨慎看多，做多菜豆价差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9273954"/>
      <w:r>
        <w:rPr>
          <w:rFonts w:ascii="楷体" w:eastAsia="楷体" w:hAnsi="楷体" w:hint="eastAsia"/>
          <w:b/>
          <w:bCs/>
          <w:color w:val="000000" w:themeColor="text1"/>
        </w:rPr>
        <w:t>玉米与淀粉：</w:t>
      </w:r>
      <w:r w:rsidR="00D1367C" w:rsidRPr="00D1367C">
        <w:rPr>
          <w:rFonts w:ascii="楷体" w:eastAsia="楷体" w:hAnsi="楷体" w:hint="eastAsia"/>
          <w:b/>
        </w:rPr>
        <w:t>淀粉-玉米价差大幅走扩</w:t>
      </w:r>
      <w:bookmarkEnd w:id="46"/>
    </w:p>
    <w:p w:rsidR="00D1367C" w:rsidRPr="00D1367C" w:rsidRDefault="00D1367C" w:rsidP="00D1367C">
      <w:pPr>
        <w:pStyle w:val="paragraph"/>
        <w:spacing w:before="60" w:after="60"/>
        <w:ind w:leftChars="300" w:left="630"/>
        <w:rPr>
          <w:rFonts w:ascii="楷体" w:eastAsia="楷体" w:hAnsi="楷体" w:hint="eastAsia"/>
        </w:rPr>
      </w:pPr>
      <w:r w:rsidRPr="00D1367C">
        <w:rPr>
          <w:rFonts w:ascii="楷体" w:eastAsia="楷体" w:hAnsi="楷体" w:hint="eastAsia"/>
        </w:rPr>
        <w:t>对于玉米而言，在前期提及的两个方面的上涨驱动中，外盘天气炒作熄火叠加美玉米种植面积增加，但考虑到国家严查玉米保税区进口，这使得玉米期价仍有望受到陈化水稻抛储出库成本的支撑。旧作被动补库存逻辑依然成立，因下游需求企业玉米库存依然低位，产销区和华北-东北玉米已持续走扩，后期需要留意小麦饲用替代和陈化水稻抛储政策两个方面。我们仍建议继续关注前期提及的两个方面的上涨驱动，短期由于期现货价格持续上涨过后对供需两端的影响，叠加外盘天气熄火和美玉米种植面积大增的影响，玉米期现货可能出现阶段性回落，但考虑到进口受阻，陈化水稻成本支撑，其回落空间或有限。在这种情况下，我们维持谨慎看多观点，建议前期多单可以考虑减仓或者离场，等待回落后再次入场做多的机会。</w:t>
      </w:r>
    </w:p>
    <w:p w:rsidR="003F56A5" w:rsidRDefault="00D1367C" w:rsidP="00D1367C">
      <w:pPr>
        <w:pStyle w:val="paragraph"/>
        <w:spacing w:before="60" w:beforeAutospacing="0" w:after="60" w:afterAutospacing="0"/>
        <w:ind w:leftChars="300" w:left="630"/>
        <w:rPr>
          <w:rFonts w:ascii="楷体" w:eastAsia="楷体" w:hAnsi="楷体"/>
        </w:rPr>
      </w:pPr>
      <w:r w:rsidRPr="00D1367C">
        <w:rPr>
          <w:rFonts w:ascii="楷体" w:eastAsia="楷体" w:hAnsi="楷体" w:hint="eastAsia"/>
        </w:rPr>
        <w:t>对于淀粉而言，6月期间淀粉-玉米价差先抑后扬，整体大幅走扩，主要源于行业供需改善及其原料成本上涨带动下的基差修复。后期需要关注两个方面的风险，其一是豆粕有望带动副产品价格上涨；其二在经历季</w:t>
      </w:r>
      <w:r w:rsidRPr="00D1367C">
        <w:rPr>
          <w:rFonts w:ascii="楷体" w:eastAsia="楷体" w:hAnsi="楷体" w:hint="eastAsia"/>
        </w:rPr>
        <w:lastRenderedPageBreak/>
        <w:t>节性旺季的补库之后，根据往年规律，淀粉出库量（表观需求量）会出现阶段性的低迷期。在这种情况下，我们建议淀粉-玉米价差可以考虑获利离场，单边操作参考玉米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9273955"/>
      <w:r>
        <w:rPr>
          <w:rFonts w:ascii="楷体" w:eastAsia="楷体" w:hAnsi="楷体" w:hint="eastAsia"/>
          <w:b/>
          <w:bCs/>
          <w:color w:val="000000" w:themeColor="text1"/>
        </w:rPr>
        <w:t>畜禽养殖：</w:t>
      </w:r>
      <w:r w:rsidR="00D1367C" w:rsidRPr="00D1367C">
        <w:rPr>
          <w:rFonts w:ascii="楷体" w:eastAsia="楷体" w:hAnsi="楷体" w:hint="eastAsia"/>
          <w:b/>
          <w:bCs/>
          <w:color w:val="000000" w:themeColor="text1"/>
        </w:rPr>
        <w:t>期价近弱远强分化运行</w:t>
      </w:r>
      <w:bookmarkEnd w:id="47"/>
    </w:p>
    <w:p w:rsidR="00D1367C" w:rsidRPr="00D1367C" w:rsidRDefault="00D1367C" w:rsidP="00D1367C">
      <w:pPr>
        <w:pStyle w:val="paragraph"/>
        <w:spacing w:before="60" w:after="60"/>
        <w:ind w:leftChars="300" w:left="630"/>
        <w:rPr>
          <w:rFonts w:ascii="楷体" w:eastAsia="楷体" w:hAnsi="楷体" w:hint="eastAsia"/>
        </w:rPr>
      </w:pPr>
      <w:r w:rsidRPr="00D1367C">
        <w:rPr>
          <w:rFonts w:ascii="楷体" w:eastAsia="楷体" w:hAnsi="楷体" w:hint="eastAsia"/>
        </w:rPr>
        <w:t>对于生猪而言，在前期报告中我们指出，3月以来现货表现不及我们之前预期，问题出在供应量，集中在三个方面，其一是春节前堆积的供应量，其二是节前仔猪带来的生猪出栏量，其三是年后二次育肥带来的供应延迟释放。供应释放过程伴随着行业产能的去化，市场会关注两个方面的交易机会，其一是周期见底，其二是阶段性反弹。周期见底尚需等待，因市场普遍认为目前产能仍处于高位，但随着仔猪的下跌，这一过程有望加速，短期更多留意阶段性反弹机会，目前7月和9月合约均低于生猪养殖成本，远月合约亦仅略高于养殖成本线，考虑到供应压力环比有望得到缓解，再加上国家收储政策的潜在支撑，我们倾向于期价下方空间或有限。在这种情况下，暂维持中性，后期或转向谨慎看多。</w:t>
      </w:r>
    </w:p>
    <w:p w:rsidR="003F56A5" w:rsidRDefault="00D1367C" w:rsidP="00D1367C">
      <w:pPr>
        <w:pStyle w:val="paragraph"/>
        <w:spacing w:before="60" w:beforeAutospacing="0" w:after="60" w:afterAutospacing="0"/>
        <w:ind w:leftChars="300" w:left="630"/>
        <w:rPr>
          <w:rFonts w:ascii="楷体" w:eastAsia="楷体" w:hAnsi="楷体"/>
        </w:rPr>
      </w:pPr>
      <w:r w:rsidRPr="00D1367C">
        <w:rPr>
          <w:rFonts w:ascii="楷体" w:eastAsia="楷体" w:hAnsi="楷体" w:hint="eastAsia"/>
        </w:rPr>
        <w:t>对于鸡蛋而言，当前市场的主要矛盾体现在近弱远强上，1-9和5-9价差走强，背后反映前期的逻辑发生改变，即前期的供需改善预期可能存在变数。这主要源于5月以来，随着鸡蛋现货价格的下跌，蛋鸡养殖利润亦有显著下滑，带动养殖户补栏积极性下滑，与此同时，养殖户淘汰积极性上升。考虑到9月合约一度跌至4030左右，这接近于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9273956"/>
      <w:r>
        <w:rPr>
          <w:rFonts w:ascii="楷体" w:eastAsia="楷体" w:hAnsi="楷体" w:hint="eastAsia"/>
          <w:b/>
          <w:sz w:val="24"/>
          <w:szCs w:val="24"/>
        </w:rPr>
        <w:t>郑棉：</w:t>
      </w:r>
      <w:r w:rsidR="00D1367C" w:rsidRPr="00D1367C">
        <w:rPr>
          <w:rFonts w:ascii="楷体" w:eastAsia="楷体" w:hAnsi="楷体" w:hint="eastAsia"/>
          <w:b/>
          <w:sz w:val="24"/>
          <w:szCs w:val="24"/>
        </w:rPr>
        <w:t>预计09合约偏强震荡，看跌期权卖权持有</w:t>
      </w:r>
      <w:bookmarkEnd w:id="48"/>
    </w:p>
    <w:p w:rsidR="003F56A5" w:rsidRDefault="00D1367C" w:rsidP="007B3290">
      <w:pPr>
        <w:ind w:leftChars="300" w:left="630"/>
        <w:rPr>
          <w:rFonts w:ascii="楷体" w:eastAsia="楷体" w:hAnsi="楷体"/>
          <w:sz w:val="24"/>
          <w:szCs w:val="24"/>
        </w:rPr>
      </w:pPr>
      <w:r w:rsidRPr="00D1367C">
        <w:rPr>
          <w:rFonts w:ascii="楷体" w:eastAsia="楷体" w:hAnsi="楷体" w:hint="eastAsia"/>
          <w:sz w:val="24"/>
          <w:szCs w:val="24"/>
        </w:rPr>
        <w:t>美国农业部（USDA）发布2023/24年度作物实播面积报告，数据表现基本符合市场预期。美棉新年度实播面积在1108.7万英亩，同比减19.4%。其中陆地棉总面积1097.8万英亩，同比减幅19.2%；皮马棉种植面积10.9万英亩，同比减幅40.1%。在该利好支持下，美棉继续惯性上周。国内，资金对郑棉中期依然主要持价格重心上移观点，看涨预期较强。若抛储政策公布后未达市场预期，短期内郑棉或再度尝试冲击1.7万关口</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DC" w:rsidRDefault="00EE2FDC">
      <w:r>
        <w:separator/>
      </w:r>
    </w:p>
  </w:endnote>
  <w:endnote w:type="continuationSeparator" w:id="0">
    <w:p w:rsidR="00EE2FDC" w:rsidRDefault="00EE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11A4DD4" wp14:editId="392871F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1367C">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1367C">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DC" w:rsidRDefault="00EE2FDC">
      <w:r>
        <w:separator/>
      </w:r>
    </w:p>
  </w:footnote>
  <w:footnote w:type="continuationSeparator" w:id="0">
    <w:p w:rsidR="00EE2FDC" w:rsidRDefault="00EE2F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26222E37" wp14:editId="0853C787">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5FA7FFAB" wp14:editId="4B082A26">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D1367C">
      <w:rPr>
        <w:rFonts w:ascii="Times New Roman" w:eastAsia="楷体" w:hAnsi="Times New Roman" w:hint="eastAsia"/>
        <w:b/>
        <w:bCs/>
        <w:noProof/>
        <w:color w:val="833C0B"/>
        <w:sz w:val="21"/>
      </w:rPr>
      <w:t>2023</w:t>
    </w:r>
    <w:r w:rsidR="00D1367C">
      <w:rPr>
        <w:rFonts w:ascii="Times New Roman" w:eastAsia="楷体" w:hAnsi="Times New Roman" w:hint="eastAsia"/>
        <w:b/>
        <w:bCs/>
        <w:noProof/>
        <w:color w:val="833C0B"/>
        <w:sz w:val="21"/>
      </w:rPr>
      <w:t>年</w:t>
    </w:r>
    <w:r w:rsidR="00D1367C">
      <w:rPr>
        <w:rFonts w:ascii="Times New Roman" w:eastAsia="楷体" w:hAnsi="Times New Roman" w:hint="eastAsia"/>
        <w:b/>
        <w:bCs/>
        <w:noProof/>
        <w:color w:val="833C0B"/>
        <w:sz w:val="21"/>
      </w:rPr>
      <w:t>7</w:t>
    </w:r>
    <w:r w:rsidR="00D1367C">
      <w:rPr>
        <w:rFonts w:ascii="Times New Roman" w:eastAsia="楷体" w:hAnsi="Times New Roman" w:hint="eastAsia"/>
        <w:b/>
        <w:bCs/>
        <w:noProof/>
        <w:color w:val="833C0B"/>
        <w:sz w:val="21"/>
      </w:rPr>
      <w:t>月</w:t>
    </w:r>
    <w:r w:rsidR="00D1367C">
      <w:rPr>
        <w:rFonts w:ascii="Times New Roman" w:eastAsia="楷体" w:hAnsi="Times New Roman" w:hint="eastAsia"/>
        <w:b/>
        <w:bCs/>
        <w:noProof/>
        <w:color w:val="833C0B"/>
        <w:sz w:val="21"/>
      </w:rPr>
      <w:t>3</w:t>
    </w:r>
    <w:r w:rsidR="00D1367C">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1F79C6"/>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382D"/>
    <w:rsid w:val="004A3F85"/>
    <w:rsid w:val="004A65B5"/>
    <w:rsid w:val="004B4D4D"/>
    <w:rsid w:val="004C11A7"/>
    <w:rsid w:val="004C5F3F"/>
    <w:rsid w:val="004D6F74"/>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3605E"/>
    <w:rsid w:val="00840F4E"/>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573ED"/>
    <w:rsid w:val="00A60F08"/>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4C5"/>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582A"/>
    <w:rsid w:val="00D17FB1"/>
    <w:rsid w:val="00D309C4"/>
    <w:rsid w:val="00D32D2F"/>
    <w:rsid w:val="00D45E53"/>
    <w:rsid w:val="00D47039"/>
    <w:rsid w:val="00D55EAF"/>
    <w:rsid w:val="00D63655"/>
    <w:rsid w:val="00D75630"/>
    <w:rsid w:val="00D762B2"/>
    <w:rsid w:val="00D842AA"/>
    <w:rsid w:val="00D86D76"/>
    <w:rsid w:val="00D87130"/>
    <w:rsid w:val="00D93E0B"/>
    <w:rsid w:val="00DA7546"/>
    <w:rsid w:val="00DD334E"/>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4667F"/>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622ED"/>
    <w:rsid w:val="00F65EEA"/>
    <w:rsid w:val="00F776D3"/>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B2F88-E03F-44CD-9B6F-9056DAD0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9</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21</cp:revision>
  <cp:lastPrinted>2023-06-08T02:23:00Z</cp:lastPrinted>
  <dcterms:created xsi:type="dcterms:W3CDTF">2022-11-15T10:06:00Z</dcterms:created>
  <dcterms:modified xsi:type="dcterms:W3CDTF">2023-07-03T02:51:00Z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