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8111C8"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8111C8" w:rsidRPr="00C036E5">
            <w:rPr>
              <w:rStyle w:val="a9"/>
              <w:noProof/>
            </w:rPr>
            <w:fldChar w:fldCharType="begin"/>
          </w:r>
          <w:r w:rsidR="008111C8" w:rsidRPr="00C036E5">
            <w:rPr>
              <w:rStyle w:val="a9"/>
              <w:noProof/>
            </w:rPr>
            <w:instrText xml:space="preserve"> </w:instrText>
          </w:r>
          <w:r w:rsidR="008111C8">
            <w:rPr>
              <w:noProof/>
            </w:rPr>
            <w:instrText>HYPERLINK \l "_Toc139013450"</w:instrText>
          </w:r>
          <w:r w:rsidR="008111C8" w:rsidRPr="00C036E5">
            <w:rPr>
              <w:rStyle w:val="a9"/>
              <w:noProof/>
            </w:rPr>
            <w:instrText xml:space="preserve"> </w:instrText>
          </w:r>
          <w:r w:rsidR="008111C8" w:rsidRPr="00C036E5">
            <w:rPr>
              <w:rStyle w:val="a9"/>
              <w:noProof/>
            </w:rPr>
          </w:r>
          <w:r w:rsidR="008111C8" w:rsidRPr="00C036E5">
            <w:rPr>
              <w:rStyle w:val="a9"/>
              <w:noProof/>
            </w:rPr>
            <w:fldChar w:fldCharType="separate"/>
          </w:r>
          <w:r w:rsidR="008111C8" w:rsidRPr="00C036E5">
            <w:rPr>
              <w:rStyle w:val="a9"/>
              <w:rFonts w:ascii="Times New Roman" w:eastAsia="楷体" w:hAnsi="Times New Roman"/>
              <w:b/>
              <w:noProof/>
            </w:rPr>
            <w:t>[</w:t>
          </w:r>
          <w:r w:rsidR="008111C8" w:rsidRPr="00C036E5">
            <w:rPr>
              <w:rStyle w:val="a9"/>
              <w:rFonts w:ascii="Times New Roman" w:eastAsia="楷体" w:hAnsi="Times New Roman"/>
              <w:b/>
              <w:noProof/>
            </w:rPr>
            <w:t>金融</w:t>
          </w:r>
          <w:r w:rsidR="008111C8" w:rsidRPr="00C036E5">
            <w:rPr>
              <w:rStyle w:val="a9"/>
              <w:rFonts w:ascii="Times New Roman" w:eastAsia="楷体" w:hAnsi="Times New Roman"/>
              <w:b/>
              <w:noProof/>
            </w:rPr>
            <w:t>]</w:t>
          </w:r>
          <w:r w:rsidR="008111C8" w:rsidRPr="00C036E5">
            <w:rPr>
              <w:rStyle w:val="a9"/>
              <w:noProof/>
            </w:rPr>
            <w:fldChar w:fldCharType="end"/>
          </w:r>
        </w:p>
        <w:p w:rsidR="008111C8" w:rsidRDefault="008111C8">
          <w:pPr>
            <w:pStyle w:val="23"/>
            <w:tabs>
              <w:tab w:val="right" w:leader="dot" w:pos="8296"/>
            </w:tabs>
            <w:rPr>
              <w:rFonts w:eastAsiaTheme="minorEastAsia"/>
              <w:noProof/>
              <w:szCs w:val="22"/>
            </w:rPr>
          </w:pPr>
          <w:hyperlink w:anchor="_Toc139013451" w:history="1">
            <w:r w:rsidRPr="00C036E5">
              <w:rPr>
                <w:rStyle w:val="a9"/>
                <w:rFonts w:ascii="Times New Roman" w:eastAsia="楷体" w:hAnsi="Times New Roman"/>
                <w:b/>
                <w:noProof/>
              </w:rPr>
              <w:t>股指：关注</w:t>
            </w:r>
            <w:r w:rsidRPr="00C036E5">
              <w:rPr>
                <w:rStyle w:val="a9"/>
                <w:rFonts w:ascii="Times New Roman" w:eastAsia="楷体" w:hAnsi="Times New Roman"/>
                <w:b/>
                <w:noProof/>
              </w:rPr>
              <w:t>IM</w:t>
            </w:r>
            <w:r w:rsidRPr="00C036E5">
              <w:rPr>
                <w:rStyle w:val="a9"/>
                <w:rFonts w:ascii="Times New Roman" w:eastAsia="楷体" w:hAnsi="Times New Roman"/>
                <w:b/>
                <w:noProof/>
              </w:rPr>
              <w:t>低多机会</w:t>
            </w:r>
          </w:hyperlink>
        </w:p>
        <w:p w:rsidR="008111C8" w:rsidRDefault="008111C8">
          <w:pPr>
            <w:pStyle w:val="11"/>
            <w:tabs>
              <w:tab w:val="right" w:leader="dot" w:pos="8296"/>
            </w:tabs>
            <w:rPr>
              <w:rFonts w:eastAsiaTheme="minorEastAsia"/>
              <w:noProof/>
              <w:szCs w:val="22"/>
            </w:rPr>
          </w:pPr>
          <w:hyperlink w:anchor="_Toc139013452" w:history="1">
            <w:r w:rsidRPr="00C036E5">
              <w:rPr>
                <w:rStyle w:val="a9"/>
                <w:rFonts w:ascii="Times New Roman" w:eastAsia="楷体" w:hAnsi="Times New Roman"/>
                <w:b/>
                <w:noProof/>
              </w:rPr>
              <w:t>[</w:t>
            </w:r>
            <w:r w:rsidRPr="00C036E5">
              <w:rPr>
                <w:rStyle w:val="a9"/>
                <w:rFonts w:ascii="Times New Roman" w:eastAsia="楷体" w:hAnsi="Times New Roman"/>
                <w:b/>
                <w:noProof/>
              </w:rPr>
              <w:t>贵金属</w:t>
            </w:r>
            <w:r w:rsidRPr="00C036E5">
              <w:rPr>
                <w:rStyle w:val="a9"/>
                <w:rFonts w:ascii="Times New Roman" w:eastAsia="楷体" w:hAnsi="Times New Roman"/>
                <w:b/>
                <w:noProof/>
              </w:rPr>
              <w:t>]</w:t>
            </w:r>
          </w:hyperlink>
        </w:p>
        <w:p w:rsidR="008111C8" w:rsidRDefault="008111C8">
          <w:pPr>
            <w:pStyle w:val="23"/>
            <w:tabs>
              <w:tab w:val="right" w:leader="dot" w:pos="8296"/>
            </w:tabs>
            <w:rPr>
              <w:rFonts w:eastAsiaTheme="minorEastAsia"/>
              <w:noProof/>
              <w:szCs w:val="22"/>
            </w:rPr>
          </w:pPr>
          <w:hyperlink w:anchor="_Toc139013453" w:history="1">
            <w:r w:rsidRPr="00C036E5">
              <w:rPr>
                <w:rStyle w:val="a9"/>
                <w:rFonts w:ascii="Times New Roman" w:eastAsia="楷体" w:hAnsi="Times New Roman"/>
                <w:b/>
                <w:noProof/>
              </w:rPr>
              <w:t>贵金属：美联储主席鹰派发声，贵金属价格小幅下跌</w:t>
            </w:r>
          </w:hyperlink>
        </w:p>
        <w:p w:rsidR="008111C8" w:rsidRDefault="008111C8">
          <w:pPr>
            <w:pStyle w:val="11"/>
            <w:tabs>
              <w:tab w:val="right" w:leader="dot" w:pos="8296"/>
            </w:tabs>
            <w:rPr>
              <w:rFonts w:eastAsiaTheme="minorEastAsia"/>
              <w:noProof/>
              <w:szCs w:val="22"/>
            </w:rPr>
          </w:pPr>
          <w:hyperlink w:anchor="_Toc139013454" w:history="1">
            <w:r w:rsidRPr="00C036E5">
              <w:rPr>
                <w:rStyle w:val="a9"/>
                <w:rFonts w:ascii="Times New Roman" w:eastAsia="楷体" w:hAnsi="Times New Roman"/>
                <w:b/>
                <w:noProof/>
              </w:rPr>
              <w:t>[</w:t>
            </w:r>
            <w:r w:rsidRPr="00C036E5">
              <w:rPr>
                <w:rStyle w:val="a9"/>
                <w:rFonts w:ascii="Times New Roman" w:eastAsia="楷体" w:hAnsi="Times New Roman"/>
                <w:b/>
                <w:noProof/>
              </w:rPr>
              <w:t>金属</w:t>
            </w:r>
            <w:r w:rsidRPr="00C036E5">
              <w:rPr>
                <w:rStyle w:val="a9"/>
                <w:rFonts w:ascii="Times New Roman" w:eastAsia="楷体" w:hAnsi="Times New Roman"/>
                <w:b/>
                <w:noProof/>
              </w:rPr>
              <w:t>]</w:t>
            </w:r>
          </w:hyperlink>
        </w:p>
        <w:p w:rsidR="008111C8" w:rsidRDefault="008111C8">
          <w:pPr>
            <w:pStyle w:val="23"/>
            <w:tabs>
              <w:tab w:val="right" w:leader="dot" w:pos="8296"/>
            </w:tabs>
            <w:rPr>
              <w:rFonts w:eastAsiaTheme="minorEastAsia"/>
              <w:noProof/>
              <w:szCs w:val="22"/>
            </w:rPr>
          </w:pPr>
          <w:hyperlink w:anchor="_Toc139013455" w:history="1">
            <w:r w:rsidRPr="00C036E5">
              <w:rPr>
                <w:rStyle w:val="a9"/>
                <w:rFonts w:ascii="楷体" w:eastAsia="楷体" w:hAnsi="楷体"/>
                <w:b/>
                <w:noProof/>
              </w:rPr>
              <w:t>螺纹钢：市场对政策期待较强，震荡偏强下观望为主</w:t>
            </w:r>
          </w:hyperlink>
        </w:p>
        <w:p w:rsidR="008111C8" w:rsidRDefault="008111C8">
          <w:pPr>
            <w:pStyle w:val="23"/>
            <w:tabs>
              <w:tab w:val="right" w:leader="dot" w:pos="8296"/>
            </w:tabs>
            <w:rPr>
              <w:rFonts w:eastAsiaTheme="minorEastAsia"/>
              <w:noProof/>
              <w:szCs w:val="22"/>
            </w:rPr>
          </w:pPr>
          <w:hyperlink w:anchor="_Toc139013456" w:history="1">
            <w:r w:rsidRPr="00C036E5">
              <w:rPr>
                <w:rStyle w:val="a9"/>
                <w:rFonts w:ascii="楷体" w:eastAsia="楷体" w:hAnsi="楷体"/>
                <w:b/>
                <w:noProof/>
              </w:rPr>
              <w:t>焦炭：铁水新高下偏强运行</w:t>
            </w:r>
          </w:hyperlink>
        </w:p>
        <w:p w:rsidR="008111C8" w:rsidRDefault="008111C8">
          <w:pPr>
            <w:pStyle w:val="23"/>
            <w:tabs>
              <w:tab w:val="right" w:leader="dot" w:pos="8296"/>
            </w:tabs>
            <w:rPr>
              <w:rFonts w:eastAsiaTheme="minorEastAsia"/>
              <w:noProof/>
              <w:szCs w:val="22"/>
            </w:rPr>
          </w:pPr>
          <w:hyperlink w:anchor="_Toc139013457" w:history="1">
            <w:r w:rsidRPr="00C036E5">
              <w:rPr>
                <w:rStyle w:val="a9"/>
                <w:rFonts w:ascii="楷体" w:eastAsia="楷体" w:hAnsi="楷体"/>
                <w:b/>
                <w:noProof/>
              </w:rPr>
              <w:t>焦煤：铁水新高及安全事故下，煤价偏强运行</w:t>
            </w:r>
          </w:hyperlink>
        </w:p>
        <w:p w:rsidR="008111C8" w:rsidRDefault="008111C8">
          <w:pPr>
            <w:pStyle w:val="23"/>
            <w:tabs>
              <w:tab w:val="right" w:leader="dot" w:pos="8296"/>
            </w:tabs>
            <w:rPr>
              <w:rFonts w:eastAsiaTheme="minorEastAsia"/>
              <w:noProof/>
              <w:szCs w:val="22"/>
            </w:rPr>
          </w:pPr>
          <w:hyperlink w:anchor="_Toc139013458" w:history="1">
            <w:r w:rsidRPr="00C036E5">
              <w:rPr>
                <w:rStyle w:val="a9"/>
                <w:rFonts w:ascii="楷体" w:eastAsia="楷体" w:hAnsi="楷体"/>
                <w:b/>
                <w:noProof/>
              </w:rPr>
              <w:t>铜：美元指数反弹压制铜价</w:t>
            </w:r>
          </w:hyperlink>
        </w:p>
        <w:p w:rsidR="008111C8" w:rsidRDefault="008111C8">
          <w:pPr>
            <w:pStyle w:val="23"/>
            <w:tabs>
              <w:tab w:val="right" w:leader="dot" w:pos="8296"/>
            </w:tabs>
            <w:rPr>
              <w:rFonts w:eastAsiaTheme="minorEastAsia"/>
              <w:noProof/>
              <w:szCs w:val="22"/>
            </w:rPr>
          </w:pPr>
          <w:hyperlink w:anchor="_Toc139013459" w:history="1">
            <w:r w:rsidRPr="00C036E5">
              <w:rPr>
                <w:rStyle w:val="a9"/>
                <w:rFonts w:ascii="楷体" w:eastAsia="楷体" w:hAnsi="楷体"/>
                <w:b/>
                <w:noProof/>
              </w:rPr>
              <w:t>铝：供应小修需求疲弱，维持区间震荡运行</w:t>
            </w:r>
          </w:hyperlink>
        </w:p>
        <w:p w:rsidR="008111C8" w:rsidRDefault="008111C8">
          <w:pPr>
            <w:pStyle w:val="23"/>
            <w:tabs>
              <w:tab w:val="right" w:leader="dot" w:pos="8296"/>
            </w:tabs>
            <w:rPr>
              <w:rFonts w:eastAsiaTheme="minorEastAsia"/>
              <w:noProof/>
              <w:szCs w:val="22"/>
            </w:rPr>
          </w:pPr>
          <w:hyperlink w:anchor="_Toc139013460" w:history="1">
            <w:r w:rsidRPr="00C036E5">
              <w:rPr>
                <w:rStyle w:val="a9"/>
                <w:rFonts w:ascii="楷体" w:eastAsia="楷体" w:hAnsi="楷体"/>
                <w:b/>
                <w:noProof/>
              </w:rPr>
              <w:t>锌：锌市供需关系或转入平衡，短期价格仍有压力</w:t>
            </w:r>
          </w:hyperlink>
        </w:p>
        <w:p w:rsidR="008111C8" w:rsidRDefault="008111C8">
          <w:pPr>
            <w:pStyle w:val="23"/>
            <w:tabs>
              <w:tab w:val="right" w:leader="dot" w:pos="8296"/>
            </w:tabs>
            <w:rPr>
              <w:rFonts w:eastAsiaTheme="minorEastAsia"/>
              <w:noProof/>
              <w:szCs w:val="22"/>
            </w:rPr>
          </w:pPr>
          <w:hyperlink w:anchor="_Toc139013461" w:history="1">
            <w:r w:rsidRPr="00C036E5">
              <w:rPr>
                <w:rStyle w:val="a9"/>
                <w:rFonts w:ascii="楷体" w:eastAsia="楷体" w:hAnsi="楷体"/>
                <w:b/>
                <w:noProof/>
              </w:rPr>
              <w:t>镍：基本面过剩预期仍压制镍价</w:t>
            </w:r>
          </w:hyperlink>
        </w:p>
        <w:p w:rsidR="008111C8" w:rsidRDefault="008111C8">
          <w:pPr>
            <w:pStyle w:val="23"/>
            <w:tabs>
              <w:tab w:val="right" w:leader="dot" w:pos="8296"/>
            </w:tabs>
            <w:rPr>
              <w:rFonts w:eastAsiaTheme="minorEastAsia"/>
              <w:noProof/>
              <w:szCs w:val="22"/>
            </w:rPr>
          </w:pPr>
          <w:hyperlink w:anchor="_Toc139013462" w:history="1">
            <w:r w:rsidRPr="00C036E5">
              <w:rPr>
                <w:rStyle w:val="a9"/>
                <w:rFonts w:ascii="楷体" w:eastAsia="楷体" w:hAnsi="楷体"/>
                <w:b/>
                <w:noProof/>
              </w:rPr>
              <w:t>铅：宏观叠加基本面影响铝价走势偏空</w:t>
            </w:r>
          </w:hyperlink>
        </w:p>
        <w:p w:rsidR="008111C8" w:rsidRDefault="008111C8">
          <w:pPr>
            <w:pStyle w:val="23"/>
            <w:tabs>
              <w:tab w:val="right" w:leader="dot" w:pos="8296"/>
            </w:tabs>
            <w:rPr>
              <w:rFonts w:eastAsiaTheme="minorEastAsia"/>
              <w:noProof/>
              <w:szCs w:val="22"/>
            </w:rPr>
          </w:pPr>
          <w:hyperlink w:anchor="_Toc139013463" w:history="1">
            <w:r w:rsidRPr="00C036E5">
              <w:rPr>
                <w:rStyle w:val="a9"/>
                <w:rFonts w:ascii="楷体" w:eastAsia="楷体" w:hAnsi="楷体"/>
                <w:b/>
                <w:noProof/>
              </w:rPr>
              <w:t>不锈钢：需求淡季下社库转增，SS承压运行</w:t>
            </w:r>
          </w:hyperlink>
        </w:p>
        <w:p w:rsidR="008111C8" w:rsidRDefault="008111C8">
          <w:pPr>
            <w:pStyle w:val="23"/>
            <w:tabs>
              <w:tab w:val="right" w:leader="dot" w:pos="8296"/>
            </w:tabs>
            <w:rPr>
              <w:rFonts w:eastAsiaTheme="minorEastAsia"/>
              <w:noProof/>
              <w:szCs w:val="22"/>
            </w:rPr>
          </w:pPr>
          <w:hyperlink w:anchor="_Toc139013464" w:history="1">
            <w:r w:rsidRPr="00C036E5">
              <w:rPr>
                <w:rStyle w:val="a9"/>
                <w:rFonts w:ascii="楷体" w:eastAsia="楷体" w:hAnsi="楷体"/>
                <w:b/>
                <w:noProof/>
              </w:rPr>
              <w:t>工业硅：基本面偏宽松未扭转，盘面以反弹对待</w:t>
            </w:r>
          </w:hyperlink>
        </w:p>
        <w:p w:rsidR="008111C8" w:rsidRDefault="008111C8">
          <w:pPr>
            <w:pStyle w:val="11"/>
            <w:tabs>
              <w:tab w:val="right" w:leader="dot" w:pos="8296"/>
            </w:tabs>
            <w:rPr>
              <w:rFonts w:eastAsiaTheme="minorEastAsia"/>
              <w:noProof/>
              <w:szCs w:val="22"/>
            </w:rPr>
          </w:pPr>
          <w:hyperlink w:anchor="_Toc139013465" w:history="1">
            <w:r w:rsidRPr="00C036E5">
              <w:rPr>
                <w:rStyle w:val="a9"/>
                <w:rFonts w:ascii="Times New Roman" w:eastAsia="楷体" w:hAnsi="Times New Roman"/>
                <w:b/>
                <w:noProof/>
              </w:rPr>
              <w:t>[</w:t>
            </w:r>
            <w:r w:rsidRPr="00C036E5">
              <w:rPr>
                <w:rStyle w:val="a9"/>
                <w:rFonts w:ascii="Times New Roman" w:eastAsia="楷体" w:hAnsi="Times New Roman"/>
                <w:b/>
                <w:noProof/>
              </w:rPr>
              <w:t>化工</w:t>
            </w:r>
            <w:r w:rsidRPr="00C036E5">
              <w:rPr>
                <w:rStyle w:val="a9"/>
                <w:rFonts w:ascii="Times New Roman" w:eastAsia="楷体" w:hAnsi="Times New Roman"/>
                <w:b/>
                <w:noProof/>
              </w:rPr>
              <w:t>]</w:t>
            </w:r>
          </w:hyperlink>
        </w:p>
        <w:p w:rsidR="008111C8" w:rsidRDefault="008111C8">
          <w:pPr>
            <w:pStyle w:val="23"/>
            <w:tabs>
              <w:tab w:val="right" w:leader="dot" w:pos="8296"/>
            </w:tabs>
            <w:rPr>
              <w:rFonts w:eastAsiaTheme="minorEastAsia"/>
              <w:noProof/>
              <w:szCs w:val="22"/>
            </w:rPr>
          </w:pPr>
          <w:hyperlink w:anchor="_Toc139013466" w:history="1">
            <w:r w:rsidRPr="00C036E5">
              <w:rPr>
                <w:rStyle w:val="a9"/>
                <w:rFonts w:ascii="Times New Roman" w:eastAsia="楷体" w:hAnsi="Times New Roman"/>
                <w:b/>
                <w:noProof/>
              </w:rPr>
              <w:t>天然橡胶</w:t>
            </w:r>
            <w:r w:rsidRPr="00C036E5">
              <w:rPr>
                <w:rStyle w:val="a9"/>
                <w:rFonts w:ascii="Times New Roman" w:eastAsia="楷体" w:hAnsi="Times New Roman"/>
                <w:b/>
                <w:noProof/>
              </w:rPr>
              <w:t>:</w:t>
            </w:r>
            <w:r w:rsidRPr="00C036E5">
              <w:rPr>
                <w:rStyle w:val="a9"/>
                <w:rFonts w:ascii="楷体" w:eastAsia="楷体" w:hAnsi="楷体"/>
                <w:b/>
                <w:noProof/>
              </w:rPr>
              <w:t xml:space="preserve"> 基本面无明显利好，RU维持震荡走势为主</w:t>
            </w:r>
          </w:hyperlink>
        </w:p>
        <w:p w:rsidR="008111C8" w:rsidRDefault="008111C8">
          <w:pPr>
            <w:pStyle w:val="23"/>
            <w:tabs>
              <w:tab w:val="right" w:leader="dot" w:pos="8296"/>
            </w:tabs>
            <w:rPr>
              <w:rFonts w:eastAsiaTheme="minorEastAsia"/>
              <w:noProof/>
              <w:szCs w:val="22"/>
            </w:rPr>
          </w:pPr>
          <w:hyperlink w:anchor="_Toc139013467" w:history="1">
            <w:r w:rsidRPr="00C036E5">
              <w:rPr>
                <w:rStyle w:val="a9"/>
                <w:rFonts w:ascii="楷体" w:eastAsia="楷体" w:hAnsi="楷体"/>
                <w:b/>
                <w:noProof/>
              </w:rPr>
              <w:t xml:space="preserve">PTA：供需矛盾不明显 </w:t>
            </w:r>
            <w:r w:rsidRPr="00C036E5">
              <w:rPr>
                <w:rStyle w:val="a9"/>
                <w:rFonts w:ascii="Calibri" w:eastAsia="楷体" w:hAnsi="Calibri" w:cs="Calibri"/>
                <w:b/>
                <w:noProof/>
              </w:rPr>
              <w:t> </w:t>
            </w:r>
            <w:r w:rsidRPr="00C036E5">
              <w:rPr>
                <w:rStyle w:val="a9"/>
                <w:rFonts w:ascii="楷体" w:eastAsia="楷体" w:hAnsi="楷体"/>
                <w:b/>
                <w:noProof/>
              </w:rPr>
              <w:t>走势由成本端主导</w:t>
            </w:r>
          </w:hyperlink>
        </w:p>
        <w:p w:rsidR="008111C8" w:rsidRDefault="008111C8">
          <w:pPr>
            <w:pStyle w:val="23"/>
            <w:tabs>
              <w:tab w:val="right" w:leader="dot" w:pos="8296"/>
            </w:tabs>
            <w:rPr>
              <w:rFonts w:eastAsiaTheme="minorEastAsia"/>
              <w:noProof/>
              <w:szCs w:val="22"/>
            </w:rPr>
          </w:pPr>
          <w:hyperlink w:anchor="_Toc139013468" w:history="1">
            <w:r w:rsidRPr="00C036E5">
              <w:rPr>
                <w:rStyle w:val="a9"/>
                <w:rFonts w:ascii="楷体" w:eastAsia="楷体" w:hAnsi="楷体"/>
                <w:b/>
                <w:noProof/>
              </w:rPr>
              <w:t>PVC：高库存+弱复苏 驱动不足</w:t>
            </w:r>
          </w:hyperlink>
        </w:p>
        <w:p w:rsidR="008111C8" w:rsidRDefault="008111C8">
          <w:pPr>
            <w:pStyle w:val="23"/>
            <w:tabs>
              <w:tab w:val="right" w:leader="dot" w:pos="8296"/>
            </w:tabs>
            <w:rPr>
              <w:rFonts w:eastAsiaTheme="minorEastAsia"/>
              <w:noProof/>
              <w:szCs w:val="22"/>
            </w:rPr>
          </w:pPr>
          <w:hyperlink w:anchor="_Toc139013469" w:history="1">
            <w:r w:rsidRPr="00C036E5">
              <w:rPr>
                <w:rStyle w:val="a9"/>
                <w:rFonts w:ascii="楷体" w:eastAsia="楷体" w:hAnsi="楷体"/>
                <w:b/>
                <w:noProof/>
              </w:rPr>
              <w:t>聚烯烃：原油成本端上扬，聚烯烃或持稳</w:t>
            </w:r>
          </w:hyperlink>
        </w:p>
        <w:p w:rsidR="008111C8" w:rsidRDefault="008111C8">
          <w:pPr>
            <w:pStyle w:val="23"/>
            <w:tabs>
              <w:tab w:val="right" w:leader="dot" w:pos="8296"/>
            </w:tabs>
            <w:rPr>
              <w:rFonts w:eastAsiaTheme="minorEastAsia"/>
              <w:noProof/>
              <w:szCs w:val="22"/>
            </w:rPr>
          </w:pPr>
          <w:hyperlink w:anchor="_Toc139013470" w:history="1">
            <w:r w:rsidRPr="00C036E5">
              <w:rPr>
                <w:rStyle w:val="a9"/>
                <w:rFonts w:ascii="楷体" w:eastAsia="楷体" w:hAnsi="楷体"/>
                <w:b/>
                <w:noProof/>
              </w:rPr>
              <w:t>MEG：供应端压力增量明显 09上行驱动不足</w:t>
            </w:r>
          </w:hyperlink>
        </w:p>
        <w:p w:rsidR="008111C8" w:rsidRDefault="008111C8">
          <w:pPr>
            <w:pStyle w:val="23"/>
            <w:tabs>
              <w:tab w:val="right" w:leader="dot" w:pos="8296"/>
            </w:tabs>
            <w:rPr>
              <w:rFonts w:eastAsiaTheme="minorEastAsia"/>
              <w:noProof/>
              <w:szCs w:val="22"/>
            </w:rPr>
          </w:pPr>
          <w:hyperlink w:anchor="_Toc139013471" w:history="1">
            <w:r w:rsidRPr="00C036E5">
              <w:rPr>
                <w:rStyle w:val="a9"/>
                <w:rFonts w:ascii="楷体" w:eastAsia="楷体" w:hAnsi="楷体"/>
                <w:b/>
                <w:noProof/>
              </w:rPr>
              <w:t>玻璃：现货淡季需求弱势，盘面横盘整理</w:t>
            </w:r>
          </w:hyperlink>
        </w:p>
        <w:p w:rsidR="008111C8" w:rsidRDefault="008111C8">
          <w:pPr>
            <w:pStyle w:val="23"/>
            <w:tabs>
              <w:tab w:val="right" w:leader="dot" w:pos="8296"/>
            </w:tabs>
            <w:rPr>
              <w:rFonts w:eastAsiaTheme="minorEastAsia"/>
              <w:noProof/>
              <w:szCs w:val="22"/>
            </w:rPr>
          </w:pPr>
          <w:hyperlink w:anchor="_Toc139013472" w:history="1">
            <w:r w:rsidRPr="00C036E5">
              <w:rPr>
                <w:rStyle w:val="a9"/>
                <w:rFonts w:ascii="楷体" w:eastAsia="楷体" w:hAnsi="楷体"/>
                <w:b/>
                <w:noProof/>
              </w:rPr>
              <w:t>纯碱：天然碱投产兑现后，检修逐步兑现</w:t>
            </w:r>
          </w:hyperlink>
        </w:p>
        <w:p w:rsidR="008111C8" w:rsidRDefault="008111C8">
          <w:pPr>
            <w:pStyle w:val="11"/>
            <w:tabs>
              <w:tab w:val="right" w:leader="dot" w:pos="8296"/>
            </w:tabs>
            <w:rPr>
              <w:rFonts w:eastAsiaTheme="minorEastAsia"/>
              <w:noProof/>
              <w:szCs w:val="22"/>
            </w:rPr>
          </w:pPr>
          <w:hyperlink w:anchor="_Toc139013473" w:history="1">
            <w:r w:rsidRPr="00C036E5">
              <w:rPr>
                <w:rStyle w:val="a9"/>
                <w:rFonts w:ascii="Times New Roman" w:eastAsia="楷体" w:hAnsi="Times New Roman"/>
                <w:b/>
                <w:noProof/>
              </w:rPr>
              <w:t>[</w:t>
            </w:r>
            <w:r w:rsidRPr="00C036E5">
              <w:rPr>
                <w:rStyle w:val="a9"/>
                <w:rFonts w:ascii="Times New Roman" w:eastAsia="楷体" w:hAnsi="Times New Roman"/>
                <w:b/>
                <w:noProof/>
              </w:rPr>
              <w:t>农产品</w:t>
            </w:r>
            <w:r w:rsidRPr="00C036E5">
              <w:rPr>
                <w:rStyle w:val="a9"/>
                <w:rFonts w:ascii="Times New Roman" w:eastAsia="楷体" w:hAnsi="Times New Roman"/>
                <w:b/>
                <w:noProof/>
              </w:rPr>
              <w:t>]</w:t>
            </w:r>
          </w:hyperlink>
        </w:p>
        <w:p w:rsidR="008111C8" w:rsidRDefault="008111C8">
          <w:pPr>
            <w:pStyle w:val="23"/>
            <w:tabs>
              <w:tab w:val="right" w:leader="dot" w:pos="8296"/>
            </w:tabs>
            <w:rPr>
              <w:rFonts w:eastAsiaTheme="minorEastAsia"/>
              <w:noProof/>
              <w:szCs w:val="22"/>
            </w:rPr>
          </w:pPr>
          <w:hyperlink w:anchor="_Toc139013474" w:history="1">
            <w:r w:rsidRPr="00C036E5">
              <w:rPr>
                <w:rStyle w:val="a9"/>
                <w:rFonts w:ascii="楷体" w:eastAsia="楷体" w:hAnsi="楷体"/>
                <w:b/>
                <w:noProof/>
              </w:rPr>
              <w:t>豆粕/菜粕：基本面差异，菜粕表现强于豆粕</w:t>
            </w:r>
          </w:hyperlink>
        </w:p>
        <w:p w:rsidR="008111C8" w:rsidRDefault="008111C8">
          <w:pPr>
            <w:pStyle w:val="23"/>
            <w:tabs>
              <w:tab w:val="right" w:leader="dot" w:pos="8296"/>
            </w:tabs>
            <w:rPr>
              <w:rFonts w:eastAsiaTheme="minorEastAsia"/>
              <w:noProof/>
              <w:szCs w:val="22"/>
            </w:rPr>
          </w:pPr>
          <w:hyperlink w:anchor="_Toc139013475" w:history="1">
            <w:r w:rsidRPr="00C036E5">
              <w:rPr>
                <w:rStyle w:val="a9"/>
                <w:rFonts w:ascii="楷体" w:eastAsia="楷体" w:hAnsi="楷体"/>
                <w:b/>
                <w:noProof/>
              </w:rPr>
              <w:t>油脂：延续震荡整理，豆棕价差收窄</w:t>
            </w:r>
          </w:hyperlink>
        </w:p>
        <w:p w:rsidR="008111C8" w:rsidRDefault="008111C8">
          <w:pPr>
            <w:pStyle w:val="23"/>
            <w:tabs>
              <w:tab w:val="right" w:leader="dot" w:pos="8296"/>
            </w:tabs>
            <w:rPr>
              <w:rFonts w:eastAsiaTheme="minorEastAsia"/>
              <w:noProof/>
              <w:szCs w:val="22"/>
            </w:rPr>
          </w:pPr>
          <w:hyperlink w:anchor="_Toc139013476" w:history="1">
            <w:r w:rsidRPr="00C036E5">
              <w:rPr>
                <w:rStyle w:val="a9"/>
                <w:rFonts w:ascii="楷体" w:eastAsia="楷体" w:hAnsi="楷体"/>
                <w:b/>
                <w:bCs/>
                <w:noProof/>
              </w:rPr>
              <w:t>玉米与淀粉：</w:t>
            </w:r>
            <w:r w:rsidRPr="00C036E5">
              <w:rPr>
                <w:rStyle w:val="a9"/>
                <w:rFonts w:ascii="楷体" w:eastAsia="楷体" w:hAnsi="楷体"/>
                <w:b/>
                <w:noProof/>
              </w:rPr>
              <w:t>淀粉-玉米价差持续走扩</w:t>
            </w:r>
          </w:hyperlink>
        </w:p>
        <w:p w:rsidR="008111C8" w:rsidRDefault="008111C8">
          <w:pPr>
            <w:pStyle w:val="23"/>
            <w:tabs>
              <w:tab w:val="right" w:leader="dot" w:pos="8296"/>
            </w:tabs>
            <w:rPr>
              <w:rFonts w:eastAsiaTheme="minorEastAsia"/>
              <w:noProof/>
              <w:szCs w:val="22"/>
            </w:rPr>
          </w:pPr>
          <w:hyperlink w:anchor="_Toc139013477" w:history="1">
            <w:r w:rsidRPr="00C036E5">
              <w:rPr>
                <w:rStyle w:val="a9"/>
                <w:rFonts w:ascii="楷体" w:eastAsia="楷体" w:hAnsi="楷体"/>
                <w:b/>
                <w:bCs/>
                <w:noProof/>
              </w:rPr>
              <w:t>畜禽养殖：生猪期价弱势震荡</w:t>
            </w:r>
          </w:hyperlink>
        </w:p>
        <w:p w:rsidR="008111C8" w:rsidRDefault="008111C8">
          <w:pPr>
            <w:pStyle w:val="23"/>
            <w:tabs>
              <w:tab w:val="right" w:leader="dot" w:pos="8296"/>
            </w:tabs>
            <w:rPr>
              <w:rFonts w:eastAsiaTheme="minorEastAsia"/>
              <w:noProof/>
              <w:szCs w:val="22"/>
            </w:rPr>
          </w:pPr>
          <w:hyperlink w:anchor="_Toc139013478" w:history="1">
            <w:r w:rsidRPr="00C036E5">
              <w:rPr>
                <w:rStyle w:val="a9"/>
                <w:rFonts w:ascii="楷体" w:eastAsia="楷体" w:hAnsi="楷体"/>
                <w:b/>
                <w:noProof/>
              </w:rPr>
              <w:t>郑棉：预计09合约16000-16500区间震荡，卖出看跌期权或卖权持有</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3901345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39013451"/>
      <w:bookmarkEnd w:id="4"/>
      <w:r>
        <w:rPr>
          <w:rFonts w:ascii="Times New Roman" w:eastAsia="楷体" w:hAnsi="Times New Roman" w:hint="eastAsia"/>
          <w:b/>
          <w:color w:val="000000" w:themeColor="text1"/>
          <w:sz w:val="24"/>
          <w:szCs w:val="24"/>
        </w:rPr>
        <w:t>股指：</w:t>
      </w:r>
      <w:bookmarkEnd w:id="6"/>
      <w:bookmarkEnd w:id="7"/>
      <w:r w:rsidR="00D32D2F" w:rsidRPr="00D32D2F">
        <w:rPr>
          <w:rFonts w:ascii="Times New Roman" w:eastAsia="楷体" w:hAnsi="Times New Roman" w:hint="eastAsia"/>
          <w:b/>
          <w:color w:val="000000" w:themeColor="text1"/>
          <w:sz w:val="24"/>
          <w:szCs w:val="24"/>
        </w:rPr>
        <w:t>关注</w:t>
      </w:r>
      <w:r w:rsidR="00D32D2F" w:rsidRPr="00D32D2F">
        <w:rPr>
          <w:rFonts w:ascii="Times New Roman" w:eastAsia="楷体" w:hAnsi="Times New Roman" w:hint="eastAsia"/>
          <w:b/>
          <w:color w:val="000000" w:themeColor="text1"/>
          <w:sz w:val="24"/>
          <w:szCs w:val="24"/>
        </w:rPr>
        <w:t>IM</w:t>
      </w:r>
      <w:r w:rsidR="00D32D2F" w:rsidRPr="00D32D2F">
        <w:rPr>
          <w:rFonts w:ascii="Times New Roman" w:eastAsia="楷体" w:hAnsi="Times New Roman" w:hint="eastAsia"/>
          <w:b/>
          <w:color w:val="000000" w:themeColor="text1"/>
          <w:sz w:val="24"/>
          <w:szCs w:val="24"/>
        </w:rPr>
        <w:t>低多机会</w:t>
      </w:r>
      <w:bookmarkEnd w:id="8"/>
    </w:p>
    <w:p w:rsidR="003F56A5" w:rsidRDefault="00D32D2F">
      <w:pPr>
        <w:ind w:leftChars="300" w:left="630"/>
        <w:rPr>
          <w:rFonts w:ascii="Times New Roman" w:eastAsia="楷体" w:hAnsi="Times New Roman"/>
          <w:color w:val="000000" w:themeColor="text1"/>
          <w:sz w:val="24"/>
          <w:szCs w:val="24"/>
        </w:rPr>
      </w:pPr>
      <w:r w:rsidRPr="00D32D2F">
        <w:rPr>
          <w:rFonts w:ascii="Times New Roman" w:eastAsia="楷体" w:hAnsi="Times New Roman" w:hint="eastAsia"/>
          <w:color w:val="000000" w:themeColor="text1"/>
          <w:sz w:val="24"/>
          <w:szCs w:val="24"/>
        </w:rPr>
        <w:t>当前人民币汇率仍承压，市场情绪仍未修复的情况下，赚钱效应难以恢复，存量博弈格局短期还将持续，中期看，持续宏观低波动在</w:t>
      </w:r>
      <w:r w:rsidRPr="00D32D2F">
        <w:rPr>
          <w:rFonts w:ascii="Times New Roman" w:eastAsia="楷体" w:hAnsi="Times New Roman" w:hint="eastAsia"/>
          <w:color w:val="000000" w:themeColor="text1"/>
          <w:sz w:val="24"/>
          <w:szCs w:val="24"/>
        </w:rPr>
        <w:t>6</w:t>
      </w:r>
      <w:r w:rsidRPr="00D32D2F">
        <w:rPr>
          <w:rFonts w:ascii="Times New Roman" w:eastAsia="楷体" w:hAnsi="Times New Roman" w:hint="eastAsia"/>
          <w:color w:val="000000" w:themeColor="text1"/>
          <w:sz w:val="24"/>
          <w:szCs w:val="24"/>
        </w:rPr>
        <w:t>月降息后已被打破，近期政策预期继续发酵，指数估值皆处低位，短线关注沪指</w:t>
      </w:r>
      <w:r w:rsidRPr="00D32D2F">
        <w:rPr>
          <w:rFonts w:ascii="Times New Roman" w:eastAsia="楷体" w:hAnsi="Times New Roman" w:hint="eastAsia"/>
          <w:color w:val="000000" w:themeColor="text1"/>
          <w:sz w:val="24"/>
          <w:szCs w:val="24"/>
        </w:rPr>
        <w:t>3130</w:t>
      </w:r>
      <w:r w:rsidRPr="00D32D2F">
        <w:rPr>
          <w:rFonts w:ascii="Times New Roman" w:eastAsia="楷体" w:hAnsi="Times New Roman" w:hint="eastAsia"/>
          <w:color w:val="000000" w:themeColor="text1"/>
          <w:sz w:val="24"/>
          <w:szCs w:val="24"/>
        </w:rPr>
        <w:t>缺口是否回补及低位布局机会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3901345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39013453"/>
      <w:r>
        <w:rPr>
          <w:rFonts w:ascii="Times New Roman" w:eastAsia="楷体" w:hAnsi="Times New Roman" w:hint="eastAsia"/>
          <w:b/>
          <w:color w:val="000000" w:themeColor="text1"/>
          <w:sz w:val="24"/>
          <w:szCs w:val="24"/>
        </w:rPr>
        <w:t>贵金属：</w:t>
      </w:r>
      <w:r w:rsidR="00D32D2F" w:rsidRPr="00D32D2F">
        <w:rPr>
          <w:rFonts w:ascii="Times New Roman" w:eastAsia="楷体" w:hAnsi="Times New Roman" w:hint="eastAsia"/>
          <w:b/>
          <w:color w:val="000000" w:themeColor="text1"/>
          <w:sz w:val="24"/>
          <w:szCs w:val="24"/>
        </w:rPr>
        <w:t>美联储主席鹰派发声，贵金属价格小幅下跌</w:t>
      </w:r>
      <w:bookmarkEnd w:id="10"/>
    </w:p>
    <w:p w:rsidR="003F56A5" w:rsidRDefault="00D32D2F">
      <w:pPr>
        <w:ind w:leftChars="300" w:left="630"/>
        <w:rPr>
          <w:rFonts w:ascii="Times New Roman" w:eastAsia="楷体" w:hAnsi="Times New Roman"/>
          <w:sz w:val="24"/>
          <w:szCs w:val="24"/>
        </w:rPr>
      </w:pPr>
      <w:r w:rsidRPr="00D32D2F">
        <w:rPr>
          <w:rFonts w:ascii="Times New Roman" w:eastAsia="楷体" w:hAnsi="Times New Roman" w:hint="eastAsia"/>
          <w:color w:val="000000" w:themeColor="text1"/>
          <w:sz w:val="24"/>
          <w:szCs w:val="24"/>
        </w:rPr>
        <w:t>美联储主席鲍威尔讲话称，预计货币政策将进一步收紧，暗示未来连续进行两次加息的可能性，预计</w:t>
      </w:r>
      <w:r w:rsidRPr="00D32D2F">
        <w:rPr>
          <w:rFonts w:ascii="Times New Roman" w:eastAsia="楷体" w:hAnsi="Times New Roman" w:hint="eastAsia"/>
          <w:color w:val="000000" w:themeColor="text1"/>
          <w:sz w:val="24"/>
          <w:szCs w:val="24"/>
        </w:rPr>
        <w:t>2025</w:t>
      </w:r>
      <w:r w:rsidRPr="00D32D2F">
        <w:rPr>
          <w:rFonts w:ascii="Times New Roman" w:eastAsia="楷体" w:hAnsi="Times New Roman" w:hint="eastAsia"/>
          <w:color w:val="000000" w:themeColor="text1"/>
          <w:sz w:val="24"/>
          <w:szCs w:val="24"/>
        </w:rPr>
        <w:t>年美国核心通胀降至</w:t>
      </w:r>
      <w:r w:rsidRPr="00D32D2F">
        <w:rPr>
          <w:rFonts w:ascii="Times New Roman" w:eastAsia="楷体" w:hAnsi="Times New Roman" w:hint="eastAsia"/>
          <w:color w:val="000000" w:themeColor="text1"/>
          <w:sz w:val="24"/>
          <w:szCs w:val="24"/>
        </w:rPr>
        <w:t>2%</w:t>
      </w:r>
      <w:r w:rsidRPr="00D32D2F">
        <w:rPr>
          <w:rFonts w:ascii="Times New Roman" w:eastAsia="楷体" w:hAnsi="Times New Roman" w:hint="eastAsia"/>
          <w:color w:val="000000" w:themeColor="text1"/>
          <w:sz w:val="24"/>
          <w:szCs w:val="24"/>
        </w:rPr>
        <w:t>。受此影响，昨夜</w:t>
      </w:r>
      <w:r w:rsidRPr="00D32D2F">
        <w:rPr>
          <w:rFonts w:ascii="Times New Roman" w:eastAsia="楷体" w:hAnsi="Times New Roman" w:hint="eastAsia"/>
          <w:color w:val="000000" w:themeColor="text1"/>
          <w:sz w:val="24"/>
          <w:szCs w:val="24"/>
        </w:rPr>
        <w:t>COMEX</w:t>
      </w:r>
      <w:r w:rsidRPr="00D32D2F">
        <w:rPr>
          <w:rFonts w:ascii="Times New Roman" w:eastAsia="楷体" w:hAnsi="Times New Roman" w:hint="eastAsia"/>
          <w:color w:val="000000" w:themeColor="text1"/>
          <w:sz w:val="24"/>
          <w:szCs w:val="24"/>
        </w:rPr>
        <w:t>金价小幅下跌至</w:t>
      </w:r>
      <w:r w:rsidRPr="00D32D2F">
        <w:rPr>
          <w:rFonts w:ascii="Times New Roman" w:eastAsia="楷体" w:hAnsi="Times New Roman" w:hint="eastAsia"/>
          <w:color w:val="000000" w:themeColor="text1"/>
          <w:sz w:val="24"/>
          <w:szCs w:val="24"/>
        </w:rPr>
        <w:t>1916</w:t>
      </w:r>
      <w:r w:rsidRPr="00D32D2F">
        <w:rPr>
          <w:rFonts w:ascii="Times New Roman" w:eastAsia="楷体" w:hAnsi="Times New Roman" w:hint="eastAsia"/>
          <w:color w:val="000000" w:themeColor="text1"/>
          <w:sz w:val="24"/>
          <w:szCs w:val="24"/>
        </w:rPr>
        <w:t>美元</w:t>
      </w:r>
      <w:r w:rsidRPr="00D32D2F">
        <w:rPr>
          <w:rFonts w:ascii="Times New Roman" w:eastAsia="楷体" w:hAnsi="Times New Roman" w:hint="eastAsia"/>
          <w:color w:val="000000" w:themeColor="text1"/>
          <w:sz w:val="24"/>
          <w:szCs w:val="24"/>
        </w:rPr>
        <w:t>/</w:t>
      </w:r>
      <w:r w:rsidRPr="00D32D2F">
        <w:rPr>
          <w:rFonts w:ascii="Times New Roman" w:eastAsia="楷体" w:hAnsi="Times New Roman" w:hint="eastAsia"/>
          <w:color w:val="000000" w:themeColor="text1"/>
          <w:sz w:val="24"/>
          <w:szCs w:val="24"/>
        </w:rPr>
        <w:t>盎司，沪金、沪银低位窄幅震荡。欧洲央行副行长金多斯称，确定</w:t>
      </w:r>
      <w:r w:rsidRPr="00D32D2F">
        <w:rPr>
          <w:rFonts w:ascii="Times New Roman" w:eastAsia="楷体" w:hAnsi="Times New Roman" w:hint="eastAsia"/>
          <w:color w:val="000000" w:themeColor="text1"/>
          <w:sz w:val="24"/>
          <w:szCs w:val="24"/>
        </w:rPr>
        <w:t>7</w:t>
      </w:r>
      <w:r w:rsidRPr="00D32D2F">
        <w:rPr>
          <w:rFonts w:ascii="Times New Roman" w:eastAsia="楷体" w:hAnsi="Times New Roman" w:hint="eastAsia"/>
          <w:color w:val="000000" w:themeColor="text1"/>
          <w:sz w:val="24"/>
          <w:szCs w:val="24"/>
        </w:rPr>
        <w:t>月将进行加息，</w:t>
      </w:r>
      <w:r w:rsidRPr="00D32D2F">
        <w:rPr>
          <w:rFonts w:ascii="Times New Roman" w:eastAsia="楷体" w:hAnsi="Times New Roman" w:hint="eastAsia"/>
          <w:color w:val="000000" w:themeColor="text1"/>
          <w:sz w:val="24"/>
          <w:szCs w:val="24"/>
        </w:rPr>
        <w:t>9</w:t>
      </w:r>
      <w:r w:rsidRPr="00D32D2F">
        <w:rPr>
          <w:rFonts w:ascii="Times New Roman" w:eastAsia="楷体" w:hAnsi="Times New Roman" w:hint="eastAsia"/>
          <w:color w:val="000000" w:themeColor="text1"/>
          <w:sz w:val="24"/>
          <w:szCs w:val="24"/>
        </w:rPr>
        <w:t>月是否加息将取决于数据。欧洲央行管委穆勒称，通胀风险偏向上行，当前仍无法对利率终值水平下定论。欧美央行维持鹰派，消息面因素影响下贵金属价格短线略为承压。另一方面，欧美经济增长前景疲弱，下半年海外市场或逐步围绕经济衰退逻辑交易，避险情绪后续或对贵金属价格形成支撑</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3901345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3F56A5" w:rsidRDefault="00CC3FFA">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39013455"/>
      <w:r>
        <w:rPr>
          <w:rFonts w:ascii="楷体" w:eastAsia="楷体" w:hAnsi="楷体" w:hint="eastAsia"/>
          <w:b/>
          <w:color w:val="000000" w:themeColor="text1"/>
          <w:sz w:val="24"/>
          <w:szCs w:val="24"/>
        </w:rPr>
        <w:t>螺纹钢：</w:t>
      </w:r>
      <w:bookmarkEnd w:id="16"/>
      <w:bookmarkEnd w:id="17"/>
      <w:r w:rsidR="00A573ED" w:rsidRPr="00A573ED">
        <w:rPr>
          <w:rFonts w:ascii="楷体" w:eastAsia="楷体" w:hAnsi="楷体" w:hint="eastAsia"/>
          <w:b/>
          <w:color w:val="000000" w:themeColor="text1"/>
          <w:sz w:val="24"/>
          <w:szCs w:val="24"/>
        </w:rPr>
        <w:t>市场对政策期待较强，震荡偏强下观望为主</w:t>
      </w:r>
      <w:bookmarkEnd w:id="18"/>
    </w:p>
    <w:p w:rsidR="003F56A5" w:rsidRDefault="00A573ED">
      <w:pPr>
        <w:ind w:leftChars="300" w:left="630"/>
        <w:rPr>
          <w:rFonts w:ascii="楷体" w:eastAsia="楷体" w:hAnsi="楷体"/>
          <w:color w:val="000000" w:themeColor="text1"/>
          <w:sz w:val="24"/>
          <w:szCs w:val="24"/>
        </w:rPr>
      </w:pPr>
      <w:r w:rsidRPr="00A573ED">
        <w:rPr>
          <w:rFonts w:ascii="楷体" w:eastAsia="楷体" w:hAnsi="楷体" w:hint="eastAsia"/>
          <w:color w:val="000000" w:themeColor="text1"/>
          <w:sz w:val="24"/>
          <w:szCs w:val="24"/>
        </w:rPr>
        <w:t>市场价格对高频数据反应不大，但基本面对价格存在一定拖累。铁水产量创新高下，成本支撑不断强化。政策刺激力度成为定价的主要因素，目前进入验证期，价格偏强运行</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4790"/>
      <w:bookmarkStart w:id="20" w:name="_Toc11356"/>
      <w:bookmarkStart w:id="21" w:name="_Toc139013456"/>
      <w:r>
        <w:rPr>
          <w:rFonts w:ascii="楷体" w:eastAsia="楷体" w:hAnsi="楷体" w:hint="eastAsia"/>
          <w:b/>
          <w:color w:val="000000" w:themeColor="text1"/>
          <w:sz w:val="24"/>
          <w:szCs w:val="24"/>
        </w:rPr>
        <w:t>焦炭：</w:t>
      </w:r>
      <w:bookmarkEnd w:id="19"/>
      <w:bookmarkEnd w:id="20"/>
      <w:r w:rsidR="00A573ED" w:rsidRPr="00A573ED">
        <w:rPr>
          <w:rFonts w:ascii="楷体" w:eastAsia="楷体" w:hAnsi="楷体" w:hint="eastAsia"/>
          <w:b/>
          <w:color w:val="000000" w:themeColor="text1"/>
          <w:sz w:val="24"/>
          <w:szCs w:val="24"/>
        </w:rPr>
        <w:t>铁水新高下偏强运行</w:t>
      </w:r>
      <w:bookmarkEnd w:id="21"/>
    </w:p>
    <w:p w:rsidR="003F56A5" w:rsidRDefault="00A573ED" w:rsidP="00572E35">
      <w:pPr>
        <w:ind w:leftChars="300" w:left="630"/>
        <w:rPr>
          <w:rFonts w:ascii="楷体" w:eastAsia="楷体" w:hAnsi="楷体"/>
          <w:color w:val="000000" w:themeColor="text1"/>
          <w:sz w:val="24"/>
          <w:szCs w:val="24"/>
        </w:rPr>
      </w:pPr>
      <w:r w:rsidRPr="00A573ED">
        <w:rPr>
          <w:rFonts w:ascii="楷体" w:eastAsia="楷体" w:hAnsi="楷体" w:hint="eastAsia"/>
          <w:color w:val="000000" w:themeColor="text1"/>
          <w:sz w:val="24"/>
          <w:szCs w:val="24"/>
        </w:rPr>
        <w:t>铁水创新高，现货价格支撑较强，短期盘面升水较高，建议关注上方（2150，2180）区间压力情况</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2" w:name="_Toc139013457"/>
      <w:r>
        <w:rPr>
          <w:rFonts w:ascii="楷体" w:eastAsia="楷体" w:hAnsi="楷体" w:hint="eastAsia"/>
          <w:b/>
          <w:color w:val="000000" w:themeColor="text1"/>
          <w:sz w:val="24"/>
          <w:szCs w:val="24"/>
        </w:rPr>
        <w:t>焦煤：</w:t>
      </w:r>
      <w:r w:rsidR="00A573ED" w:rsidRPr="00A573ED">
        <w:rPr>
          <w:rFonts w:ascii="楷体" w:eastAsia="楷体" w:hAnsi="楷体" w:hint="eastAsia"/>
          <w:b/>
          <w:sz w:val="24"/>
          <w:szCs w:val="24"/>
        </w:rPr>
        <w:t>铁水新高及安全事故下，煤价偏强运行</w:t>
      </w:r>
      <w:bookmarkEnd w:id="22"/>
    </w:p>
    <w:p w:rsidR="003F56A5" w:rsidRDefault="00A573ED">
      <w:pPr>
        <w:ind w:leftChars="300" w:left="630"/>
        <w:rPr>
          <w:rFonts w:ascii="楷体" w:eastAsia="楷体" w:hAnsi="楷体"/>
          <w:bCs/>
          <w:sz w:val="24"/>
          <w:szCs w:val="24"/>
        </w:rPr>
      </w:pPr>
      <w:r w:rsidRPr="00A573ED">
        <w:rPr>
          <w:rFonts w:ascii="楷体" w:eastAsia="楷体" w:hAnsi="楷体" w:hint="eastAsia"/>
          <w:sz w:val="24"/>
          <w:szCs w:val="24"/>
        </w:rPr>
        <w:t>现货价格回调后平稳运行，下游需求铁水创下新高后或短期较难下行，近期安全事故刺激市场情况偏强，关注上方（1370,1400）区间压力</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3" w:name="_Toc9719"/>
      <w:bookmarkStart w:id="24" w:name="_Toc25617"/>
      <w:bookmarkStart w:id="25" w:name="_Toc139013458"/>
      <w:r>
        <w:rPr>
          <w:rFonts w:ascii="楷体" w:eastAsia="楷体" w:hAnsi="楷体" w:hint="eastAsia"/>
          <w:b/>
          <w:color w:val="000000" w:themeColor="text1"/>
          <w:sz w:val="24"/>
          <w:szCs w:val="24"/>
        </w:rPr>
        <w:t>铜：</w:t>
      </w:r>
      <w:bookmarkEnd w:id="23"/>
      <w:bookmarkEnd w:id="24"/>
      <w:r w:rsidR="001F79C6" w:rsidRPr="001F79C6">
        <w:rPr>
          <w:rFonts w:ascii="楷体" w:eastAsia="楷体" w:hAnsi="楷体" w:hint="eastAsia"/>
          <w:b/>
          <w:color w:val="000000" w:themeColor="text1"/>
          <w:sz w:val="24"/>
          <w:szCs w:val="24"/>
        </w:rPr>
        <w:t>美元指数反弹压制铜价</w:t>
      </w:r>
      <w:bookmarkEnd w:id="25"/>
    </w:p>
    <w:p w:rsidR="001F79C6" w:rsidRPr="001F79C6" w:rsidRDefault="001F79C6" w:rsidP="001F79C6">
      <w:pPr>
        <w:ind w:leftChars="300" w:left="630"/>
        <w:rPr>
          <w:rFonts w:ascii="楷体" w:eastAsia="楷体" w:hAnsi="楷体" w:hint="eastAsia"/>
          <w:color w:val="000000" w:themeColor="text1"/>
          <w:sz w:val="24"/>
          <w:szCs w:val="24"/>
        </w:rPr>
      </w:pPr>
      <w:r w:rsidRPr="001F79C6">
        <w:rPr>
          <w:rFonts w:ascii="楷体" w:eastAsia="楷体" w:hAnsi="楷体" w:hint="eastAsia"/>
          <w:color w:val="000000" w:themeColor="text1"/>
          <w:sz w:val="24"/>
          <w:szCs w:val="24"/>
        </w:rPr>
        <w:t>(1)库存：6月29日，SHFE仓单库存20005吨，减200吨；LME仓单库存75425吨，增150吨。</w:t>
      </w:r>
    </w:p>
    <w:p w:rsidR="001F79C6" w:rsidRPr="001F79C6" w:rsidRDefault="001F79C6" w:rsidP="001F79C6">
      <w:pPr>
        <w:ind w:leftChars="300" w:left="630"/>
        <w:rPr>
          <w:rFonts w:ascii="楷体" w:eastAsia="楷体" w:hAnsi="楷体" w:hint="eastAsia"/>
          <w:color w:val="000000" w:themeColor="text1"/>
          <w:sz w:val="24"/>
          <w:szCs w:val="24"/>
        </w:rPr>
      </w:pPr>
      <w:r w:rsidRPr="001F79C6">
        <w:rPr>
          <w:rFonts w:ascii="楷体" w:eastAsia="楷体" w:hAnsi="楷体" w:hint="eastAsia"/>
          <w:color w:val="000000" w:themeColor="text1"/>
          <w:sz w:val="24"/>
          <w:szCs w:val="24"/>
        </w:rPr>
        <w:t>(2)精废价差：6月29日，Mysteel精废价差1828，收窄138。目前价差在合理价差1378之上。</w:t>
      </w:r>
    </w:p>
    <w:p w:rsidR="001F79C6" w:rsidRPr="001F79C6" w:rsidRDefault="001F79C6" w:rsidP="001F79C6">
      <w:pPr>
        <w:ind w:leftChars="300" w:left="630"/>
        <w:rPr>
          <w:rFonts w:ascii="楷体" w:eastAsia="楷体" w:hAnsi="楷体"/>
          <w:color w:val="000000" w:themeColor="text1"/>
          <w:sz w:val="24"/>
          <w:szCs w:val="24"/>
        </w:rPr>
      </w:pPr>
    </w:p>
    <w:p w:rsidR="00127803" w:rsidRPr="00127803" w:rsidRDefault="001F79C6" w:rsidP="001F79C6">
      <w:pPr>
        <w:ind w:leftChars="300" w:left="630"/>
        <w:rPr>
          <w:rFonts w:ascii="楷体" w:eastAsia="楷体" w:hAnsi="楷体"/>
          <w:color w:val="000000" w:themeColor="text1"/>
          <w:sz w:val="24"/>
          <w:szCs w:val="24"/>
        </w:rPr>
      </w:pPr>
      <w:r w:rsidRPr="001F79C6">
        <w:rPr>
          <w:rFonts w:ascii="楷体" w:eastAsia="楷体" w:hAnsi="楷体" w:hint="eastAsia"/>
          <w:color w:val="000000" w:themeColor="text1"/>
          <w:sz w:val="24"/>
          <w:szCs w:val="24"/>
        </w:rPr>
        <w:lastRenderedPageBreak/>
        <w:t>综述：周内美联储主席鲍威尔表示，美联储预计货币政策将进一步收紧，并且相信还会有更多的加息措施。另欧洲央行也表示加息进程尚未结束。美元指数延续反弹压制铜价。与此同时，中国经济刺激措施提振需求的乐观情绪有所降温。基本面，内外库存低位，国内现货升水节后下调但仍居偏高位，对铜消费带来负反馈效应，铜价维持震荡偏弱运行</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2C73FE" w:rsidRDefault="00CC3FFA" w:rsidP="002C73FE">
      <w:pPr>
        <w:ind w:leftChars="200" w:left="420"/>
        <w:outlineLvl w:val="1"/>
        <w:rPr>
          <w:rFonts w:ascii="楷体" w:eastAsia="楷体" w:hAnsi="楷体"/>
          <w:b/>
          <w:color w:val="000000" w:themeColor="text1"/>
          <w:sz w:val="24"/>
          <w:szCs w:val="24"/>
        </w:rPr>
      </w:pPr>
      <w:bookmarkStart w:id="26" w:name="_Toc8897"/>
      <w:bookmarkStart w:id="27" w:name="_Toc6247"/>
      <w:bookmarkStart w:id="28" w:name="_Toc139013459"/>
      <w:r>
        <w:rPr>
          <w:rFonts w:ascii="楷体" w:eastAsia="楷体" w:hAnsi="楷体" w:hint="eastAsia"/>
          <w:b/>
          <w:color w:val="000000" w:themeColor="text1"/>
          <w:sz w:val="24"/>
          <w:szCs w:val="24"/>
        </w:rPr>
        <w:t>铝：</w:t>
      </w:r>
      <w:bookmarkEnd w:id="26"/>
      <w:bookmarkEnd w:id="27"/>
      <w:r w:rsidR="001F79C6" w:rsidRPr="001F79C6">
        <w:rPr>
          <w:rFonts w:ascii="楷体" w:eastAsia="楷体" w:hAnsi="楷体" w:hint="eastAsia"/>
          <w:b/>
          <w:color w:val="000000" w:themeColor="text1"/>
          <w:sz w:val="24"/>
          <w:szCs w:val="24"/>
        </w:rPr>
        <w:t>供应小修需求疲弱，维持区间震荡运行</w:t>
      </w:r>
      <w:bookmarkEnd w:id="28"/>
    </w:p>
    <w:p w:rsidR="003F56A5" w:rsidRDefault="001F79C6" w:rsidP="00127803">
      <w:pPr>
        <w:ind w:leftChars="300" w:left="630"/>
        <w:rPr>
          <w:rFonts w:ascii="楷体" w:eastAsia="楷体" w:hAnsi="楷体"/>
          <w:color w:val="000000" w:themeColor="text1"/>
          <w:sz w:val="24"/>
          <w:szCs w:val="24"/>
        </w:rPr>
      </w:pPr>
      <w:r w:rsidRPr="001F79C6">
        <w:rPr>
          <w:rFonts w:ascii="楷体" w:eastAsia="楷体" w:hAnsi="楷体" w:hint="eastAsia"/>
          <w:color w:val="000000" w:themeColor="text1"/>
          <w:sz w:val="24"/>
          <w:szCs w:val="24"/>
        </w:rPr>
        <w:t>原铅生产开工率持续上行，伴随冶炼厂利润挤出，7月又闻炼厂有减产计划，下游维持淡季消费，铅蓄电池企业开工率下行，国内需求表现一般，近期沪伦比值下修，出口窗口打开，社会库存意外淡季去库，供应恢复交易所库存预期走增，废电池价格高企形成成本支撑，短期铅价上下有限，目前在15000-15500震荡区间高位，建议谨慎看空</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9" w:name="_Toc139013460"/>
      <w:r>
        <w:rPr>
          <w:rFonts w:ascii="楷体" w:eastAsia="楷体" w:hAnsi="楷体" w:hint="eastAsia"/>
          <w:b/>
          <w:color w:val="000000" w:themeColor="text1"/>
          <w:sz w:val="24"/>
          <w:szCs w:val="24"/>
        </w:rPr>
        <w:t>锌：</w:t>
      </w:r>
      <w:r w:rsidR="001F79C6" w:rsidRPr="001F79C6">
        <w:rPr>
          <w:rFonts w:ascii="楷体" w:eastAsia="楷体" w:hAnsi="楷体" w:hint="eastAsia"/>
          <w:b/>
          <w:color w:val="000000" w:themeColor="text1"/>
          <w:sz w:val="24"/>
          <w:szCs w:val="24"/>
        </w:rPr>
        <w:t>锌市供需关系或转入平衡，短期价格仍有压力</w:t>
      </w:r>
      <w:bookmarkEnd w:id="29"/>
    </w:p>
    <w:p w:rsidR="003F56A5" w:rsidRDefault="001F79C6" w:rsidP="000B0648">
      <w:pPr>
        <w:ind w:leftChars="300" w:left="630"/>
        <w:rPr>
          <w:rFonts w:ascii="楷体" w:eastAsia="楷体" w:hAnsi="楷体"/>
          <w:color w:val="000000" w:themeColor="text1"/>
          <w:sz w:val="24"/>
          <w:szCs w:val="24"/>
        </w:rPr>
      </w:pPr>
      <w:r w:rsidRPr="001F79C6">
        <w:rPr>
          <w:rFonts w:ascii="楷体" w:eastAsia="楷体" w:hAnsi="楷体" w:hint="eastAsia"/>
          <w:color w:val="000000" w:themeColor="text1"/>
          <w:sz w:val="24"/>
          <w:szCs w:val="24"/>
        </w:rPr>
        <w:t>联储6月暂停加息但对未来加息态度偏鹰，担忧美国TGA发债抽调市场流动性，国内市场持续交易政策利多预期，宏观情绪多变风险仍存。瑞典矿业公司Boliden表示将暂停欧洲最大的爱尔兰锌矿Tara的生产，海外供应预期走弱，锌锭进口窗口打开对国内锌锭价格形成冲击，随着锌价小幅企稳回升，冶炼利润逐步走升，精炼锌生产依旧维持，三季度精炼锌厂家进入集中检修期，后续国内供应或有收缩。下游需求实则为消费淡季，周度镀锌开工率有所回升，镀锌管订单好转，压铸锌合金及氧化锌开工维持弱势，海内外库存持续累库，锌价上下驱动有限，预期仍震荡在18500-21000，短期仍有下行压力，可尝试布短空</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0" w:name="_Toc139013461"/>
      <w:r>
        <w:rPr>
          <w:rFonts w:ascii="楷体" w:eastAsia="楷体" w:hAnsi="楷体" w:hint="eastAsia"/>
          <w:b/>
          <w:color w:val="000000" w:themeColor="text1"/>
          <w:sz w:val="24"/>
          <w:szCs w:val="24"/>
        </w:rPr>
        <w:t>镍：</w:t>
      </w:r>
      <w:r w:rsidR="001F79C6" w:rsidRPr="001F79C6">
        <w:rPr>
          <w:rFonts w:ascii="楷体" w:eastAsia="楷体" w:hAnsi="楷体" w:hint="eastAsia"/>
          <w:b/>
          <w:color w:val="000000" w:themeColor="text1"/>
          <w:sz w:val="24"/>
          <w:szCs w:val="24"/>
        </w:rPr>
        <w:t>基本面过剩预期仍压制镍价</w:t>
      </w:r>
      <w:bookmarkEnd w:id="30"/>
    </w:p>
    <w:p w:rsidR="003F56A5" w:rsidRDefault="001F79C6">
      <w:pPr>
        <w:ind w:leftChars="300" w:left="630"/>
        <w:rPr>
          <w:rFonts w:ascii="楷体" w:eastAsia="楷体" w:hAnsi="楷体"/>
          <w:color w:val="000000" w:themeColor="text1"/>
          <w:sz w:val="24"/>
          <w:szCs w:val="24"/>
        </w:rPr>
      </w:pPr>
      <w:r w:rsidRPr="001F79C6">
        <w:rPr>
          <w:rFonts w:ascii="楷体" w:eastAsia="楷体" w:hAnsi="楷体" w:hint="eastAsia"/>
          <w:color w:val="000000" w:themeColor="text1"/>
          <w:sz w:val="24"/>
          <w:szCs w:val="24"/>
        </w:rPr>
        <w:t>近期受华友电积镍获得交割资格消息影响，镍价连续下跌试探前期低位15万附近支撑，6月内外纯镍库存均有增加，月末再次转降，持续性有待观察。新能源汽车需求改善，近期镍产业链硫酸镍价格低位反弹，对镍价短期存一定支撑。但中长期基本面过剩预期对镍价压制依旧较强，维持逢高空思路不变。短线交易者前期空单可先止盈</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1" w:name="_Toc139013462"/>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D32D2F" w:rsidRPr="00D32D2F">
        <w:rPr>
          <w:rFonts w:ascii="楷体" w:eastAsia="楷体" w:hAnsi="楷体" w:hint="eastAsia"/>
          <w:b/>
          <w:color w:val="000000" w:themeColor="text1"/>
          <w:sz w:val="24"/>
          <w:szCs w:val="24"/>
        </w:rPr>
        <w:t>宏观叠加基本面影响铝价走势偏空</w:t>
      </w:r>
      <w:bookmarkEnd w:id="31"/>
    </w:p>
    <w:p w:rsidR="008B13D2" w:rsidRPr="008B13D2" w:rsidRDefault="00D32D2F" w:rsidP="008B13D2">
      <w:pPr>
        <w:ind w:leftChars="300" w:left="630"/>
        <w:rPr>
          <w:rFonts w:ascii="楷体" w:eastAsia="楷体" w:hAnsi="楷体"/>
          <w:color w:val="000000" w:themeColor="text1"/>
          <w:sz w:val="24"/>
          <w:szCs w:val="24"/>
        </w:rPr>
      </w:pPr>
      <w:r w:rsidRPr="00D32D2F">
        <w:rPr>
          <w:rFonts w:ascii="楷体" w:eastAsia="楷体" w:hAnsi="楷体" w:hint="eastAsia"/>
          <w:color w:val="000000" w:themeColor="text1"/>
          <w:sz w:val="24"/>
          <w:szCs w:val="24"/>
        </w:rPr>
        <w:t>宏观情绪再度承压，联储表示仍将有两次加息，美元指数上行，国内市场仍在交易后续的利好政策预期，市场信心提振，超预期政策可期待性不强，待政策落地后效果证伪。国内电解铝5月产量季度偏高位，电解铝生产成本塌陷，冶炼利润修复刺激企业生产，铝水比例下降，部分厂家铝水长单违约，铝棒加工亏损，铝棒库存拐入累库，铝棒产能后续可能缩减或调整为铸锭产能，云南地区大幅降水补充水电，当地部分产能进入复产，后续铝锭供应预期走增。6月后进入消费淡季，需求驱动较弱，交易所库存维持低位去库，社库库存累库，整体来看，宏观情绪仍有压力，基本面供增需减，短期来看铝价上方空间有限或再度向下探底，下方17500附近为下方支撑位</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2" w:name="_Toc139013463"/>
      <w:r>
        <w:rPr>
          <w:rFonts w:ascii="楷体" w:eastAsia="楷体" w:hAnsi="楷体" w:hint="eastAsia"/>
          <w:b/>
          <w:color w:val="000000" w:themeColor="text1"/>
          <w:sz w:val="24"/>
          <w:szCs w:val="24"/>
        </w:rPr>
        <w:t>不锈钢：</w:t>
      </w:r>
      <w:r w:rsidR="00D32D2F" w:rsidRPr="00D32D2F">
        <w:rPr>
          <w:rFonts w:ascii="楷体" w:eastAsia="楷体" w:hAnsi="楷体" w:hint="eastAsia"/>
          <w:b/>
          <w:color w:val="000000" w:themeColor="text1"/>
          <w:sz w:val="24"/>
          <w:szCs w:val="24"/>
        </w:rPr>
        <w:t>需求淡季下社库转增，SS承压运行</w:t>
      </w:r>
      <w:bookmarkEnd w:id="32"/>
    </w:p>
    <w:p w:rsidR="003F56A5" w:rsidRDefault="00D32D2F">
      <w:pPr>
        <w:ind w:leftChars="300" w:left="630"/>
        <w:rPr>
          <w:rFonts w:ascii="楷体" w:eastAsia="楷体" w:hAnsi="楷体"/>
          <w:color w:val="000000" w:themeColor="text1"/>
          <w:sz w:val="24"/>
          <w:szCs w:val="24"/>
        </w:rPr>
      </w:pPr>
      <w:r w:rsidRPr="00D32D2F">
        <w:rPr>
          <w:rFonts w:ascii="楷体" w:eastAsia="楷体" w:hAnsi="楷体" w:hint="eastAsia"/>
          <w:color w:val="000000" w:themeColor="text1"/>
          <w:sz w:val="24"/>
          <w:szCs w:val="24"/>
        </w:rPr>
        <w:lastRenderedPageBreak/>
        <w:t>需求淡季下不锈钢社会库存结束下滑态势，转为小幅增长，对价格支撑边际转弱，当前不锈钢厂利润在盈亏平衡附近，价格继续向下的空间取决于钢厂是否减产，镍铁价格保持弱稳运行，短期成本端对价格影响中性。预计不锈钢价格维持区间震荡运行，SS2308参考14200-15200。操作上，暂时观望</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3" w:name="_Toc139013464"/>
      <w:r>
        <w:rPr>
          <w:rFonts w:ascii="楷体" w:eastAsia="楷体" w:hAnsi="楷体" w:hint="eastAsia"/>
          <w:b/>
          <w:color w:val="000000" w:themeColor="text1"/>
          <w:sz w:val="24"/>
          <w:szCs w:val="24"/>
        </w:rPr>
        <w:t>工业硅：</w:t>
      </w:r>
      <w:r w:rsidR="00A573ED" w:rsidRPr="00A573ED">
        <w:rPr>
          <w:rFonts w:ascii="楷体" w:eastAsia="楷体" w:hAnsi="楷体" w:hint="eastAsia"/>
          <w:b/>
          <w:sz w:val="24"/>
          <w:szCs w:val="24"/>
        </w:rPr>
        <w:t>基本面偏宽松未扭转，盘面以反弹对待</w:t>
      </w:r>
      <w:bookmarkEnd w:id="33"/>
    </w:p>
    <w:p w:rsidR="003F56A5" w:rsidRDefault="00A573ED" w:rsidP="007103A5">
      <w:pPr>
        <w:ind w:leftChars="300" w:left="630"/>
        <w:rPr>
          <w:rFonts w:ascii="楷体" w:eastAsia="楷体" w:hAnsi="楷体"/>
          <w:sz w:val="24"/>
          <w:szCs w:val="24"/>
        </w:rPr>
      </w:pPr>
      <w:r w:rsidRPr="00A573ED">
        <w:rPr>
          <w:rFonts w:ascii="楷体" w:eastAsia="楷体" w:hAnsi="楷体" w:hint="eastAsia"/>
          <w:sz w:val="24"/>
          <w:szCs w:val="24"/>
        </w:rPr>
        <w:t>6月29日，Si2308主力合约呈反弹走势，收盘价13375元/吨，较上一收盘价涨跌幅＋1.79%。供应方面，西南丰水期维持复产节奏，符合预期，而新疆停产也在持续进行，供应过剩预期有所缓解。需求方面，多晶硅价格维持下跌，但跌幅有所收窄，当前价格已跌破部分企业生产成本线，部分硅料企业开始停产检修、延迟投产，延后对工业硅需求增量节奏。整体而言，供需偏宽松格局并未实质性扭转，短期盘面以反弹对待，预计反弹空间有限</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4" w:name="化工"/>
      <w:r>
        <w:rPr>
          <w:rFonts w:ascii="Times New Roman" w:eastAsia="楷体" w:hAnsi="Times New Roman" w:hint="eastAsia"/>
          <w:b/>
          <w:color w:val="823C0B"/>
          <w:sz w:val="30"/>
          <w:szCs w:val="30"/>
        </w:rPr>
        <w:t xml:space="preserve"> </w:t>
      </w:r>
      <w:bookmarkStart w:id="35" w:name="_Toc13901346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4"/>
      <w:bookmarkEnd w:id="35"/>
    </w:p>
    <w:p w:rsidR="003F56A5" w:rsidRPr="005B790A" w:rsidRDefault="00CC3FFA" w:rsidP="005B790A">
      <w:pPr>
        <w:ind w:firstLineChars="200" w:firstLine="482"/>
        <w:outlineLvl w:val="1"/>
        <w:rPr>
          <w:rFonts w:ascii="楷体" w:eastAsia="楷体" w:hAnsi="楷体"/>
          <w:b/>
          <w:sz w:val="24"/>
          <w:szCs w:val="24"/>
        </w:rPr>
      </w:pPr>
      <w:bookmarkStart w:id="36" w:name="_Toc139013466"/>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A573ED" w:rsidRPr="00A573ED">
        <w:rPr>
          <w:rFonts w:ascii="楷体" w:eastAsia="楷体" w:hAnsi="楷体" w:hint="eastAsia"/>
          <w:b/>
          <w:sz w:val="24"/>
          <w:szCs w:val="24"/>
        </w:rPr>
        <w:t>基本面无明显利好，RU维持震荡走势为主</w:t>
      </w:r>
      <w:bookmarkEnd w:id="36"/>
    </w:p>
    <w:p w:rsidR="003F56A5" w:rsidRDefault="00A573ED">
      <w:pPr>
        <w:ind w:leftChars="300" w:left="630"/>
        <w:rPr>
          <w:rFonts w:ascii="楷体" w:eastAsia="楷体" w:hAnsi="楷体"/>
          <w:sz w:val="24"/>
          <w:szCs w:val="24"/>
        </w:rPr>
      </w:pPr>
      <w:r w:rsidRPr="00A573ED">
        <w:rPr>
          <w:rFonts w:ascii="楷体" w:eastAsia="楷体" w:hAnsi="楷体" w:hint="eastAsia"/>
          <w:sz w:val="24"/>
          <w:szCs w:val="24"/>
        </w:rPr>
        <w:t>点评：基本面难现明显利好下，昨日橡胶小幅震荡。当前制约RU价格上行的主要矛盾还是偏高的港口库存。高库存对行情形成较大压制。橡胶其余基本面来看，供应端，随着产区物候条件恢复正常，供给端上量将逐步回归正常。下游轮胎方面，半钢胎企业外贸订单充足，企业产能利用率维持高位水平，全钢胎内销出货压力增加，外贸订单亦有缩量迹象，整体库存延续增势。终端汽车方面，5月份乘用车终端销量在175万辆左右，环比继续小幅上升。从分项指数来看，汽车市场需求、平均日销量、经营状况指数环比上升，车市整体温和回暖；重卡方面，5月我国重卡市场大约7.74万辆左右，环比下滑16%，全行业仅仅处于弱复苏阶段，还未完全进入恢复期间。综合来看，近期收储、刺激房地产等题材轮番上演，但都缺乏实质行动。国家“降息”举措利多近期胶市，但还需关注消费端能否显著转好。对于热度最高的轮储传闻，目前市场暂无定论，而从盘面1-9价差缩窄来看，市场相关预期或已弱化。目前期现价差仍处于历史同期较高位置，同时随着09合约交割期的临近，对多头的压力会逐步增大。综合来看，在缺乏核心驱动下，短期橡胶大概率继续维持震荡走势。操作上，建议多NR空RU，期现套利降低仓位持有正套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9013467"/>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D32D2F" w:rsidRPr="00D32D2F">
        <w:rPr>
          <w:rFonts w:ascii="楷体" w:eastAsia="楷体" w:hAnsi="楷体" w:hint="eastAsia"/>
          <w:b/>
          <w:color w:val="000000" w:themeColor="text1"/>
          <w:sz w:val="24"/>
          <w:szCs w:val="24"/>
        </w:rPr>
        <w:t xml:space="preserve">供需矛盾不明显 </w:t>
      </w:r>
      <w:r w:rsidR="00D32D2F" w:rsidRPr="00D32D2F">
        <w:rPr>
          <w:rFonts w:ascii="Calibri" w:eastAsia="楷体" w:hAnsi="Calibri" w:cs="Calibri"/>
          <w:b/>
          <w:color w:val="000000" w:themeColor="text1"/>
          <w:sz w:val="24"/>
          <w:szCs w:val="24"/>
        </w:rPr>
        <w:t> </w:t>
      </w:r>
      <w:r w:rsidR="00D32D2F" w:rsidRPr="00D32D2F">
        <w:rPr>
          <w:rFonts w:ascii="楷体" w:eastAsia="楷体" w:hAnsi="楷体" w:hint="eastAsia"/>
          <w:b/>
          <w:color w:val="000000" w:themeColor="text1"/>
          <w:sz w:val="24"/>
          <w:szCs w:val="24"/>
        </w:rPr>
        <w:t>走势由成本端主导</w:t>
      </w:r>
      <w:bookmarkEnd w:id="37"/>
      <w:r>
        <w:rPr>
          <w:rFonts w:ascii="楷体" w:eastAsia="楷体" w:hAnsi="楷体" w:hint="eastAsia"/>
          <w:b/>
          <w:color w:val="000000" w:themeColor="text1"/>
          <w:sz w:val="24"/>
          <w:szCs w:val="24"/>
        </w:rPr>
        <w:t xml:space="preserve"> </w:t>
      </w:r>
    </w:p>
    <w:p w:rsidR="003F56A5" w:rsidRDefault="00D32D2F" w:rsidP="002C73FE">
      <w:pPr>
        <w:ind w:leftChars="300" w:left="630"/>
        <w:rPr>
          <w:rFonts w:ascii="楷体" w:eastAsia="楷体" w:hAnsi="楷体"/>
          <w:color w:val="000000" w:themeColor="text1"/>
          <w:sz w:val="24"/>
          <w:szCs w:val="24"/>
        </w:rPr>
      </w:pPr>
      <w:r w:rsidRPr="00D32D2F">
        <w:rPr>
          <w:rFonts w:ascii="楷体" w:eastAsia="楷体" w:hAnsi="楷体" w:hint="eastAsia"/>
          <w:color w:val="000000" w:themeColor="text1"/>
          <w:sz w:val="24"/>
          <w:szCs w:val="24"/>
        </w:rPr>
        <w:t>PTA供给方面，本周台化和嘉通1期计划内重启，福海创计划检修，威联化学负荷提升至7~8成，至上周日PTA负荷上涨至81.4%。PTA开工负荷又恢复到8成附近，近期装置检修计划不多叠加新装置要投产，现货流通性相对充足。PX方面增加宁波大榭160万吨装置，前期装置检修带动的供给端扰动减弱，PX供应偏宽松预期。但石脑油难有起色的背景下，短期看PXN还将偏强，短期PTA成本端支撑依然较强。需求方面，近期聚酯开工维持在93%附近，节后江浙终端开工率有所恢复，预计月内聚酯负荷将持</w:t>
      </w:r>
      <w:r w:rsidRPr="00D32D2F">
        <w:rPr>
          <w:rFonts w:ascii="楷体" w:eastAsia="楷体" w:hAnsi="楷体" w:hint="eastAsia"/>
          <w:color w:val="000000" w:themeColor="text1"/>
          <w:sz w:val="24"/>
          <w:szCs w:val="24"/>
        </w:rPr>
        <w:lastRenderedPageBreak/>
        <w:t>续维持高位运行。5月纺服零售同比和环比均增长，终端真实纺服需求中性。展望后市，短期PTA产业链整体矛盾尚未凸显，刚需韧性良好，走势更多跟随成本波动，关注后续计划外的减产情况。仅供参考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39013468"/>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8"/>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39" w:name="_Toc139013469"/>
      <w:r>
        <w:rPr>
          <w:rFonts w:ascii="楷体" w:eastAsia="楷体" w:hAnsi="楷体" w:hint="eastAsia"/>
          <w:b/>
          <w:color w:val="000000" w:themeColor="text1"/>
          <w:sz w:val="24"/>
          <w:szCs w:val="24"/>
        </w:rPr>
        <w:t>聚烯烃：</w:t>
      </w:r>
      <w:r w:rsidR="008111C8" w:rsidRPr="008111C8">
        <w:rPr>
          <w:rFonts w:ascii="楷体" w:eastAsia="楷体" w:hAnsi="楷体" w:hint="eastAsia"/>
          <w:b/>
          <w:color w:val="000000" w:themeColor="text1"/>
          <w:sz w:val="24"/>
          <w:szCs w:val="24"/>
        </w:rPr>
        <w:t>原油成本端上扬，聚烯烃或持稳</w:t>
      </w:r>
      <w:bookmarkEnd w:id="39"/>
    </w:p>
    <w:p w:rsidR="003F56A5" w:rsidRDefault="008111C8">
      <w:pPr>
        <w:ind w:leftChars="300" w:left="630"/>
        <w:rPr>
          <w:rFonts w:ascii="楷体" w:eastAsia="楷体" w:hAnsi="楷体"/>
          <w:bCs/>
          <w:sz w:val="24"/>
          <w:szCs w:val="24"/>
        </w:rPr>
      </w:pPr>
      <w:r w:rsidRPr="008111C8">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市场权衡美国原油库存持续骤降和美联储继续加息对经济和需求衰退的影响，国际油价连续第二天上涨，然而涨幅受限；需求方面，PE下游方面，农膜整体需求平平，工厂生产清淡。棚膜工厂多停机检修；PP下游方面，BOPP市场成交刚需有量，整体量较上一交易日增加，BOPP企业未交付订单多数在一周以内，个别可至七月初。综合来看，PE方面，原油成本端走势上扬，聚乙烯支撑力度增强；供应端，月底部分检修装置开车，供应压力小幅回升；需求端月底市场矛盾不大，供需边际也变化不大，市场亦难涨难跌。预计今日PE价格维持震荡走势。PP方面，聚丙烯下游处于淡季需求，工厂存停车或降负现象，订单量大幅下滑，且短期内难有改善。近期开车装置较多，产能利用率明显提升，库存高位，供应面增量利空。聚丙烯基本面弱势，但月底中上游出货节奏暂缓，挺价意愿明显，预计今日PP价格持稳</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40" w:name="_Toc139013470"/>
      <w:r>
        <w:rPr>
          <w:rFonts w:ascii="楷体" w:eastAsia="楷体" w:hAnsi="楷体" w:hint="eastAsia"/>
          <w:b/>
          <w:color w:val="000000" w:themeColor="text1"/>
          <w:sz w:val="24"/>
          <w:szCs w:val="24"/>
        </w:rPr>
        <w:t>MEG：</w:t>
      </w:r>
      <w:r w:rsidR="00D32D2F" w:rsidRPr="00D32D2F">
        <w:rPr>
          <w:rFonts w:ascii="楷体" w:eastAsia="楷体" w:hAnsi="楷体" w:hint="eastAsia"/>
          <w:b/>
          <w:color w:val="000000" w:themeColor="text1"/>
          <w:sz w:val="24"/>
          <w:szCs w:val="24"/>
        </w:rPr>
        <w:t>供应端压力增量明显 09上行驱动不足</w:t>
      </w:r>
      <w:bookmarkEnd w:id="40"/>
    </w:p>
    <w:p w:rsidR="003F56A5" w:rsidRDefault="00D32D2F" w:rsidP="00115EEA">
      <w:pPr>
        <w:ind w:leftChars="300" w:left="630"/>
        <w:rPr>
          <w:rFonts w:ascii="楷体" w:eastAsia="楷体" w:hAnsi="楷体"/>
          <w:color w:val="000000" w:themeColor="text1"/>
          <w:sz w:val="24"/>
          <w:szCs w:val="24"/>
        </w:rPr>
      </w:pPr>
      <w:r w:rsidRPr="00D32D2F">
        <w:rPr>
          <w:rFonts w:ascii="楷体" w:eastAsia="楷体" w:hAnsi="楷体" w:hint="eastAsia"/>
          <w:color w:val="000000" w:themeColor="text1"/>
          <w:sz w:val="24"/>
          <w:szCs w:val="24"/>
        </w:rPr>
        <w:t>供需情况，6.27 华东主港地区MEG港口库存约97.6万吨附近，环比上期增加0.4万吨。截至6月25日，中国大陆地区乙二醇整体开工负荷在57.87%（+0.84%），其中煤制乙二醇开工负荷在65.72%（+4.93%）。 近期乙二醇开工率回升至57%偏上，后续仍有浙江石化（75+80)、海南炼化7月提前回归，煤化工新疆天业、广西华谊等装置计划重启，新装置三江石化新装置投产较为顺利。聚酯需求端来看，截至上周日，初步核算国内大陆地区聚酯负荷在92.6%附近。节后江浙终端开工率有所恢复，江浙加弹综合开</w:t>
      </w:r>
      <w:r w:rsidRPr="00D32D2F">
        <w:rPr>
          <w:rFonts w:ascii="楷体" w:eastAsia="楷体" w:hAnsi="楷体" w:hint="eastAsia"/>
          <w:color w:val="000000" w:themeColor="text1"/>
          <w:sz w:val="24"/>
          <w:szCs w:val="24"/>
        </w:rPr>
        <w:lastRenderedPageBreak/>
        <w:t>工率82%，江浙织机综合开工率69%，江浙印染综合开工率77%。进口市场来看，6月底7月初远洋货将逐步抵港，现货环节可流动性仍在释放中。展望后市，供应环节增量预估有20万吨左右，7月国产供应压力较大。且乙二醇海外供应逐步增量中，预计6-7月乙二醇进口增量8-10万吨左右。市场普遍关注的转产EO的问题，后续实际转产落地较为困难。乙二醇后续供应端增量较为明显，09合约上行驱动不足，择机高位布空为主，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39013471"/>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1F79C6" w:rsidRPr="001F79C6">
        <w:rPr>
          <w:rFonts w:ascii="楷体" w:eastAsia="楷体" w:hAnsi="楷体" w:hint="eastAsia"/>
          <w:b/>
          <w:color w:val="000000" w:themeColor="text1"/>
          <w:sz w:val="24"/>
          <w:szCs w:val="24"/>
        </w:rPr>
        <w:t>现货淡季需求弱势，盘面横盘整理</w:t>
      </w:r>
      <w:bookmarkEnd w:id="41"/>
    </w:p>
    <w:p w:rsidR="001F79C6" w:rsidRPr="001F79C6" w:rsidRDefault="001F79C6" w:rsidP="001F79C6">
      <w:pPr>
        <w:ind w:leftChars="300" w:left="630"/>
        <w:rPr>
          <w:rFonts w:ascii="楷体" w:eastAsia="楷体" w:hAnsi="楷体" w:hint="eastAsia"/>
          <w:color w:val="000000" w:themeColor="text1"/>
          <w:sz w:val="24"/>
          <w:szCs w:val="24"/>
        </w:rPr>
      </w:pPr>
      <w:r w:rsidRPr="001F79C6">
        <w:rPr>
          <w:rFonts w:ascii="楷体" w:eastAsia="楷体" w:hAnsi="楷体" w:hint="eastAsia"/>
          <w:color w:val="000000" w:themeColor="text1"/>
          <w:sz w:val="24"/>
          <w:szCs w:val="24"/>
        </w:rPr>
        <w:t>隆众资讯6月29日报道：今日浮法玻璃现货价格1901，较上交易日-2。截止到20230629，全国浮法玻璃样本企业总库存5573.9万重箱，环比增加49.2万重箱，环比+0.89%，同比-30.65%。折库存天数24天，较上期增加0.2天。本周浮法玻璃日度平均产销率仍在90%以下水平。</w:t>
      </w:r>
    </w:p>
    <w:p w:rsidR="00A71A7E" w:rsidRDefault="001F79C6" w:rsidP="001F79C6">
      <w:pPr>
        <w:ind w:leftChars="300" w:left="630"/>
        <w:rPr>
          <w:rFonts w:ascii="楷体" w:eastAsia="楷体" w:hAnsi="楷体"/>
          <w:color w:val="000000" w:themeColor="text1"/>
          <w:sz w:val="24"/>
          <w:szCs w:val="24"/>
        </w:rPr>
      </w:pPr>
      <w:r w:rsidRPr="001F79C6">
        <w:rPr>
          <w:rFonts w:ascii="楷体" w:eastAsia="楷体" w:hAnsi="楷体" w:hint="eastAsia"/>
          <w:color w:val="000000" w:themeColor="text1"/>
          <w:sz w:val="24"/>
          <w:szCs w:val="24"/>
        </w:rPr>
        <w:t>临近月底现货价格跌幅收窄，市场逐渐平稳，7月政策预期和下半年旺季预期仍在，期价下有支撑。短期市场无强驱动，震荡盘整为主。预计7月上半月库存继续承压，中长期可考虑逢低布局多单。重点关注：1）后续地产政策力度，2）各区域产销情况</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39013472"/>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1F79C6" w:rsidRPr="001F79C6">
        <w:rPr>
          <w:rFonts w:ascii="楷体" w:eastAsia="楷体" w:hAnsi="楷体" w:hint="eastAsia"/>
          <w:b/>
          <w:color w:val="000000" w:themeColor="text1"/>
          <w:sz w:val="24"/>
          <w:szCs w:val="24"/>
        </w:rPr>
        <w:t>天然碱投产兑现后，检修逐步兑现</w:t>
      </w:r>
      <w:bookmarkEnd w:id="42"/>
    </w:p>
    <w:p w:rsidR="00A71A7E" w:rsidRDefault="001F79C6" w:rsidP="00A71A7E">
      <w:pPr>
        <w:ind w:leftChars="300" w:left="630"/>
        <w:rPr>
          <w:rFonts w:ascii="楷体" w:eastAsia="楷体" w:hAnsi="楷体"/>
          <w:bCs/>
          <w:sz w:val="24"/>
          <w:szCs w:val="24"/>
        </w:rPr>
      </w:pPr>
      <w:r w:rsidRPr="001F79C6">
        <w:rPr>
          <w:rFonts w:ascii="楷体" w:eastAsia="楷体" w:hAnsi="楷体" w:hint="eastAsia"/>
          <w:color w:val="000000" w:themeColor="text1"/>
          <w:sz w:val="24"/>
          <w:szCs w:val="24"/>
        </w:rPr>
        <w:t>国内纯碱市场价格近期无大幅变化。供给端，昨日四川和邦和金山获嘉碱厂发布检修消息，预计时间一个月。周内纯碱厂家库存42.85万吨，环比下降2.01%，轻增重去。短期来看，天然碱投产兑现后，检修开始逐步兑现。盘面多空双方在检修量和扩产量的预期差有分歧。从供需平衡表推演，7-8月确实存在供需缺口，低库存状态下碱厂挺价意愿强，周内再度去库提振多头信心，盘面反弹。但下游持货意愿较弱，对高价碱抵触心理较强，且纯碱尚有备货的情况下难以大量补库，保持刚需采购为主，叠加低价天然碱将冲击现货价格，纯碱价格难以大幅上涨。目前检修和投产正在同步进行，具体情况难以预测，盘面资金博弈明显，建议以震荡市看待。如果出现超卖可以尝试低多08，出现超买可高空09。重点关注：1）夏检企业是否如期，2）下游玻璃点火情况 3）天然碱投产能能否如期上量</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3" w:name="_Toc13901347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3"/>
    </w:p>
    <w:p w:rsidR="003F56A5" w:rsidRDefault="00147B03">
      <w:pPr>
        <w:ind w:leftChars="200" w:left="420"/>
        <w:outlineLvl w:val="1"/>
        <w:rPr>
          <w:rFonts w:ascii="楷体" w:eastAsia="楷体" w:hAnsi="楷体"/>
          <w:b/>
          <w:sz w:val="24"/>
          <w:szCs w:val="24"/>
        </w:rPr>
      </w:pPr>
      <w:bookmarkStart w:id="44" w:name="_Toc139013474"/>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1F79C6" w:rsidRPr="001F79C6">
        <w:rPr>
          <w:rFonts w:ascii="楷体" w:eastAsia="楷体" w:hAnsi="楷体" w:hint="eastAsia"/>
          <w:b/>
          <w:sz w:val="24"/>
          <w:szCs w:val="24"/>
        </w:rPr>
        <w:t>基本面差异，菜粕表现强于豆粕</w:t>
      </w:r>
      <w:bookmarkEnd w:id="44"/>
    </w:p>
    <w:p w:rsidR="003F56A5" w:rsidRDefault="001F79C6">
      <w:pPr>
        <w:ind w:leftChars="300" w:left="630"/>
        <w:rPr>
          <w:rFonts w:ascii="楷体" w:eastAsia="楷体" w:hAnsi="楷体"/>
          <w:sz w:val="24"/>
          <w:szCs w:val="24"/>
        </w:rPr>
      </w:pPr>
      <w:r w:rsidRPr="001F79C6">
        <w:rPr>
          <w:rFonts w:ascii="楷体" w:eastAsia="楷体" w:hAnsi="楷体" w:hint="eastAsia"/>
          <w:sz w:val="24"/>
          <w:szCs w:val="24"/>
        </w:rPr>
        <w:t>国际方面，在近期降雨预报下美豆回吐天气升水，随着美国中西部和平原的部分地区将迎来充沛的降雨，市场预估干旱或能缓解。但当前部分产区干旱仍在持续，降雨的持续性以及能否有效缓解干旱仍待继续关注。关注月末面积报告及季度库存公布。当前美豆种植情况仍不乐观，优良率持续走低，截至6月25日当周，美国大豆优良率为51%，符合市场预期前一周为54%，去年同期为65%，创下1988年以来同期最低。巴西当前基本完成收割，大豆销售量达到预期产量的60%以上，6月出口预计达1430万吨。国内市场，随着当前大豆到港量增加，油厂已基本恢复开机压榨，但压榨节奏表现有差异，部分地区压榨较为缓慢，但累库趋势不变，当前主流油</w:t>
      </w:r>
      <w:r w:rsidRPr="001F79C6">
        <w:rPr>
          <w:rFonts w:ascii="楷体" w:eastAsia="楷体" w:hAnsi="楷体" w:hint="eastAsia"/>
          <w:sz w:val="24"/>
          <w:szCs w:val="24"/>
        </w:rPr>
        <w:lastRenderedPageBreak/>
        <w:t>厂豆粕现货报价稳中下调3880-4000元/吨，后续仍有回落压力。大豆4-6月到港量较大，5月进口到港1202万吨，环比增66%，到港仍较充裕。下游养殖利润表现仍不佳，且在杂粕替代下饲企和养殖企业等对豆粕饲用需求增量有限，在后续供应宽松下，现货基差仍面临着下行压力。菜粕当前供给相对偏紧，随着6月份后菜籽到港预计减少，油厂压榨也将逐步下滑。而需求方面在近期天气逐步回暖后，为华南水产需求旺季，替代需求方面，豆粕价格偏高，菜粕性价比仍存，整体供需表现紧张，对价格构成支撑。策略方面，短期预计维持高位震荡，建议关注月末报告公布，或关注空豆菜粕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5" w:name="_Toc139013475"/>
      <w:r>
        <w:rPr>
          <w:rFonts w:ascii="楷体" w:eastAsia="楷体" w:hAnsi="楷体" w:hint="eastAsia"/>
          <w:b/>
          <w:color w:val="000000" w:themeColor="text1"/>
          <w:sz w:val="24"/>
          <w:szCs w:val="24"/>
        </w:rPr>
        <w:t>油脂：</w:t>
      </w:r>
      <w:r w:rsidR="00A573ED" w:rsidRPr="00A573ED">
        <w:rPr>
          <w:rFonts w:ascii="楷体" w:eastAsia="楷体" w:hAnsi="楷体" w:hint="eastAsia"/>
          <w:b/>
          <w:sz w:val="24"/>
          <w:szCs w:val="24"/>
        </w:rPr>
        <w:t>延续震荡整理，豆棕价差收窄</w:t>
      </w:r>
      <w:bookmarkEnd w:id="45"/>
    </w:p>
    <w:p w:rsidR="003F56A5" w:rsidRDefault="00A573ED" w:rsidP="00792D31">
      <w:pPr>
        <w:ind w:leftChars="300" w:left="630"/>
        <w:rPr>
          <w:rFonts w:ascii="楷体" w:eastAsia="楷体" w:hAnsi="楷体"/>
          <w:sz w:val="24"/>
          <w:szCs w:val="24"/>
        </w:rPr>
      </w:pPr>
      <w:r w:rsidRPr="00A573ED">
        <w:rPr>
          <w:rFonts w:ascii="楷体" w:eastAsia="楷体" w:hAnsi="楷体" w:hint="eastAsia"/>
          <w:sz w:val="24"/>
          <w:szCs w:val="24"/>
        </w:rPr>
        <w:t>国际市场，受BMD毛棕油上涨提振，内盘棕榈油表现较强，一是受厄尔尼诺带来的棕榈油产区干旱题材扰动；二是印尼上调7月上半月棕榈油参考报价至每吨747.23美元，出口税费预计将相应上调，或利好马棕出口需求。棕榈油，马来产区在近期干旱天气影响下，MPOA数据显示马来西亚6月1-25日棕榈油产量预估降幅收窄；而出口预计环比下滑8%，需求疲软下，仍限制涨幅。虽市场开始炒作厄尔尼诺现象，但中期无法改变产地棕榈油累库的趋势。国内棕榈油在需求增加及进口下滑下，库存稳步去化。但在近期产地报价下滑，国内进口利润有所修复，6-7月船期买船增加，去库速度逐步放缓。需求端，随着气温回升利好棕榈油消费，但近期成交平平，无明显增量。豆油在供应修复预期下，压力仍存。虽5月初在大豆入关问题下，油厂开机不及预期，豆油供给修复缓慢。但随着5月下旬进口大豆到港增加，豆油供应存边际修复预期。需求，近期豆棕价差收窄，或有利于豆油替代需求，在后续供应增加下，价格上方仍存压。菜油现阶段处于供强需弱格局，但后续供应压力边际减轻。随着进口加籽到港量维持高位，菜籽供应较稳定，5月菜籽进口68.6万吨，菜油进口17万吨，均较同期增加，且近期菜油进口利润打开，有新增买船，菜油供应较宽松。需求方面，在国产菜籽上市后，浓香菜油偏好增加，进口菜油去库仍需通过对竞争油脂替代来消耗。短期油脂缺乏有力反弹驱动，建议观望，做多菜豆价差继续持有</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6" w:name="_Toc139013476"/>
      <w:r>
        <w:rPr>
          <w:rFonts w:ascii="楷体" w:eastAsia="楷体" w:hAnsi="楷体" w:hint="eastAsia"/>
          <w:b/>
          <w:bCs/>
          <w:color w:val="000000" w:themeColor="text1"/>
        </w:rPr>
        <w:t>玉米与淀粉：</w:t>
      </w:r>
      <w:r w:rsidR="001F79C6" w:rsidRPr="001F79C6">
        <w:rPr>
          <w:rFonts w:ascii="楷体" w:eastAsia="楷体" w:hAnsi="楷体" w:hint="eastAsia"/>
          <w:b/>
        </w:rPr>
        <w:t>淀粉-玉米价差持续走扩</w:t>
      </w:r>
      <w:bookmarkEnd w:id="46"/>
    </w:p>
    <w:p w:rsidR="001F79C6" w:rsidRPr="001F79C6" w:rsidRDefault="001F79C6" w:rsidP="001F79C6">
      <w:pPr>
        <w:pStyle w:val="paragraph"/>
        <w:spacing w:before="60" w:after="60"/>
        <w:ind w:leftChars="300" w:left="630"/>
        <w:rPr>
          <w:rFonts w:ascii="楷体" w:eastAsia="楷体" w:hAnsi="楷体" w:hint="eastAsia"/>
        </w:rPr>
      </w:pPr>
      <w:r w:rsidRPr="001F79C6">
        <w:rPr>
          <w:rFonts w:ascii="楷体" w:eastAsia="楷体" w:hAnsi="楷体" w:hint="eastAsia"/>
        </w:rPr>
        <w:t>对于玉米而言，在前期报告中，我们建议关注两个方面的上涨驱动，在新作产区天气方面，端午节期间受美国中西部地区降雨预报带动，外盘大幅下跌，接下来需要继续跟踪。后期或需要转向旧作被动补库存方面，因市场传言称临储陈化水稻抛储底价上调影响其饲用替代性价比，而当前下游需求企业如饲料养殖企业与华北深加工企业原料库存偏低，而渠道库存已经历去化，这有望带动通过现货推高期价特别是近月合约期价。在这种情况下，我们维持谨慎看多，建议激进投资者持有前期多单。</w:t>
      </w:r>
    </w:p>
    <w:p w:rsidR="003F56A5" w:rsidRDefault="001F79C6" w:rsidP="001F79C6">
      <w:pPr>
        <w:pStyle w:val="paragraph"/>
        <w:spacing w:before="60" w:beforeAutospacing="0" w:after="60" w:afterAutospacing="0"/>
        <w:ind w:leftChars="300" w:left="630"/>
        <w:rPr>
          <w:rFonts w:ascii="楷体" w:eastAsia="楷体" w:hAnsi="楷体"/>
        </w:rPr>
      </w:pPr>
      <w:r w:rsidRPr="001F79C6">
        <w:rPr>
          <w:rFonts w:ascii="楷体" w:eastAsia="楷体" w:hAnsi="楷体" w:hint="eastAsia"/>
        </w:rPr>
        <w:t>对于淀粉而言，近期淀粉-玉米价差近弱远强表现分化，这主要源于近月仓单压力。考虑到外盘天气炒作通过蛋白粕对淀粉副产品的影响，结合</w:t>
      </w:r>
      <w:r w:rsidRPr="001F79C6">
        <w:rPr>
          <w:rFonts w:ascii="楷体" w:eastAsia="楷体" w:hAnsi="楷体" w:hint="eastAsia"/>
        </w:rPr>
        <w:lastRenderedPageBreak/>
        <w:t>淀粉基差和原料成本（华北-东北玉米价差）来看，淀粉-玉米价差有望继续走扩，短期或需要等待行业供需端的改善即行业库存的持续去化。在这种情况下，我们建议持有前期价差走扩套利，激进投资者可以考虑持有单边多单</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7" w:name="_Toc139013477"/>
      <w:r>
        <w:rPr>
          <w:rFonts w:ascii="楷体" w:eastAsia="楷体" w:hAnsi="楷体" w:hint="eastAsia"/>
          <w:b/>
          <w:bCs/>
          <w:color w:val="000000" w:themeColor="text1"/>
        </w:rPr>
        <w:t>畜禽养殖：</w:t>
      </w:r>
      <w:r w:rsidR="001F79C6" w:rsidRPr="001F79C6">
        <w:rPr>
          <w:rFonts w:ascii="楷体" w:eastAsia="楷体" w:hAnsi="楷体" w:hint="eastAsia"/>
          <w:b/>
          <w:bCs/>
          <w:color w:val="000000" w:themeColor="text1"/>
        </w:rPr>
        <w:t>生猪期价弱势震荡</w:t>
      </w:r>
      <w:bookmarkEnd w:id="47"/>
    </w:p>
    <w:p w:rsidR="001F79C6" w:rsidRPr="001F79C6" w:rsidRDefault="001F79C6" w:rsidP="001F79C6">
      <w:pPr>
        <w:pStyle w:val="paragraph"/>
        <w:spacing w:before="60" w:after="60"/>
        <w:ind w:leftChars="300" w:left="630"/>
        <w:rPr>
          <w:rFonts w:ascii="楷体" w:eastAsia="楷体" w:hAnsi="楷体" w:hint="eastAsia"/>
        </w:rPr>
      </w:pPr>
      <w:r w:rsidRPr="001F79C6">
        <w:rPr>
          <w:rFonts w:ascii="楷体" w:eastAsia="楷体" w:hAnsi="楷体" w:hint="eastAsia"/>
        </w:rPr>
        <w:t>对于生猪而言，3月以来现货低迷使得生猪养殖行业持续处于亏损状态，一方面导致市场消化前期供应，这体现在生猪出栏体重和宰后均重的持续下滑上；另一方面导致行业产能逐步去化，自6月以来仔猪价格持续大幅下跌，或表明产能去化有望加速。在这种情况下，生猪市场等待两个方面的交易机会，就短期而言，更多关注阶段性反弹机会，这主要源于去年四季度以来生猪价格下跌和春季前后非瘟疫情导致的仔猪供应下滑，对应后期生猪供应有望阶段性下滑；就中期而言，更多等待周期见底，这需要留意产能去化进度。纵观年后以来，期价持续表现为近弱远强分化运行，可以理解为，现货持续低迷市场下，各个合约逐步挤出期价升水的过程，但考虑到成本和收储等因素，各合约下方空间亦存在一定支撑。在这种情况下，观点转为中性，建议投资者观望为宜。</w:t>
      </w:r>
    </w:p>
    <w:p w:rsidR="003F56A5" w:rsidRDefault="001F79C6" w:rsidP="001F79C6">
      <w:pPr>
        <w:pStyle w:val="paragraph"/>
        <w:spacing w:before="60" w:beforeAutospacing="0" w:after="60" w:afterAutospacing="0"/>
        <w:ind w:leftChars="300" w:left="630"/>
        <w:rPr>
          <w:rFonts w:ascii="楷体" w:eastAsia="楷体" w:hAnsi="楷体"/>
        </w:rPr>
      </w:pPr>
      <w:r w:rsidRPr="001F79C6">
        <w:rPr>
          <w:rFonts w:ascii="楷体" w:eastAsia="楷体" w:hAnsi="楷体" w:hint="eastAsia"/>
        </w:rPr>
        <w:t>对于鸡蛋而言，当前市场的主要矛盾体现在高基差上，之前市场的预期存在合理性，因节后以来鸡蛋价格和蛋鸡养殖利润处于同期高位水平，带动养殖户补栏积极性上涨，市场据此预计远期供需有望趋于改善，使得远月期价持续下跌。但5月以来，随着鸡蛋现货价格的下跌，蛋鸡养殖利润亦有显著下滑，带动养殖户补栏积极性下滑，与此同时，养殖户淘汰积极性上升，这会导致市场之前的供需改善预期存在较大变数。此外，9月合约一度跌至博亚和讯测算的鸡蛋养殖成本线，考虑到9月处于季节性旺季，供需之外还有季节性规律。我们倾向于鸡蛋期价下方空间或有限，维持谨慎看多观点，建议谨慎投资者观望，激进投资者可以考虑轻仓做多，以去年8月低点作为止损</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8" w:name="_Toc139013478"/>
      <w:r>
        <w:rPr>
          <w:rFonts w:ascii="楷体" w:eastAsia="楷体" w:hAnsi="楷体" w:hint="eastAsia"/>
          <w:b/>
          <w:sz w:val="24"/>
          <w:szCs w:val="24"/>
        </w:rPr>
        <w:t>郑棉：</w:t>
      </w:r>
      <w:r w:rsidR="00D32D2F" w:rsidRPr="00D32D2F">
        <w:rPr>
          <w:rFonts w:ascii="楷体" w:eastAsia="楷体" w:hAnsi="楷体" w:hint="eastAsia"/>
          <w:b/>
          <w:sz w:val="24"/>
          <w:szCs w:val="24"/>
        </w:rPr>
        <w:t>预计09合约16000-16500区间震荡，卖出看跌期权或卖权持有</w:t>
      </w:r>
      <w:bookmarkEnd w:id="48"/>
    </w:p>
    <w:p w:rsidR="003F56A5" w:rsidRDefault="008111C8" w:rsidP="007B3290">
      <w:pPr>
        <w:ind w:leftChars="300" w:left="630"/>
        <w:rPr>
          <w:rFonts w:ascii="楷体" w:eastAsia="楷体" w:hAnsi="楷体"/>
          <w:sz w:val="24"/>
          <w:szCs w:val="24"/>
        </w:rPr>
      </w:pPr>
      <w:r w:rsidRPr="008111C8">
        <w:rPr>
          <w:rFonts w:ascii="楷体" w:eastAsia="楷体" w:hAnsi="楷体" w:hint="eastAsia"/>
          <w:sz w:val="24"/>
          <w:szCs w:val="24"/>
        </w:rPr>
        <w:t>2023年5月下旬，国家棉花市场监测系统就棉花实播面积展开全国范围专项调查，样本涉及14个省(自治区)、46个植棉县(市、团场)、1700个定点植棉信息联系户。调查结果显示，2023年全国棉花实播面积4140.2万亩，同比减少476.8万亩，减幅10.3%。另外，由于6月份天气炎热，充足的热量加快了棉花的生长发育。下游进入传统淡季，订单减少，开机率大幅下行。供需双弱，预计郑棉短期在40日均线和20日均线区间内震荡整理，等待调控政策、下游等方面的消息</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9" w:name="_Toc71212556"/>
      <w:bookmarkStart w:id="50" w:name="_Toc19667"/>
      <w:bookmarkStart w:id="51" w:name="_Toc98426751"/>
      <w:bookmarkStart w:id="52" w:name="_Toc12779"/>
      <w:bookmarkStart w:id="53" w:name="_Toc72481108"/>
      <w:r>
        <w:rPr>
          <w:rFonts w:ascii="Times New Roman" w:eastAsia="楷体" w:hAnsi="Times New Roman"/>
          <w:b/>
          <w:color w:val="411D05"/>
          <w:sz w:val="30"/>
          <w:szCs w:val="30"/>
        </w:rPr>
        <w:lastRenderedPageBreak/>
        <w:t>免责声明</w:t>
      </w:r>
      <w:bookmarkEnd w:id="49"/>
      <w:bookmarkEnd w:id="50"/>
      <w:bookmarkEnd w:id="51"/>
      <w:bookmarkEnd w:id="52"/>
      <w:bookmarkEnd w:id="53"/>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9F4" w:rsidRDefault="008149F4">
      <w:r>
        <w:separator/>
      </w:r>
    </w:p>
  </w:endnote>
  <w:endnote w:type="continuationSeparator" w:id="0">
    <w:p w:rsidR="008149F4" w:rsidRDefault="0081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0A06AF7B" wp14:editId="3D86AFEA">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8111C8">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8111C8">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9F4" w:rsidRDefault="008149F4">
      <w:r>
        <w:separator/>
      </w:r>
    </w:p>
  </w:footnote>
  <w:footnote w:type="continuationSeparator" w:id="0">
    <w:p w:rsidR="008149F4" w:rsidRDefault="008149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364A4B0C" wp14:editId="5B2DE067">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7317809E" wp14:editId="67AE1AB7">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1F79C6">
      <w:rPr>
        <w:rFonts w:ascii="Times New Roman" w:eastAsia="楷体" w:hAnsi="Times New Roman" w:hint="eastAsia"/>
        <w:b/>
        <w:bCs/>
        <w:noProof/>
        <w:color w:val="833C0B"/>
        <w:sz w:val="21"/>
      </w:rPr>
      <w:t>2023</w:t>
    </w:r>
    <w:r w:rsidR="001F79C6">
      <w:rPr>
        <w:rFonts w:ascii="Times New Roman" w:eastAsia="楷体" w:hAnsi="Times New Roman" w:hint="eastAsia"/>
        <w:b/>
        <w:bCs/>
        <w:noProof/>
        <w:color w:val="833C0B"/>
        <w:sz w:val="21"/>
      </w:rPr>
      <w:t>年</w:t>
    </w:r>
    <w:r w:rsidR="001F79C6">
      <w:rPr>
        <w:rFonts w:ascii="Times New Roman" w:eastAsia="楷体" w:hAnsi="Times New Roman" w:hint="eastAsia"/>
        <w:b/>
        <w:bCs/>
        <w:noProof/>
        <w:color w:val="833C0B"/>
        <w:sz w:val="21"/>
      </w:rPr>
      <w:t>6</w:t>
    </w:r>
    <w:r w:rsidR="001F79C6">
      <w:rPr>
        <w:rFonts w:ascii="Times New Roman" w:eastAsia="楷体" w:hAnsi="Times New Roman" w:hint="eastAsia"/>
        <w:b/>
        <w:bCs/>
        <w:noProof/>
        <w:color w:val="833C0B"/>
        <w:sz w:val="21"/>
      </w:rPr>
      <w:t>月</w:t>
    </w:r>
    <w:r w:rsidR="001F79C6">
      <w:rPr>
        <w:rFonts w:ascii="Times New Roman" w:eastAsia="楷体" w:hAnsi="Times New Roman" w:hint="eastAsia"/>
        <w:b/>
        <w:bCs/>
        <w:noProof/>
        <w:color w:val="833C0B"/>
        <w:sz w:val="21"/>
      </w:rPr>
      <w:t>30</w:t>
    </w:r>
    <w:r w:rsidR="001F79C6">
      <w:rPr>
        <w:rFonts w:ascii="Times New Roman" w:eastAsia="楷体" w:hAnsi="Times New Roman" w:hint="eastAsia"/>
        <w:b/>
        <w:bCs/>
        <w:noProof/>
        <w:color w:val="833C0B"/>
        <w:sz w:val="21"/>
      </w:rPr>
      <w:t>日星期五</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20E82"/>
    <w:rsid w:val="00035EB2"/>
    <w:rsid w:val="000417D7"/>
    <w:rsid w:val="00050B6C"/>
    <w:rsid w:val="0005286B"/>
    <w:rsid w:val="0005726F"/>
    <w:rsid w:val="00072EAA"/>
    <w:rsid w:val="00076420"/>
    <w:rsid w:val="000820C6"/>
    <w:rsid w:val="00093E40"/>
    <w:rsid w:val="00096258"/>
    <w:rsid w:val="000A413E"/>
    <w:rsid w:val="000B0648"/>
    <w:rsid w:val="000B4E70"/>
    <w:rsid w:val="000C102A"/>
    <w:rsid w:val="000D36DC"/>
    <w:rsid w:val="000D42E2"/>
    <w:rsid w:val="000D7CF0"/>
    <w:rsid w:val="000E03FC"/>
    <w:rsid w:val="000E0C15"/>
    <w:rsid w:val="000E4EEB"/>
    <w:rsid w:val="00115EEA"/>
    <w:rsid w:val="00117470"/>
    <w:rsid w:val="00120B1F"/>
    <w:rsid w:val="00127803"/>
    <w:rsid w:val="00127FF1"/>
    <w:rsid w:val="00147668"/>
    <w:rsid w:val="00147B03"/>
    <w:rsid w:val="0015047B"/>
    <w:rsid w:val="00156FEB"/>
    <w:rsid w:val="001801C4"/>
    <w:rsid w:val="001942CB"/>
    <w:rsid w:val="001945E9"/>
    <w:rsid w:val="001A3E49"/>
    <w:rsid w:val="001B179D"/>
    <w:rsid w:val="001B1904"/>
    <w:rsid w:val="001B25C9"/>
    <w:rsid w:val="001B2D4C"/>
    <w:rsid w:val="001B6043"/>
    <w:rsid w:val="001B6394"/>
    <w:rsid w:val="001C2E87"/>
    <w:rsid w:val="001C77D0"/>
    <w:rsid w:val="001D1F0A"/>
    <w:rsid w:val="001D40EA"/>
    <w:rsid w:val="001D4474"/>
    <w:rsid w:val="001F5438"/>
    <w:rsid w:val="001F79C6"/>
    <w:rsid w:val="002074A1"/>
    <w:rsid w:val="00216C1E"/>
    <w:rsid w:val="00226406"/>
    <w:rsid w:val="0023093E"/>
    <w:rsid w:val="00230DB7"/>
    <w:rsid w:val="00235529"/>
    <w:rsid w:val="00244CA3"/>
    <w:rsid w:val="0025590B"/>
    <w:rsid w:val="00267FFD"/>
    <w:rsid w:val="00282262"/>
    <w:rsid w:val="00285297"/>
    <w:rsid w:val="00291461"/>
    <w:rsid w:val="00292AE8"/>
    <w:rsid w:val="002951EB"/>
    <w:rsid w:val="00297A1B"/>
    <w:rsid w:val="002A0670"/>
    <w:rsid w:val="002A6C89"/>
    <w:rsid w:val="002B2257"/>
    <w:rsid w:val="002B32AE"/>
    <w:rsid w:val="002C73FE"/>
    <w:rsid w:val="002F075C"/>
    <w:rsid w:val="002F545E"/>
    <w:rsid w:val="002F6AD1"/>
    <w:rsid w:val="002F7810"/>
    <w:rsid w:val="0031065A"/>
    <w:rsid w:val="00320AB1"/>
    <w:rsid w:val="00321629"/>
    <w:rsid w:val="003230A0"/>
    <w:rsid w:val="00323550"/>
    <w:rsid w:val="0033167B"/>
    <w:rsid w:val="00332F22"/>
    <w:rsid w:val="0033644D"/>
    <w:rsid w:val="003416C2"/>
    <w:rsid w:val="00341727"/>
    <w:rsid w:val="003471F4"/>
    <w:rsid w:val="00357545"/>
    <w:rsid w:val="00370D25"/>
    <w:rsid w:val="00371ED6"/>
    <w:rsid w:val="00374836"/>
    <w:rsid w:val="00375F0B"/>
    <w:rsid w:val="00376AF1"/>
    <w:rsid w:val="003953FD"/>
    <w:rsid w:val="003A1F3C"/>
    <w:rsid w:val="003A3DB4"/>
    <w:rsid w:val="003A5DDB"/>
    <w:rsid w:val="003C54F5"/>
    <w:rsid w:val="003C5F91"/>
    <w:rsid w:val="003D3A9E"/>
    <w:rsid w:val="003F2424"/>
    <w:rsid w:val="003F56A5"/>
    <w:rsid w:val="00404AFE"/>
    <w:rsid w:val="004201F5"/>
    <w:rsid w:val="004230AC"/>
    <w:rsid w:val="00426AB5"/>
    <w:rsid w:val="00433C64"/>
    <w:rsid w:val="00440FBE"/>
    <w:rsid w:val="004427D1"/>
    <w:rsid w:val="00452F14"/>
    <w:rsid w:val="004567BD"/>
    <w:rsid w:val="00461147"/>
    <w:rsid w:val="00484C53"/>
    <w:rsid w:val="00485A3F"/>
    <w:rsid w:val="00487F77"/>
    <w:rsid w:val="00491DD7"/>
    <w:rsid w:val="004977A9"/>
    <w:rsid w:val="004A382D"/>
    <w:rsid w:val="004A3F85"/>
    <w:rsid w:val="004A65B5"/>
    <w:rsid w:val="004B4D4D"/>
    <w:rsid w:val="004C11A7"/>
    <w:rsid w:val="004C5F3F"/>
    <w:rsid w:val="004D6F74"/>
    <w:rsid w:val="004E58A5"/>
    <w:rsid w:val="004E6093"/>
    <w:rsid w:val="005145ED"/>
    <w:rsid w:val="005245A4"/>
    <w:rsid w:val="00533D1C"/>
    <w:rsid w:val="00535DC9"/>
    <w:rsid w:val="00540298"/>
    <w:rsid w:val="00541F3F"/>
    <w:rsid w:val="00547DD7"/>
    <w:rsid w:val="00550252"/>
    <w:rsid w:val="00551A8D"/>
    <w:rsid w:val="005523A5"/>
    <w:rsid w:val="00553DEC"/>
    <w:rsid w:val="00572E35"/>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CE6"/>
    <w:rsid w:val="005F45A8"/>
    <w:rsid w:val="00606E2B"/>
    <w:rsid w:val="00610C41"/>
    <w:rsid w:val="00612D79"/>
    <w:rsid w:val="0061390B"/>
    <w:rsid w:val="00615F78"/>
    <w:rsid w:val="00637F19"/>
    <w:rsid w:val="00641752"/>
    <w:rsid w:val="00650F05"/>
    <w:rsid w:val="0065454E"/>
    <w:rsid w:val="00657B01"/>
    <w:rsid w:val="00661BB3"/>
    <w:rsid w:val="00666DE4"/>
    <w:rsid w:val="006911F3"/>
    <w:rsid w:val="006A135D"/>
    <w:rsid w:val="006A5214"/>
    <w:rsid w:val="006A7A79"/>
    <w:rsid w:val="006B4A5D"/>
    <w:rsid w:val="006D21ED"/>
    <w:rsid w:val="006F6553"/>
    <w:rsid w:val="00710028"/>
    <w:rsid w:val="007103A5"/>
    <w:rsid w:val="0072164F"/>
    <w:rsid w:val="007253E7"/>
    <w:rsid w:val="0072736C"/>
    <w:rsid w:val="007315D8"/>
    <w:rsid w:val="00743CFD"/>
    <w:rsid w:val="007664C1"/>
    <w:rsid w:val="00772382"/>
    <w:rsid w:val="00785519"/>
    <w:rsid w:val="007866A5"/>
    <w:rsid w:val="0079299D"/>
    <w:rsid w:val="00792D31"/>
    <w:rsid w:val="00794D36"/>
    <w:rsid w:val="007952E9"/>
    <w:rsid w:val="007A410D"/>
    <w:rsid w:val="007A66FE"/>
    <w:rsid w:val="007B3290"/>
    <w:rsid w:val="007B4FCE"/>
    <w:rsid w:val="007C2FD2"/>
    <w:rsid w:val="007D29EC"/>
    <w:rsid w:val="007D4BBD"/>
    <w:rsid w:val="007F09BE"/>
    <w:rsid w:val="007F1327"/>
    <w:rsid w:val="007F140C"/>
    <w:rsid w:val="007F186E"/>
    <w:rsid w:val="0080612D"/>
    <w:rsid w:val="00806354"/>
    <w:rsid w:val="0080692E"/>
    <w:rsid w:val="00806F4A"/>
    <w:rsid w:val="0080753A"/>
    <w:rsid w:val="008111C8"/>
    <w:rsid w:val="008149F4"/>
    <w:rsid w:val="00815011"/>
    <w:rsid w:val="00815817"/>
    <w:rsid w:val="00820D28"/>
    <w:rsid w:val="00822591"/>
    <w:rsid w:val="0083605E"/>
    <w:rsid w:val="00840F4E"/>
    <w:rsid w:val="00853880"/>
    <w:rsid w:val="00856132"/>
    <w:rsid w:val="008649BB"/>
    <w:rsid w:val="00867CA5"/>
    <w:rsid w:val="00873ECE"/>
    <w:rsid w:val="008740D4"/>
    <w:rsid w:val="0087785E"/>
    <w:rsid w:val="00892203"/>
    <w:rsid w:val="0089393F"/>
    <w:rsid w:val="008A0893"/>
    <w:rsid w:val="008A11C6"/>
    <w:rsid w:val="008A1D22"/>
    <w:rsid w:val="008B13D2"/>
    <w:rsid w:val="008B3268"/>
    <w:rsid w:val="008B361D"/>
    <w:rsid w:val="008C1554"/>
    <w:rsid w:val="008C3F42"/>
    <w:rsid w:val="008E2B15"/>
    <w:rsid w:val="008E33F3"/>
    <w:rsid w:val="008E3B84"/>
    <w:rsid w:val="008F229B"/>
    <w:rsid w:val="008F2A6E"/>
    <w:rsid w:val="00906E0C"/>
    <w:rsid w:val="00907943"/>
    <w:rsid w:val="00916E97"/>
    <w:rsid w:val="00920372"/>
    <w:rsid w:val="009260D3"/>
    <w:rsid w:val="009316EC"/>
    <w:rsid w:val="009317CD"/>
    <w:rsid w:val="00934728"/>
    <w:rsid w:val="009644D9"/>
    <w:rsid w:val="0097131C"/>
    <w:rsid w:val="009870E4"/>
    <w:rsid w:val="009A12FA"/>
    <w:rsid w:val="009A564D"/>
    <w:rsid w:val="009B0D7B"/>
    <w:rsid w:val="009B3801"/>
    <w:rsid w:val="009B534D"/>
    <w:rsid w:val="009B591A"/>
    <w:rsid w:val="009C3E56"/>
    <w:rsid w:val="009C483C"/>
    <w:rsid w:val="009D2477"/>
    <w:rsid w:val="009D4A74"/>
    <w:rsid w:val="009D5253"/>
    <w:rsid w:val="009D5D79"/>
    <w:rsid w:val="009D64FE"/>
    <w:rsid w:val="009E0994"/>
    <w:rsid w:val="009E4452"/>
    <w:rsid w:val="009E7578"/>
    <w:rsid w:val="009F5C7B"/>
    <w:rsid w:val="00A031CE"/>
    <w:rsid w:val="00A04421"/>
    <w:rsid w:val="00A11A0D"/>
    <w:rsid w:val="00A22080"/>
    <w:rsid w:val="00A223D3"/>
    <w:rsid w:val="00A42079"/>
    <w:rsid w:val="00A573ED"/>
    <w:rsid w:val="00A60F08"/>
    <w:rsid w:val="00A63022"/>
    <w:rsid w:val="00A71A7E"/>
    <w:rsid w:val="00A776D7"/>
    <w:rsid w:val="00A91E48"/>
    <w:rsid w:val="00A96E37"/>
    <w:rsid w:val="00A97444"/>
    <w:rsid w:val="00AA186F"/>
    <w:rsid w:val="00AA29E5"/>
    <w:rsid w:val="00AB0678"/>
    <w:rsid w:val="00AC00CF"/>
    <w:rsid w:val="00AC52CB"/>
    <w:rsid w:val="00AC7794"/>
    <w:rsid w:val="00AC7ECD"/>
    <w:rsid w:val="00AD009F"/>
    <w:rsid w:val="00AF54C5"/>
    <w:rsid w:val="00AF56FD"/>
    <w:rsid w:val="00AF5EA0"/>
    <w:rsid w:val="00B066DA"/>
    <w:rsid w:val="00B072C0"/>
    <w:rsid w:val="00B10135"/>
    <w:rsid w:val="00B118A2"/>
    <w:rsid w:val="00B133D0"/>
    <w:rsid w:val="00B15418"/>
    <w:rsid w:val="00B17165"/>
    <w:rsid w:val="00B1737C"/>
    <w:rsid w:val="00B1758C"/>
    <w:rsid w:val="00B17639"/>
    <w:rsid w:val="00B443CE"/>
    <w:rsid w:val="00B4555A"/>
    <w:rsid w:val="00B53C56"/>
    <w:rsid w:val="00B60464"/>
    <w:rsid w:val="00B606EF"/>
    <w:rsid w:val="00B618F8"/>
    <w:rsid w:val="00B64133"/>
    <w:rsid w:val="00B72E2D"/>
    <w:rsid w:val="00B745CB"/>
    <w:rsid w:val="00B805BD"/>
    <w:rsid w:val="00B91D3D"/>
    <w:rsid w:val="00B94E7D"/>
    <w:rsid w:val="00B97F08"/>
    <w:rsid w:val="00BA4663"/>
    <w:rsid w:val="00BA696B"/>
    <w:rsid w:val="00BC5F45"/>
    <w:rsid w:val="00BC71D6"/>
    <w:rsid w:val="00BD4C85"/>
    <w:rsid w:val="00BE456E"/>
    <w:rsid w:val="00BF3137"/>
    <w:rsid w:val="00C02ECE"/>
    <w:rsid w:val="00C06AC7"/>
    <w:rsid w:val="00C13E0F"/>
    <w:rsid w:val="00C2031B"/>
    <w:rsid w:val="00C2080D"/>
    <w:rsid w:val="00C228D6"/>
    <w:rsid w:val="00C240C3"/>
    <w:rsid w:val="00C25562"/>
    <w:rsid w:val="00C265C5"/>
    <w:rsid w:val="00C43DDB"/>
    <w:rsid w:val="00C575E9"/>
    <w:rsid w:val="00C62202"/>
    <w:rsid w:val="00C6240E"/>
    <w:rsid w:val="00C66C6C"/>
    <w:rsid w:val="00C70FDD"/>
    <w:rsid w:val="00C82E4D"/>
    <w:rsid w:val="00C91234"/>
    <w:rsid w:val="00C93E36"/>
    <w:rsid w:val="00CA1C01"/>
    <w:rsid w:val="00CB0962"/>
    <w:rsid w:val="00CB1AC3"/>
    <w:rsid w:val="00CB1F18"/>
    <w:rsid w:val="00CB2FD2"/>
    <w:rsid w:val="00CB3015"/>
    <w:rsid w:val="00CC03C4"/>
    <w:rsid w:val="00CC3E40"/>
    <w:rsid w:val="00CC3FFA"/>
    <w:rsid w:val="00CC6C03"/>
    <w:rsid w:val="00CD5884"/>
    <w:rsid w:val="00CD5DE8"/>
    <w:rsid w:val="00CD70A0"/>
    <w:rsid w:val="00CE7903"/>
    <w:rsid w:val="00CF6C71"/>
    <w:rsid w:val="00CF7A9A"/>
    <w:rsid w:val="00D00D60"/>
    <w:rsid w:val="00D017E5"/>
    <w:rsid w:val="00D01A19"/>
    <w:rsid w:val="00D04FF1"/>
    <w:rsid w:val="00D1582A"/>
    <w:rsid w:val="00D17FB1"/>
    <w:rsid w:val="00D309C4"/>
    <w:rsid w:val="00D32D2F"/>
    <w:rsid w:val="00D45E53"/>
    <w:rsid w:val="00D47039"/>
    <w:rsid w:val="00D55EAF"/>
    <w:rsid w:val="00D63655"/>
    <w:rsid w:val="00D75630"/>
    <w:rsid w:val="00D762B2"/>
    <w:rsid w:val="00D842AA"/>
    <w:rsid w:val="00D86D76"/>
    <w:rsid w:val="00D87130"/>
    <w:rsid w:val="00D93E0B"/>
    <w:rsid w:val="00DA7546"/>
    <w:rsid w:val="00DD334E"/>
    <w:rsid w:val="00DE02C4"/>
    <w:rsid w:val="00DF1796"/>
    <w:rsid w:val="00DF270D"/>
    <w:rsid w:val="00DF3B28"/>
    <w:rsid w:val="00DF56EC"/>
    <w:rsid w:val="00E020F2"/>
    <w:rsid w:val="00E12059"/>
    <w:rsid w:val="00E25D21"/>
    <w:rsid w:val="00E31716"/>
    <w:rsid w:val="00E32B95"/>
    <w:rsid w:val="00E34551"/>
    <w:rsid w:val="00E34EAB"/>
    <w:rsid w:val="00E373B2"/>
    <w:rsid w:val="00E40036"/>
    <w:rsid w:val="00E45000"/>
    <w:rsid w:val="00E451FD"/>
    <w:rsid w:val="00E4667F"/>
    <w:rsid w:val="00E556EC"/>
    <w:rsid w:val="00E55B22"/>
    <w:rsid w:val="00E60D44"/>
    <w:rsid w:val="00E64502"/>
    <w:rsid w:val="00E771D2"/>
    <w:rsid w:val="00E80EDB"/>
    <w:rsid w:val="00E84794"/>
    <w:rsid w:val="00E847DF"/>
    <w:rsid w:val="00E90013"/>
    <w:rsid w:val="00E928BB"/>
    <w:rsid w:val="00EA0CCD"/>
    <w:rsid w:val="00EA28CA"/>
    <w:rsid w:val="00EB4C04"/>
    <w:rsid w:val="00EB56F2"/>
    <w:rsid w:val="00EC2B12"/>
    <w:rsid w:val="00EC4D59"/>
    <w:rsid w:val="00ED06A6"/>
    <w:rsid w:val="00ED2A64"/>
    <w:rsid w:val="00ED451D"/>
    <w:rsid w:val="00ED7C55"/>
    <w:rsid w:val="00F07C02"/>
    <w:rsid w:val="00F157C6"/>
    <w:rsid w:val="00F234BF"/>
    <w:rsid w:val="00F268B3"/>
    <w:rsid w:val="00F31CCA"/>
    <w:rsid w:val="00F43E0E"/>
    <w:rsid w:val="00F473F0"/>
    <w:rsid w:val="00F622ED"/>
    <w:rsid w:val="00F65EEA"/>
    <w:rsid w:val="00F776D3"/>
    <w:rsid w:val="00F91733"/>
    <w:rsid w:val="00F95209"/>
    <w:rsid w:val="00FB3956"/>
    <w:rsid w:val="00FC0F8B"/>
    <w:rsid w:val="00FD6B0E"/>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D4210F"/>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16C6D9-B3A3-4736-A798-9A7B90F48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2807</TotalTime>
  <Pages>9</Pages>
  <Words>1527</Words>
  <Characters>8705</Characters>
  <Application>Microsoft Office Word</Application>
  <DocSecurity>0</DocSecurity>
  <Lines>72</Lines>
  <Paragraphs>20</Paragraphs>
  <ScaleCrop>false</ScaleCrop>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20</cp:revision>
  <cp:lastPrinted>2023-06-08T02:23:00Z</cp:lastPrinted>
  <dcterms:created xsi:type="dcterms:W3CDTF">2022-11-15T10:06:00Z</dcterms:created>
  <dcterms:modified xsi:type="dcterms:W3CDTF">2023-06-30T02:30:00Z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