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6A5" w:rsidRDefault="00CC3FFA">
      <w:pPr>
        <w:jc w:val="center"/>
        <w:rPr>
          <w:rFonts w:ascii="Times New Roman" w:eastAsia="楷体" w:hAnsi="Times New Roman" w:cs="Times New Roman"/>
          <w:b/>
          <w:color w:val="823C0B"/>
          <w:sz w:val="32"/>
          <w:szCs w:val="32"/>
        </w:rPr>
      </w:pPr>
      <w:bookmarkStart w:id="0" w:name="_top"/>
      <w:bookmarkEnd w:id="0"/>
      <w:r>
        <w:rPr>
          <w:rFonts w:ascii="Times New Roman" w:eastAsia="楷体" w:hAnsi="Times New Roman" w:cs="Times New Roman"/>
          <w:b/>
          <w:color w:val="823C0B"/>
          <w:sz w:val="32"/>
          <w:szCs w:val="32"/>
        </w:rPr>
        <w:t>广州期货早间直通车</w:t>
      </w:r>
    </w:p>
    <w:p w:rsidR="003F56A5" w:rsidRDefault="003F56A5">
      <w:pPr>
        <w:jc w:val="right"/>
        <w:rPr>
          <w:rFonts w:ascii="Times New Roman" w:eastAsia="楷体" w:hAnsi="Times New Roman" w:cs="Times New Roman"/>
          <w:b/>
          <w:color w:val="823C0B"/>
          <w:sz w:val="24"/>
        </w:rPr>
      </w:pPr>
    </w:p>
    <w:p w:rsidR="003F56A5" w:rsidRDefault="00CC3FFA">
      <w:pPr>
        <w:jc w:val="center"/>
        <w:rPr>
          <w:rFonts w:ascii="Times New Roman" w:eastAsia="楷体" w:hAnsi="Times New Roman" w:cs="Times New Roman"/>
          <w:b/>
          <w:color w:val="823C0B"/>
          <w:sz w:val="24"/>
        </w:rPr>
      </w:pPr>
      <w:r>
        <w:rPr>
          <w:rFonts w:ascii="Times New Roman" w:eastAsia="楷体" w:hAnsi="Times New Roman" w:cs="Times New Roman"/>
          <w:b/>
          <w:color w:val="823C0B"/>
          <w:sz w:val="24"/>
        </w:rPr>
        <w:t>投资咨询业务资格：证监许可【</w:t>
      </w:r>
      <w:r>
        <w:rPr>
          <w:rFonts w:ascii="Times New Roman" w:eastAsia="楷体" w:hAnsi="Times New Roman" w:cs="Times New Roman"/>
          <w:b/>
          <w:color w:val="823C0B"/>
          <w:sz w:val="24"/>
        </w:rPr>
        <w:t>2012</w:t>
      </w:r>
      <w:r>
        <w:rPr>
          <w:rFonts w:ascii="Times New Roman" w:eastAsia="楷体" w:hAnsi="Times New Roman" w:cs="Times New Roman"/>
          <w:b/>
          <w:color w:val="823C0B"/>
          <w:sz w:val="24"/>
        </w:rPr>
        <w:t>】</w:t>
      </w:r>
      <w:r>
        <w:rPr>
          <w:rFonts w:ascii="Times New Roman" w:eastAsia="楷体" w:hAnsi="Times New Roman" w:cs="Times New Roman"/>
          <w:b/>
          <w:color w:val="823C0B"/>
          <w:sz w:val="24"/>
        </w:rPr>
        <w:t>1497</w:t>
      </w:r>
      <w:r>
        <w:rPr>
          <w:rFonts w:ascii="Times New Roman" w:eastAsia="楷体" w:hAnsi="Times New Roman" w:cs="Times New Roman"/>
          <w:b/>
          <w:color w:val="823C0B"/>
          <w:sz w:val="24"/>
        </w:rPr>
        <w:t>号</w:t>
      </w:r>
    </w:p>
    <w:p w:rsidR="003F56A5" w:rsidRDefault="003F56A5">
      <w:pPr>
        <w:jc w:val="center"/>
        <w:rPr>
          <w:rFonts w:ascii="Times New Roman" w:eastAsia="楷体" w:hAnsi="Times New Roman"/>
          <w:b/>
          <w:color w:val="823C0B"/>
          <w:sz w:val="30"/>
          <w:szCs w:val="30"/>
        </w:rPr>
      </w:pPr>
    </w:p>
    <w:p w:rsidR="003F56A5" w:rsidRDefault="00CC3FFA">
      <w:pPr>
        <w:jc w:val="center"/>
        <w:rPr>
          <w:rFonts w:ascii="Times New Roman" w:eastAsia="楷体" w:hAnsi="Times New Roman"/>
          <w:b/>
        </w:rPr>
      </w:pPr>
      <w:r>
        <w:rPr>
          <w:rFonts w:ascii="Times New Roman" w:eastAsia="楷体" w:hAnsi="Times New Roman" w:hint="eastAsia"/>
          <w:b/>
          <w:color w:val="823C0B"/>
          <w:sz w:val="30"/>
          <w:szCs w:val="30"/>
        </w:rPr>
        <w:t>评论品种一览</w:t>
      </w:r>
    </w:p>
    <w:sdt>
      <w:sdtPr>
        <w:rPr>
          <w:rFonts w:asciiTheme="minorHAnsi" w:eastAsia="宋体" w:hAnsiTheme="minorHAnsi" w:cstheme="minorBidi"/>
          <w:b/>
          <w:bCs/>
          <w:color w:val="auto"/>
          <w:kern w:val="2"/>
          <w:sz w:val="21"/>
          <w:szCs w:val="21"/>
          <w:lang w:val="zh-CN"/>
        </w:rPr>
        <w:id w:val="1355533930"/>
        <w:docPartObj>
          <w:docPartGallery w:val="Table of Contents"/>
          <w:docPartUnique/>
        </w:docPartObj>
      </w:sdtPr>
      <w:sdtEndPr/>
      <w:sdtContent>
        <w:p w:rsidR="003F56A5" w:rsidRDefault="003F56A5">
          <w:pPr>
            <w:pStyle w:val="TOC1"/>
            <w:rPr>
              <w:b/>
              <w:bCs/>
            </w:rPr>
          </w:pPr>
        </w:p>
        <w:p w:rsidR="009B0D7B" w:rsidRDefault="00CC3FFA">
          <w:pPr>
            <w:pStyle w:val="11"/>
            <w:tabs>
              <w:tab w:val="right" w:leader="dot" w:pos="8296"/>
            </w:tabs>
            <w:rPr>
              <w:rFonts w:eastAsiaTheme="minorEastAsia"/>
              <w:noProof/>
              <w:szCs w:val="22"/>
            </w:rPr>
          </w:pPr>
          <w:r>
            <w:rPr>
              <w:b/>
              <w:bCs/>
            </w:rPr>
            <w:fldChar w:fldCharType="begin"/>
          </w:r>
          <w:r>
            <w:rPr>
              <w:b/>
              <w:bCs/>
            </w:rPr>
            <w:instrText xml:space="preserve"> TOC \o "1-3" \n \h \z \u </w:instrText>
          </w:r>
          <w:r>
            <w:rPr>
              <w:b/>
              <w:bCs/>
            </w:rPr>
            <w:fldChar w:fldCharType="separate"/>
          </w:r>
          <w:bookmarkStart w:id="1" w:name="_GoBack"/>
          <w:bookmarkEnd w:id="1"/>
          <w:r w:rsidR="009B0D7B" w:rsidRPr="00947090">
            <w:rPr>
              <w:rStyle w:val="a9"/>
              <w:noProof/>
            </w:rPr>
            <w:fldChar w:fldCharType="begin"/>
          </w:r>
          <w:r w:rsidR="009B0D7B" w:rsidRPr="00947090">
            <w:rPr>
              <w:rStyle w:val="a9"/>
              <w:noProof/>
            </w:rPr>
            <w:instrText xml:space="preserve"> </w:instrText>
          </w:r>
          <w:r w:rsidR="009B0D7B">
            <w:rPr>
              <w:noProof/>
            </w:rPr>
            <w:instrText>HYPERLINK \l "_Toc138927954"</w:instrText>
          </w:r>
          <w:r w:rsidR="009B0D7B" w:rsidRPr="00947090">
            <w:rPr>
              <w:rStyle w:val="a9"/>
              <w:noProof/>
            </w:rPr>
            <w:instrText xml:space="preserve"> </w:instrText>
          </w:r>
          <w:r w:rsidR="009B0D7B" w:rsidRPr="00947090">
            <w:rPr>
              <w:rStyle w:val="a9"/>
              <w:noProof/>
            </w:rPr>
          </w:r>
          <w:r w:rsidR="009B0D7B" w:rsidRPr="00947090">
            <w:rPr>
              <w:rStyle w:val="a9"/>
              <w:noProof/>
            </w:rPr>
            <w:fldChar w:fldCharType="separate"/>
          </w:r>
          <w:r w:rsidR="009B0D7B" w:rsidRPr="00947090">
            <w:rPr>
              <w:rStyle w:val="a9"/>
              <w:rFonts w:ascii="Times New Roman" w:eastAsia="楷体" w:hAnsi="Times New Roman"/>
              <w:b/>
              <w:noProof/>
            </w:rPr>
            <w:t>[</w:t>
          </w:r>
          <w:r w:rsidR="009B0D7B" w:rsidRPr="00947090">
            <w:rPr>
              <w:rStyle w:val="a9"/>
              <w:rFonts w:ascii="Times New Roman" w:eastAsia="楷体" w:hAnsi="Times New Roman"/>
              <w:b/>
              <w:noProof/>
            </w:rPr>
            <w:t>金融</w:t>
          </w:r>
          <w:r w:rsidR="009B0D7B" w:rsidRPr="00947090">
            <w:rPr>
              <w:rStyle w:val="a9"/>
              <w:rFonts w:ascii="Times New Roman" w:eastAsia="楷体" w:hAnsi="Times New Roman"/>
              <w:b/>
              <w:noProof/>
            </w:rPr>
            <w:t>]</w:t>
          </w:r>
          <w:r w:rsidR="009B0D7B" w:rsidRPr="00947090">
            <w:rPr>
              <w:rStyle w:val="a9"/>
              <w:noProof/>
            </w:rPr>
            <w:fldChar w:fldCharType="end"/>
          </w:r>
        </w:p>
        <w:p w:rsidR="009B0D7B" w:rsidRDefault="009B0D7B">
          <w:pPr>
            <w:pStyle w:val="23"/>
            <w:tabs>
              <w:tab w:val="right" w:leader="dot" w:pos="8296"/>
            </w:tabs>
            <w:rPr>
              <w:rFonts w:eastAsiaTheme="minorEastAsia"/>
              <w:noProof/>
              <w:szCs w:val="22"/>
            </w:rPr>
          </w:pPr>
          <w:hyperlink w:anchor="_Toc138927955" w:history="1">
            <w:r w:rsidRPr="00947090">
              <w:rPr>
                <w:rStyle w:val="a9"/>
                <w:rFonts w:ascii="Times New Roman" w:eastAsia="楷体" w:hAnsi="Times New Roman"/>
                <w:b/>
                <w:noProof/>
              </w:rPr>
              <w:t>股指：关注</w:t>
            </w:r>
            <w:r w:rsidRPr="00947090">
              <w:rPr>
                <w:rStyle w:val="a9"/>
                <w:rFonts w:ascii="Times New Roman" w:eastAsia="楷体" w:hAnsi="Times New Roman"/>
                <w:b/>
                <w:noProof/>
              </w:rPr>
              <w:t>IM</w:t>
            </w:r>
            <w:r w:rsidRPr="00947090">
              <w:rPr>
                <w:rStyle w:val="a9"/>
                <w:rFonts w:ascii="Times New Roman" w:eastAsia="楷体" w:hAnsi="Times New Roman"/>
                <w:b/>
                <w:noProof/>
              </w:rPr>
              <w:t>低多机会</w:t>
            </w:r>
          </w:hyperlink>
        </w:p>
        <w:p w:rsidR="009B0D7B" w:rsidRDefault="009B0D7B">
          <w:pPr>
            <w:pStyle w:val="11"/>
            <w:tabs>
              <w:tab w:val="right" w:leader="dot" w:pos="8296"/>
            </w:tabs>
            <w:rPr>
              <w:rFonts w:eastAsiaTheme="minorEastAsia"/>
              <w:noProof/>
              <w:szCs w:val="22"/>
            </w:rPr>
          </w:pPr>
          <w:hyperlink w:anchor="_Toc138927956" w:history="1">
            <w:r w:rsidRPr="00947090">
              <w:rPr>
                <w:rStyle w:val="a9"/>
                <w:rFonts w:ascii="Times New Roman" w:eastAsia="楷体" w:hAnsi="Times New Roman"/>
                <w:b/>
                <w:noProof/>
              </w:rPr>
              <w:t>[</w:t>
            </w:r>
            <w:r w:rsidRPr="00947090">
              <w:rPr>
                <w:rStyle w:val="a9"/>
                <w:rFonts w:ascii="Times New Roman" w:eastAsia="楷体" w:hAnsi="Times New Roman"/>
                <w:b/>
                <w:noProof/>
              </w:rPr>
              <w:t>贵金属</w:t>
            </w:r>
            <w:r w:rsidRPr="00947090">
              <w:rPr>
                <w:rStyle w:val="a9"/>
                <w:rFonts w:ascii="Times New Roman" w:eastAsia="楷体" w:hAnsi="Times New Roman"/>
                <w:b/>
                <w:noProof/>
              </w:rPr>
              <w:t>]</w:t>
            </w:r>
          </w:hyperlink>
        </w:p>
        <w:p w:rsidR="009B0D7B" w:rsidRDefault="009B0D7B">
          <w:pPr>
            <w:pStyle w:val="23"/>
            <w:tabs>
              <w:tab w:val="right" w:leader="dot" w:pos="8296"/>
            </w:tabs>
            <w:rPr>
              <w:rFonts w:eastAsiaTheme="minorEastAsia"/>
              <w:noProof/>
              <w:szCs w:val="22"/>
            </w:rPr>
          </w:pPr>
          <w:hyperlink w:anchor="_Toc138927957" w:history="1">
            <w:r w:rsidRPr="00947090">
              <w:rPr>
                <w:rStyle w:val="a9"/>
                <w:rFonts w:ascii="Times New Roman" w:eastAsia="楷体" w:hAnsi="Times New Roman"/>
                <w:b/>
                <w:noProof/>
              </w:rPr>
              <w:t>贵金属：美联储主席鹰派发声，贵金属价格小幅下跌</w:t>
            </w:r>
          </w:hyperlink>
        </w:p>
        <w:p w:rsidR="009B0D7B" w:rsidRDefault="009B0D7B">
          <w:pPr>
            <w:pStyle w:val="11"/>
            <w:tabs>
              <w:tab w:val="right" w:leader="dot" w:pos="8296"/>
            </w:tabs>
            <w:rPr>
              <w:rFonts w:eastAsiaTheme="minorEastAsia"/>
              <w:noProof/>
              <w:szCs w:val="22"/>
            </w:rPr>
          </w:pPr>
          <w:hyperlink w:anchor="_Toc138927958" w:history="1">
            <w:r w:rsidRPr="00947090">
              <w:rPr>
                <w:rStyle w:val="a9"/>
                <w:rFonts w:ascii="Times New Roman" w:eastAsia="楷体" w:hAnsi="Times New Roman"/>
                <w:b/>
                <w:noProof/>
              </w:rPr>
              <w:t>[</w:t>
            </w:r>
            <w:r w:rsidRPr="00947090">
              <w:rPr>
                <w:rStyle w:val="a9"/>
                <w:rFonts w:ascii="Times New Roman" w:eastAsia="楷体" w:hAnsi="Times New Roman"/>
                <w:b/>
                <w:noProof/>
              </w:rPr>
              <w:t>金属</w:t>
            </w:r>
            <w:r w:rsidRPr="00947090">
              <w:rPr>
                <w:rStyle w:val="a9"/>
                <w:rFonts w:ascii="Times New Roman" w:eastAsia="楷体" w:hAnsi="Times New Roman"/>
                <w:b/>
                <w:noProof/>
              </w:rPr>
              <w:t>]</w:t>
            </w:r>
          </w:hyperlink>
        </w:p>
        <w:p w:rsidR="009B0D7B" w:rsidRDefault="009B0D7B">
          <w:pPr>
            <w:pStyle w:val="23"/>
            <w:tabs>
              <w:tab w:val="right" w:leader="dot" w:pos="8296"/>
            </w:tabs>
            <w:rPr>
              <w:rFonts w:eastAsiaTheme="minorEastAsia"/>
              <w:noProof/>
              <w:szCs w:val="22"/>
            </w:rPr>
          </w:pPr>
          <w:hyperlink w:anchor="_Toc138927959" w:history="1">
            <w:r w:rsidRPr="00947090">
              <w:rPr>
                <w:rStyle w:val="a9"/>
                <w:rFonts w:ascii="楷体" w:eastAsia="楷体" w:hAnsi="楷体"/>
                <w:b/>
                <w:noProof/>
              </w:rPr>
              <w:t>螺纹钢：铁矿强势驱动钢价偏强运行</w:t>
            </w:r>
          </w:hyperlink>
        </w:p>
        <w:p w:rsidR="009B0D7B" w:rsidRDefault="009B0D7B">
          <w:pPr>
            <w:pStyle w:val="23"/>
            <w:tabs>
              <w:tab w:val="right" w:leader="dot" w:pos="8296"/>
            </w:tabs>
            <w:rPr>
              <w:rFonts w:eastAsiaTheme="minorEastAsia"/>
              <w:noProof/>
              <w:szCs w:val="22"/>
            </w:rPr>
          </w:pPr>
          <w:hyperlink w:anchor="_Toc138927960" w:history="1">
            <w:r w:rsidRPr="00947090">
              <w:rPr>
                <w:rStyle w:val="a9"/>
                <w:rFonts w:ascii="楷体" w:eastAsia="楷体" w:hAnsi="楷体"/>
                <w:b/>
                <w:noProof/>
              </w:rPr>
              <w:t>焦炭：现货价格平稳，盘面估值随情绪波动，观望为主</w:t>
            </w:r>
          </w:hyperlink>
        </w:p>
        <w:p w:rsidR="009B0D7B" w:rsidRDefault="009B0D7B">
          <w:pPr>
            <w:pStyle w:val="23"/>
            <w:tabs>
              <w:tab w:val="right" w:leader="dot" w:pos="8296"/>
            </w:tabs>
            <w:rPr>
              <w:rFonts w:eastAsiaTheme="minorEastAsia"/>
              <w:noProof/>
              <w:szCs w:val="22"/>
            </w:rPr>
          </w:pPr>
          <w:hyperlink w:anchor="_Toc138927961" w:history="1">
            <w:r w:rsidRPr="00947090">
              <w:rPr>
                <w:rStyle w:val="a9"/>
                <w:rFonts w:ascii="楷体" w:eastAsia="楷体" w:hAnsi="楷体"/>
                <w:b/>
                <w:noProof/>
              </w:rPr>
              <w:t>焦煤：现货价格平稳，盘面估值随情绪波动</w:t>
            </w:r>
          </w:hyperlink>
        </w:p>
        <w:p w:rsidR="009B0D7B" w:rsidRDefault="009B0D7B">
          <w:pPr>
            <w:pStyle w:val="23"/>
            <w:tabs>
              <w:tab w:val="right" w:leader="dot" w:pos="8296"/>
            </w:tabs>
            <w:rPr>
              <w:rFonts w:eastAsiaTheme="minorEastAsia"/>
              <w:noProof/>
              <w:szCs w:val="22"/>
            </w:rPr>
          </w:pPr>
          <w:hyperlink w:anchor="_Toc138927962" w:history="1">
            <w:r w:rsidRPr="00947090">
              <w:rPr>
                <w:rStyle w:val="a9"/>
                <w:rFonts w:ascii="楷体" w:eastAsia="楷体" w:hAnsi="楷体"/>
                <w:b/>
                <w:noProof/>
              </w:rPr>
              <w:t>铜：美元指数反弹压制铜价</w:t>
            </w:r>
          </w:hyperlink>
        </w:p>
        <w:p w:rsidR="009B0D7B" w:rsidRDefault="009B0D7B">
          <w:pPr>
            <w:pStyle w:val="23"/>
            <w:tabs>
              <w:tab w:val="right" w:leader="dot" w:pos="8296"/>
            </w:tabs>
            <w:rPr>
              <w:rFonts w:eastAsiaTheme="minorEastAsia"/>
              <w:noProof/>
              <w:szCs w:val="22"/>
            </w:rPr>
          </w:pPr>
          <w:hyperlink w:anchor="_Toc138927963" w:history="1">
            <w:r w:rsidRPr="00947090">
              <w:rPr>
                <w:rStyle w:val="a9"/>
                <w:rFonts w:ascii="楷体" w:eastAsia="楷体" w:hAnsi="楷体"/>
                <w:b/>
                <w:noProof/>
              </w:rPr>
              <w:t>铝：库存拐入累库，铝价上方承压</w:t>
            </w:r>
          </w:hyperlink>
        </w:p>
        <w:p w:rsidR="009B0D7B" w:rsidRDefault="009B0D7B">
          <w:pPr>
            <w:pStyle w:val="23"/>
            <w:tabs>
              <w:tab w:val="right" w:leader="dot" w:pos="8296"/>
            </w:tabs>
            <w:rPr>
              <w:rFonts w:eastAsiaTheme="minorEastAsia"/>
              <w:noProof/>
              <w:szCs w:val="22"/>
            </w:rPr>
          </w:pPr>
          <w:hyperlink w:anchor="_Toc138927964" w:history="1">
            <w:r w:rsidRPr="00947090">
              <w:rPr>
                <w:rStyle w:val="a9"/>
                <w:rFonts w:ascii="楷体" w:eastAsia="楷体" w:hAnsi="楷体"/>
                <w:b/>
                <w:noProof/>
              </w:rPr>
              <w:t>锌：供强需弱格局延续，锌价仍有下行驱动</w:t>
            </w:r>
          </w:hyperlink>
        </w:p>
        <w:p w:rsidR="009B0D7B" w:rsidRDefault="009B0D7B">
          <w:pPr>
            <w:pStyle w:val="23"/>
            <w:tabs>
              <w:tab w:val="right" w:leader="dot" w:pos="8296"/>
            </w:tabs>
            <w:rPr>
              <w:rFonts w:eastAsiaTheme="minorEastAsia"/>
              <w:noProof/>
              <w:szCs w:val="22"/>
            </w:rPr>
          </w:pPr>
          <w:hyperlink w:anchor="_Toc138927965" w:history="1">
            <w:r w:rsidRPr="00947090">
              <w:rPr>
                <w:rStyle w:val="a9"/>
                <w:rFonts w:ascii="楷体" w:eastAsia="楷体" w:hAnsi="楷体"/>
                <w:b/>
                <w:noProof/>
              </w:rPr>
              <w:t>镍：镍价仍将承压运行，短线空单继续持有</w:t>
            </w:r>
          </w:hyperlink>
        </w:p>
        <w:p w:rsidR="009B0D7B" w:rsidRDefault="009B0D7B">
          <w:pPr>
            <w:pStyle w:val="23"/>
            <w:tabs>
              <w:tab w:val="right" w:leader="dot" w:pos="8296"/>
            </w:tabs>
            <w:rPr>
              <w:rFonts w:eastAsiaTheme="minorEastAsia"/>
              <w:noProof/>
              <w:szCs w:val="22"/>
            </w:rPr>
          </w:pPr>
          <w:hyperlink w:anchor="_Toc138927966" w:history="1">
            <w:r w:rsidRPr="00947090">
              <w:rPr>
                <w:rStyle w:val="a9"/>
                <w:rFonts w:ascii="楷体" w:eastAsia="楷体" w:hAnsi="楷体"/>
                <w:b/>
                <w:noProof/>
              </w:rPr>
              <w:t>铅：宏观叠加基本面影响铝价走势偏空</w:t>
            </w:r>
          </w:hyperlink>
        </w:p>
        <w:p w:rsidR="009B0D7B" w:rsidRDefault="009B0D7B">
          <w:pPr>
            <w:pStyle w:val="23"/>
            <w:tabs>
              <w:tab w:val="right" w:leader="dot" w:pos="8296"/>
            </w:tabs>
            <w:rPr>
              <w:rFonts w:eastAsiaTheme="minorEastAsia"/>
              <w:noProof/>
              <w:szCs w:val="22"/>
            </w:rPr>
          </w:pPr>
          <w:hyperlink w:anchor="_Toc138927967" w:history="1">
            <w:r w:rsidRPr="00947090">
              <w:rPr>
                <w:rStyle w:val="a9"/>
                <w:rFonts w:ascii="楷体" w:eastAsia="楷体" w:hAnsi="楷体"/>
                <w:b/>
                <w:noProof/>
              </w:rPr>
              <w:t>不锈钢：需求淡季下社库转增，SS承压运行</w:t>
            </w:r>
          </w:hyperlink>
        </w:p>
        <w:p w:rsidR="009B0D7B" w:rsidRDefault="009B0D7B">
          <w:pPr>
            <w:pStyle w:val="23"/>
            <w:tabs>
              <w:tab w:val="right" w:leader="dot" w:pos="8296"/>
            </w:tabs>
            <w:rPr>
              <w:rFonts w:eastAsiaTheme="minorEastAsia"/>
              <w:noProof/>
              <w:szCs w:val="22"/>
            </w:rPr>
          </w:pPr>
          <w:hyperlink w:anchor="_Toc138927968" w:history="1">
            <w:r w:rsidRPr="00947090">
              <w:rPr>
                <w:rStyle w:val="a9"/>
                <w:rFonts w:ascii="楷体" w:eastAsia="楷体" w:hAnsi="楷体"/>
                <w:b/>
                <w:noProof/>
              </w:rPr>
              <w:t>工业硅：单边驱动因素不足，短期或震荡为主</w:t>
            </w:r>
          </w:hyperlink>
        </w:p>
        <w:p w:rsidR="009B0D7B" w:rsidRDefault="009B0D7B">
          <w:pPr>
            <w:pStyle w:val="11"/>
            <w:tabs>
              <w:tab w:val="right" w:leader="dot" w:pos="8296"/>
            </w:tabs>
            <w:rPr>
              <w:rFonts w:eastAsiaTheme="minorEastAsia"/>
              <w:noProof/>
              <w:szCs w:val="22"/>
            </w:rPr>
          </w:pPr>
          <w:hyperlink w:anchor="_Toc138927969" w:history="1">
            <w:r w:rsidRPr="00947090">
              <w:rPr>
                <w:rStyle w:val="a9"/>
                <w:rFonts w:ascii="Times New Roman" w:eastAsia="楷体" w:hAnsi="Times New Roman"/>
                <w:b/>
                <w:noProof/>
              </w:rPr>
              <w:t>[</w:t>
            </w:r>
            <w:r w:rsidRPr="00947090">
              <w:rPr>
                <w:rStyle w:val="a9"/>
                <w:rFonts w:ascii="Times New Roman" w:eastAsia="楷体" w:hAnsi="Times New Roman"/>
                <w:b/>
                <w:noProof/>
              </w:rPr>
              <w:t>化工</w:t>
            </w:r>
            <w:r w:rsidRPr="00947090">
              <w:rPr>
                <w:rStyle w:val="a9"/>
                <w:rFonts w:ascii="Times New Roman" w:eastAsia="楷体" w:hAnsi="Times New Roman"/>
                <w:b/>
                <w:noProof/>
              </w:rPr>
              <w:t>]</w:t>
            </w:r>
          </w:hyperlink>
        </w:p>
        <w:p w:rsidR="009B0D7B" w:rsidRDefault="009B0D7B">
          <w:pPr>
            <w:pStyle w:val="23"/>
            <w:tabs>
              <w:tab w:val="right" w:leader="dot" w:pos="8296"/>
            </w:tabs>
            <w:rPr>
              <w:rFonts w:eastAsiaTheme="minorEastAsia"/>
              <w:noProof/>
              <w:szCs w:val="22"/>
            </w:rPr>
          </w:pPr>
          <w:hyperlink w:anchor="_Toc138927970" w:history="1">
            <w:r w:rsidRPr="00947090">
              <w:rPr>
                <w:rStyle w:val="a9"/>
                <w:rFonts w:ascii="Times New Roman" w:eastAsia="楷体" w:hAnsi="Times New Roman"/>
                <w:b/>
                <w:noProof/>
              </w:rPr>
              <w:t>天然橡胶</w:t>
            </w:r>
            <w:r w:rsidRPr="00947090">
              <w:rPr>
                <w:rStyle w:val="a9"/>
                <w:rFonts w:ascii="Times New Roman" w:eastAsia="楷体" w:hAnsi="Times New Roman"/>
                <w:b/>
                <w:noProof/>
              </w:rPr>
              <w:t>:</w:t>
            </w:r>
            <w:r w:rsidRPr="00947090">
              <w:rPr>
                <w:rStyle w:val="a9"/>
                <w:rFonts w:ascii="楷体" w:eastAsia="楷体" w:hAnsi="楷体"/>
                <w:b/>
                <w:noProof/>
              </w:rPr>
              <w:t xml:space="preserve"> 天胶市场无明显利好，RU维持震荡走势为主</w:t>
            </w:r>
          </w:hyperlink>
        </w:p>
        <w:p w:rsidR="009B0D7B" w:rsidRDefault="009B0D7B">
          <w:pPr>
            <w:pStyle w:val="23"/>
            <w:tabs>
              <w:tab w:val="right" w:leader="dot" w:pos="8296"/>
            </w:tabs>
            <w:rPr>
              <w:rFonts w:eastAsiaTheme="minorEastAsia"/>
              <w:noProof/>
              <w:szCs w:val="22"/>
            </w:rPr>
          </w:pPr>
          <w:hyperlink w:anchor="_Toc138927971" w:history="1">
            <w:r w:rsidRPr="00947090">
              <w:rPr>
                <w:rStyle w:val="a9"/>
                <w:rFonts w:ascii="楷体" w:eastAsia="楷体" w:hAnsi="楷体"/>
                <w:b/>
                <w:noProof/>
              </w:rPr>
              <w:t xml:space="preserve">PTA：供需矛盾不明显 </w:t>
            </w:r>
            <w:r w:rsidRPr="00947090">
              <w:rPr>
                <w:rStyle w:val="a9"/>
                <w:rFonts w:ascii="Calibri" w:eastAsia="楷体" w:hAnsi="Calibri" w:cs="Calibri"/>
                <w:b/>
                <w:noProof/>
              </w:rPr>
              <w:t> </w:t>
            </w:r>
            <w:r w:rsidRPr="00947090">
              <w:rPr>
                <w:rStyle w:val="a9"/>
                <w:rFonts w:ascii="楷体" w:eastAsia="楷体" w:hAnsi="楷体"/>
                <w:b/>
                <w:noProof/>
              </w:rPr>
              <w:t>走势由成本端主导</w:t>
            </w:r>
          </w:hyperlink>
        </w:p>
        <w:p w:rsidR="009B0D7B" w:rsidRDefault="009B0D7B">
          <w:pPr>
            <w:pStyle w:val="23"/>
            <w:tabs>
              <w:tab w:val="right" w:leader="dot" w:pos="8296"/>
            </w:tabs>
            <w:rPr>
              <w:rFonts w:eastAsiaTheme="minorEastAsia"/>
              <w:noProof/>
              <w:szCs w:val="22"/>
            </w:rPr>
          </w:pPr>
          <w:hyperlink w:anchor="_Toc138927972" w:history="1">
            <w:r w:rsidRPr="00947090">
              <w:rPr>
                <w:rStyle w:val="a9"/>
                <w:rFonts w:ascii="楷体" w:eastAsia="楷体" w:hAnsi="楷体"/>
                <w:b/>
                <w:noProof/>
              </w:rPr>
              <w:t>PVC：高库存+弱复苏 驱动不足</w:t>
            </w:r>
          </w:hyperlink>
        </w:p>
        <w:p w:rsidR="009B0D7B" w:rsidRDefault="009B0D7B">
          <w:pPr>
            <w:pStyle w:val="23"/>
            <w:tabs>
              <w:tab w:val="right" w:leader="dot" w:pos="8296"/>
            </w:tabs>
            <w:rPr>
              <w:rFonts w:eastAsiaTheme="minorEastAsia"/>
              <w:noProof/>
              <w:szCs w:val="22"/>
            </w:rPr>
          </w:pPr>
          <w:hyperlink w:anchor="_Toc138927973" w:history="1">
            <w:r w:rsidRPr="00947090">
              <w:rPr>
                <w:rStyle w:val="a9"/>
                <w:rFonts w:ascii="楷体" w:eastAsia="楷体" w:hAnsi="楷体"/>
                <w:b/>
                <w:noProof/>
              </w:rPr>
              <w:t>聚烯烃：装置检修减少，聚烯烃或震荡整理</w:t>
            </w:r>
          </w:hyperlink>
        </w:p>
        <w:p w:rsidR="009B0D7B" w:rsidRDefault="009B0D7B">
          <w:pPr>
            <w:pStyle w:val="23"/>
            <w:tabs>
              <w:tab w:val="right" w:leader="dot" w:pos="8296"/>
            </w:tabs>
            <w:rPr>
              <w:rFonts w:eastAsiaTheme="minorEastAsia"/>
              <w:noProof/>
              <w:szCs w:val="22"/>
            </w:rPr>
          </w:pPr>
          <w:hyperlink w:anchor="_Toc138927974" w:history="1">
            <w:r w:rsidRPr="00947090">
              <w:rPr>
                <w:rStyle w:val="a9"/>
                <w:rFonts w:ascii="楷体" w:eastAsia="楷体" w:hAnsi="楷体"/>
                <w:b/>
                <w:noProof/>
              </w:rPr>
              <w:t>MEG：供应端压力增量明显 09上行驱动不足</w:t>
            </w:r>
          </w:hyperlink>
        </w:p>
        <w:p w:rsidR="009B0D7B" w:rsidRDefault="009B0D7B">
          <w:pPr>
            <w:pStyle w:val="23"/>
            <w:tabs>
              <w:tab w:val="right" w:leader="dot" w:pos="8296"/>
            </w:tabs>
            <w:rPr>
              <w:rFonts w:eastAsiaTheme="minorEastAsia"/>
              <w:noProof/>
              <w:szCs w:val="22"/>
            </w:rPr>
          </w:pPr>
          <w:hyperlink w:anchor="_Toc138927975" w:history="1">
            <w:r w:rsidRPr="00947090">
              <w:rPr>
                <w:rStyle w:val="a9"/>
                <w:rFonts w:ascii="楷体" w:eastAsia="楷体" w:hAnsi="楷体"/>
                <w:b/>
                <w:noProof/>
              </w:rPr>
              <w:t>玻璃：现货淡季需求弱势，宏观情绪反复扰动</w:t>
            </w:r>
          </w:hyperlink>
        </w:p>
        <w:p w:rsidR="009B0D7B" w:rsidRDefault="009B0D7B">
          <w:pPr>
            <w:pStyle w:val="23"/>
            <w:tabs>
              <w:tab w:val="right" w:leader="dot" w:pos="8296"/>
            </w:tabs>
            <w:rPr>
              <w:rFonts w:eastAsiaTheme="minorEastAsia"/>
              <w:noProof/>
              <w:szCs w:val="22"/>
            </w:rPr>
          </w:pPr>
          <w:hyperlink w:anchor="_Toc138927976" w:history="1">
            <w:r w:rsidRPr="00947090">
              <w:rPr>
                <w:rStyle w:val="a9"/>
                <w:rFonts w:ascii="楷体" w:eastAsia="楷体" w:hAnsi="楷体"/>
                <w:b/>
                <w:noProof/>
              </w:rPr>
              <w:t>纯碱：远兴一期成功投料，空头大幅增仓</w:t>
            </w:r>
          </w:hyperlink>
        </w:p>
        <w:p w:rsidR="009B0D7B" w:rsidRDefault="009B0D7B">
          <w:pPr>
            <w:pStyle w:val="11"/>
            <w:tabs>
              <w:tab w:val="right" w:leader="dot" w:pos="8296"/>
            </w:tabs>
            <w:rPr>
              <w:rFonts w:eastAsiaTheme="minorEastAsia"/>
              <w:noProof/>
              <w:szCs w:val="22"/>
            </w:rPr>
          </w:pPr>
          <w:hyperlink w:anchor="_Toc138927977" w:history="1">
            <w:r w:rsidRPr="00947090">
              <w:rPr>
                <w:rStyle w:val="a9"/>
                <w:rFonts w:ascii="Times New Roman" w:eastAsia="楷体" w:hAnsi="Times New Roman"/>
                <w:b/>
                <w:noProof/>
              </w:rPr>
              <w:t>[</w:t>
            </w:r>
            <w:r w:rsidRPr="00947090">
              <w:rPr>
                <w:rStyle w:val="a9"/>
                <w:rFonts w:ascii="Times New Roman" w:eastAsia="楷体" w:hAnsi="Times New Roman"/>
                <w:b/>
                <w:noProof/>
              </w:rPr>
              <w:t>农产品</w:t>
            </w:r>
            <w:r w:rsidRPr="00947090">
              <w:rPr>
                <w:rStyle w:val="a9"/>
                <w:rFonts w:ascii="Times New Roman" w:eastAsia="楷体" w:hAnsi="Times New Roman"/>
                <w:b/>
                <w:noProof/>
              </w:rPr>
              <w:t>]</w:t>
            </w:r>
          </w:hyperlink>
        </w:p>
        <w:p w:rsidR="009B0D7B" w:rsidRDefault="009B0D7B">
          <w:pPr>
            <w:pStyle w:val="23"/>
            <w:tabs>
              <w:tab w:val="right" w:leader="dot" w:pos="8296"/>
            </w:tabs>
            <w:rPr>
              <w:rFonts w:eastAsiaTheme="minorEastAsia"/>
              <w:noProof/>
              <w:szCs w:val="22"/>
            </w:rPr>
          </w:pPr>
          <w:hyperlink w:anchor="_Toc138927978" w:history="1">
            <w:r w:rsidRPr="00947090">
              <w:rPr>
                <w:rStyle w:val="a9"/>
                <w:rFonts w:ascii="楷体" w:eastAsia="楷体" w:hAnsi="楷体"/>
                <w:b/>
                <w:noProof/>
              </w:rPr>
              <w:t>豆粕/菜粕：美豆回吐天气升水，内盘承压</w:t>
            </w:r>
          </w:hyperlink>
        </w:p>
        <w:p w:rsidR="009B0D7B" w:rsidRDefault="009B0D7B">
          <w:pPr>
            <w:pStyle w:val="23"/>
            <w:tabs>
              <w:tab w:val="right" w:leader="dot" w:pos="8296"/>
            </w:tabs>
            <w:rPr>
              <w:rFonts w:eastAsiaTheme="minorEastAsia"/>
              <w:noProof/>
              <w:szCs w:val="22"/>
            </w:rPr>
          </w:pPr>
          <w:hyperlink w:anchor="_Toc138927979" w:history="1">
            <w:r w:rsidRPr="00947090">
              <w:rPr>
                <w:rStyle w:val="a9"/>
                <w:rFonts w:ascii="楷体" w:eastAsia="楷体" w:hAnsi="楷体"/>
                <w:b/>
                <w:noProof/>
              </w:rPr>
              <w:t>油脂：油脂基本面存在差异，短期压力仍存</w:t>
            </w:r>
          </w:hyperlink>
        </w:p>
        <w:p w:rsidR="009B0D7B" w:rsidRDefault="009B0D7B">
          <w:pPr>
            <w:pStyle w:val="23"/>
            <w:tabs>
              <w:tab w:val="right" w:leader="dot" w:pos="8296"/>
            </w:tabs>
            <w:rPr>
              <w:rFonts w:eastAsiaTheme="minorEastAsia"/>
              <w:noProof/>
              <w:szCs w:val="22"/>
            </w:rPr>
          </w:pPr>
          <w:hyperlink w:anchor="_Toc138927980" w:history="1">
            <w:r w:rsidRPr="00947090">
              <w:rPr>
                <w:rStyle w:val="a9"/>
                <w:rFonts w:ascii="楷体" w:eastAsia="楷体" w:hAnsi="楷体"/>
                <w:b/>
                <w:bCs/>
                <w:noProof/>
              </w:rPr>
              <w:t>玉米与淀粉：</w:t>
            </w:r>
            <w:r w:rsidRPr="00947090">
              <w:rPr>
                <w:rStyle w:val="a9"/>
                <w:rFonts w:ascii="楷体" w:eastAsia="楷体" w:hAnsi="楷体"/>
                <w:b/>
                <w:noProof/>
              </w:rPr>
              <w:t>外盘天气炒作熄火，但旧作被动补库存逻辑依然存在</w:t>
            </w:r>
          </w:hyperlink>
        </w:p>
        <w:p w:rsidR="009B0D7B" w:rsidRDefault="009B0D7B">
          <w:pPr>
            <w:pStyle w:val="23"/>
            <w:tabs>
              <w:tab w:val="right" w:leader="dot" w:pos="8296"/>
            </w:tabs>
            <w:rPr>
              <w:rFonts w:eastAsiaTheme="minorEastAsia"/>
              <w:noProof/>
              <w:szCs w:val="22"/>
            </w:rPr>
          </w:pPr>
          <w:hyperlink w:anchor="_Toc138927981" w:history="1">
            <w:r w:rsidRPr="00947090">
              <w:rPr>
                <w:rStyle w:val="a9"/>
                <w:rFonts w:ascii="楷体" w:eastAsia="楷体" w:hAnsi="楷体"/>
                <w:b/>
                <w:bCs/>
                <w:noProof/>
              </w:rPr>
              <w:t>畜禽养殖：生猪现货带动期价继续近弱远强分化运行</w:t>
            </w:r>
          </w:hyperlink>
        </w:p>
        <w:p w:rsidR="009B0D7B" w:rsidRDefault="009B0D7B">
          <w:pPr>
            <w:pStyle w:val="23"/>
            <w:tabs>
              <w:tab w:val="right" w:leader="dot" w:pos="8296"/>
            </w:tabs>
            <w:rPr>
              <w:rFonts w:eastAsiaTheme="minorEastAsia"/>
              <w:noProof/>
              <w:szCs w:val="22"/>
            </w:rPr>
          </w:pPr>
          <w:hyperlink w:anchor="_Toc138927982" w:history="1">
            <w:r w:rsidRPr="00947090">
              <w:rPr>
                <w:rStyle w:val="a9"/>
                <w:rFonts w:ascii="楷体" w:eastAsia="楷体" w:hAnsi="楷体"/>
                <w:b/>
                <w:noProof/>
              </w:rPr>
              <w:t>郑棉：预计09合约16000-16500区间震荡，卖出看跌期权或卖权持有</w:t>
            </w:r>
          </w:hyperlink>
        </w:p>
        <w:p w:rsidR="003F56A5" w:rsidRPr="008F2A6E" w:rsidRDefault="00CC3FFA">
          <w:r>
            <w:rPr>
              <w:bCs/>
            </w:rPr>
            <w:fldChar w:fldCharType="end"/>
          </w:r>
        </w:p>
      </w:sdtContent>
    </w:sdt>
    <w:p w:rsidR="003F56A5" w:rsidRDefault="003F56A5">
      <w:pPr>
        <w:rPr>
          <w:rFonts w:ascii="Times New Roman" w:eastAsia="楷体" w:hAnsi="Times New Roman" w:cs="Times New Roman"/>
          <w:b/>
          <w:color w:val="823C0B"/>
          <w:sz w:val="24"/>
        </w:rPr>
      </w:pPr>
    </w:p>
    <w:p w:rsidR="003F56A5" w:rsidRDefault="003F56A5">
      <w:pPr>
        <w:rPr>
          <w:rFonts w:ascii="Times New Roman" w:eastAsia="楷体" w:hAnsi="Times New Roman" w:cs="Times New Roman"/>
          <w:b/>
          <w:color w:val="823C0B"/>
          <w:sz w:val="24"/>
        </w:rPr>
      </w:pPr>
    </w:p>
    <w:p w:rsidR="003F56A5" w:rsidRDefault="00CC3FFA">
      <w:pPr>
        <w:rPr>
          <w:rFonts w:ascii="Times New Roman" w:eastAsia="楷体" w:hAnsi="Times New Roman" w:cs="Times New Roman"/>
          <w:b/>
          <w:color w:val="823C0B"/>
          <w:sz w:val="24"/>
        </w:rPr>
        <w:sectPr w:rsidR="003F56A5">
          <w:headerReference w:type="default" r:id="rId9"/>
          <w:footerReference w:type="default" r:id="rId10"/>
          <w:headerReference w:type="first" r:id="rId11"/>
          <w:pgSz w:w="11906" w:h="16838"/>
          <w:pgMar w:top="1440" w:right="1800" w:bottom="1440" w:left="1800" w:header="850" w:footer="1077" w:gutter="0"/>
          <w:cols w:space="425"/>
          <w:titlePg/>
          <w:docGrid w:type="lines" w:linePitch="312"/>
        </w:sectPr>
      </w:pPr>
      <w:r>
        <w:rPr>
          <w:rFonts w:ascii="Times New Roman" w:eastAsia="楷体" w:hAnsi="Times New Roman" w:cs="Times New Roman" w:hint="eastAsia"/>
          <w:b/>
          <w:color w:val="823C0B"/>
          <w:sz w:val="24"/>
        </w:rPr>
        <w:t>本文观点、结论和建议等仅供参考，并不构成操作依据！请阅读文末免责声明。</w:t>
      </w:r>
    </w:p>
    <w:p w:rsidR="003F56A5" w:rsidRDefault="003F56A5">
      <w:pPr>
        <w:rPr>
          <w:rFonts w:ascii="Times New Roman" w:eastAsia="楷体" w:hAnsi="Times New Roman" w:cs="Times New Roman"/>
          <w:b/>
          <w:color w:val="823C0B"/>
          <w:sz w:val="24"/>
        </w:rPr>
      </w:pPr>
    </w:p>
    <w:p w:rsidR="003F56A5" w:rsidRDefault="00CC3FFA">
      <w:pPr>
        <w:jc w:val="center"/>
        <w:rPr>
          <w:rFonts w:ascii="Times New Roman" w:eastAsia="楷体" w:hAnsi="Times New Roman"/>
          <w:b/>
          <w:color w:val="823C0B"/>
          <w:sz w:val="30"/>
          <w:szCs w:val="30"/>
        </w:rPr>
      </w:pPr>
      <w:r>
        <w:rPr>
          <w:rFonts w:ascii="Times New Roman" w:eastAsia="楷体" w:hAnsi="Times New Roman" w:hint="eastAsia"/>
          <w:b/>
          <w:color w:val="823C0B"/>
          <w:sz w:val="30"/>
          <w:szCs w:val="30"/>
        </w:rPr>
        <w:t>本日早评</w:t>
      </w:r>
    </w:p>
    <w:p w:rsidR="003F56A5" w:rsidRDefault="00CC3FFA">
      <w:pPr>
        <w:pBdr>
          <w:top w:val="single" w:sz="4" w:space="0" w:color="auto"/>
        </w:pBdr>
        <w:outlineLvl w:val="0"/>
        <w:rPr>
          <w:rFonts w:ascii="Times New Roman" w:eastAsia="楷体" w:hAnsi="Times New Roman"/>
          <w:b/>
          <w:color w:val="823C0B"/>
        </w:rPr>
      </w:pPr>
      <w:bookmarkStart w:id="2" w:name="_Toc19317"/>
      <w:bookmarkStart w:id="3" w:name="_Toc18033"/>
      <w:bookmarkStart w:id="4" w:name="金融"/>
      <w:bookmarkStart w:id="5" w:name="_Toc138927954"/>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金融</w:t>
      </w:r>
      <w:r>
        <w:rPr>
          <w:rFonts w:ascii="Times New Roman" w:eastAsia="楷体" w:hAnsi="Times New Roman" w:hint="eastAsia"/>
          <w:b/>
          <w:color w:val="823C0B"/>
          <w:sz w:val="30"/>
          <w:szCs w:val="30"/>
        </w:rPr>
        <w:t>]</w:t>
      </w:r>
      <w:bookmarkEnd w:id="2"/>
      <w:bookmarkEnd w:id="3"/>
      <w:bookmarkEnd w:id="5"/>
    </w:p>
    <w:p w:rsidR="003F56A5" w:rsidRDefault="00CC3FFA">
      <w:pPr>
        <w:ind w:leftChars="200" w:left="420"/>
        <w:outlineLvl w:val="1"/>
        <w:rPr>
          <w:rFonts w:ascii="Times New Roman" w:eastAsia="楷体" w:hAnsi="Times New Roman"/>
          <w:b/>
          <w:color w:val="000000" w:themeColor="text1"/>
          <w:sz w:val="24"/>
          <w:szCs w:val="24"/>
        </w:rPr>
      </w:pPr>
      <w:bookmarkStart w:id="6" w:name="_Toc965"/>
      <w:bookmarkStart w:id="7" w:name="_Toc16295"/>
      <w:bookmarkStart w:id="8" w:name="_Toc138927955"/>
      <w:bookmarkEnd w:id="4"/>
      <w:r>
        <w:rPr>
          <w:rFonts w:ascii="Times New Roman" w:eastAsia="楷体" w:hAnsi="Times New Roman" w:hint="eastAsia"/>
          <w:b/>
          <w:color w:val="000000" w:themeColor="text1"/>
          <w:sz w:val="24"/>
          <w:szCs w:val="24"/>
        </w:rPr>
        <w:t>股指：</w:t>
      </w:r>
      <w:bookmarkEnd w:id="6"/>
      <w:bookmarkEnd w:id="7"/>
      <w:r w:rsidR="00D32D2F" w:rsidRPr="00D32D2F">
        <w:rPr>
          <w:rFonts w:ascii="Times New Roman" w:eastAsia="楷体" w:hAnsi="Times New Roman" w:hint="eastAsia"/>
          <w:b/>
          <w:color w:val="000000" w:themeColor="text1"/>
          <w:sz w:val="24"/>
          <w:szCs w:val="24"/>
        </w:rPr>
        <w:t>关注</w:t>
      </w:r>
      <w:r w:rsidR="00D32D2F" w:rsidRPr="00D32D2F">
        <w:rPr>
          <w:rFonts w:ascii="Times New Roman" w:eastAsia="楷体" w:hAnsi="Times New Roman" w:hint="eastAsia"/>
          <w:b/>
          <w:color w:val="000000" w:themeColor="text1"/>
          <w:sz w:val="24"/>
          <w:szCs w:val="24"/>
        </w:rPr>
        <w:t>IM</w:t>
      </w:r>
      <w:r w:rsidR="00D32D2F" w:rsidRPr="00D32D2F">
        <w:rPr>
          <w:rFonts w:ascii="Times New Roman" w:eastAsia="楷体" w:hAnsi="Times New Roman" w:hint="eastAsia"/>
          <w:b/>
          <w:color w:val="000000" w:themeColor="text1"/>
          <w:sz w:val="24"/>
          <w:szCs w:val="24"/>
        </w:rPr>
        <w:t>低多机会</w:t>
      </w:r>
      <w:bookmarkEnd w:id="8"/>
    </w:p>
    <w:p w:rsidR="003F56A5" w:rsidRDefault="00D32D2F">
      <w:pPr>
        <w:ind w:leftChars="300" w:left="630"/>
        <w:rPr>
          <w:rFonts w:ascii="Times New Roman" w:eastAsia="楷体" w:hAnsi="Times New Roman"/>
          <w:color w:val="000000" w:themeColor="text1"/>
          <w:sz w:val="24"/>
          <w:szCs w:val="24"/>
        </w:rPr>
      </w:pPr>
      <w:r w:rsidRPr="00D32D2F">
        <w:rPr>
          <w:rFonts w:ascii="Times New Roman" w:eastAsia="楷体" w:hAnsi="Times New Roman" w:hint="eastAsia"/>
          <w:color w:val="000000" w:themeColor="text1"/>
          <w:sz w:val="24"/>
          <w:szCs w:val="24"/>
        </w:rPr>
        <w:t>当前人民币汇率仍承压，市场情绪仍未修复的情况下，赚钱效应难以恢复，存量博弈格局短期还将持续，中期看，持续宏观低波动在</w:t>
      </w:r>
      <w:r w:rsidRPr="00D32D2F">
        <w:rPr>
          <w:rFonts w:ascii="Times New Roman" w:eastAsia="楷体" w:hAnsi="Times New Roman" w:hint="eastAsia"/>
          <w:color w:val="000000" w:themeColor="text1"/>
          <w:sz w:val="24"/>
          <w:szCs w:val="24"/>
        </w:rPr>
        <w:t>6</w:t>
      </w:r>
      <w:r w:rsidRPr="00D32D2F">
        <w:rPr>
          <w:rFonts w:ascii="Times New Roman" w:eastAsia="楷体" w:hAnsi="Times New Roman" w:hint="eastAsia"/>
          <w:color w:val="000000" w:themeColor="text1"/>
          <w:sz w:val="24"/>
          <w:szCs w:val="24"/>
        </w:rPr>
        <w:t>月降息后已被打破，近期政策预期继续发酵，指数估值皆处低位，短线关注沪指</w:t>
      </w:r>
      <w:r w:rsidRPr="00D32D2F">
        <w:rPr>
          <w:rFonts w:ascii="Times New Roman" w:eastAsia="楷体" w:hAnsi="Times New Roman" w:hint="eastAsia"/>
          <w:color w:val="000000" w:themeColor="text1"/>
          <w:sz w:val="24"/>
          <w:szCs w:val="24"/>
        </w:rPr>
        <w:t>3130</w:t>
      </w:r>
      <w:r w:rsidRPr="00D32D2F">
        <w:rPr>
          <w:rFonts w:ascii="Times New Roman" w:eastAsia="楷体" w:hAnsi="Times New Roman" w:hint="eastAsia"/>
          <w:color w:val="000000" w:themeColor="text1"/>
          <w:sz w:val="24"/>
          <w:szCs w:val="24"/>
        </w:rPr>
        <w:t>缺口是否回补及低位布局机会</w:t>
      </w:r>
      <w:r w:rsidR="00CC3FFA">
        <w:rPr>
          <w:rFonts w:ascii="Times New Roman" w:eastAsia="楷体" w:hAnsi="Times New Roman" w:hint="eastAsia"/>
          <w:color w:val="000000" w:themeColor="text1"/>
          <w:sz w:val="24"/>
          <w:szCs w:val="24"/>
        </w:rPr>
        <w:t>。</w:t>
      </w:r>
    </w:p>
    <w:p w:rsidR="003F56A5" w:rsidRDefault="003F56A5">
      <w:pPr>
        <w:ind w:leftChars="300" w:left="630"/>
        <w:rPr>
          <w:rFonts w:ascii="Times New Roman" w:eastAsia="楷体" w:hAnsi="Times New Roman"/>
          <w:color w:val="000000" w:themeColor="text1"/>
          <w:sz w:val="24"/>
          <w:szCs w:val="24"/>
        </w:rPr>
      </w:pPr>
    </w:p>
    <w:p w:rsidR="003F56A5" w:rsidRDefault="00CC3FFA">
      <w:pPr>
        <w:pBdr>
          <w:top w:val="single" w:sz="4" w:space="0" w:color="auto"/>
        </w:pBdr>
        <w:outlineLvl w:val="0"/>
        <w:rPr>
          <w:rFonts w:ascii="Times New Roman" w:eastAsia="楷体" w:hAnsi="Times New Roman"/>
          <w:b/>
          <w:color w:val="823C0B"/>
        </w:rPr>
      </w:pPr>
      <w:bookmarkStart w:id="9" w:name="_Toc138927956"/>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贵金属</w:t>
      </w:r>
      <w:r>
        <w:rPr>
          <w:rFonts w:ascii="Times New Roman" w:eastAsia="楷体" w:hAnsi="Times New Roman" w:hint="eastAsia"/>
          <w:b/>
          <w:color w:val="823C0B"/>
          <w:sz w:val="30"/>
          <w:szCs w:val="30"/>
        </w:rPr>
        <w:t>]</w:t>
      </w:r>
      <w:bookmarkEnd w:id="9"/>
    </w:p>
    <w:p w:rsidR="003F56A5" w:rsidRDefault="00CC3FFA">
      <w:pPr>
        <w:ind w:leftChars="200" w:left="420"/>
        <w:outlineLvl w:val="1"/>
        <w:rPr>
          <w:rFonts w:ascii="Times New Roman" w:eastAsia="楷体" w:hAnsi="Times New Roman"/>
          <w:b/>
          <w:color w:val="000000" w:themeColor="text1"/>
          <w:sz w:val="24"/>
          <w:szCs w:val="24"/>
        </w:rPr>
      </w:pPr>
      <w:bookmarkStart w:id="10" w:name="_Toc138927957"/>
      <w:r>
        <w:rPr>
          <w:rFonts w:ascii="Times New Roman" w:eastAsia="楷体" w:hAnsi="Times New Roman" w:hint="eastAsia"/>
          <w:b/>
          <w:color w:val="000000" w:themeColor="text1"/>
          <w:sz w:val="24"/>
          <w:szCs w:val="24"/>
        </w:rPr>
        <w:t>贵金属：</w:t>
      </w:r>
      <w:r w:rsidR="00D32D2F" w:rsidRPr="00D32D2F">
        <w:rPr>
          <w:rFonts w:ascii="Times New Roman" w:eastAsia="楷体" w:hAnsi="Times New Roman" w:hint="eastAsia"/>
          <w:b/>
          <w:color w:val="000000" w:themeColor="text1"/>
          <w:sz w:val="24"/>
          <w:szCs w:val="24"/>
        </w:rPr>
        <w:t>美联储主席鹰派发声，贵金属价格小幅下跌</w:t>
      </w:r>
      <w:bookmarkEnd w:id="10"/>
    </w:p>
    <w:p w:rsidR="003F56A5" w:rsidRDefault="00D32D2F">
      <w:pPr>
        <w:ind w:leftChars="300" w:left="630"/>
        <w:rPr>
          <w:rFonts w:ascii="Times New Roman" w:eastAsia="楷体" w:hAnsi="Times New Roman"/>
          <w:sz w:val="24"/>
          <w:szCs w:val="24"/>
        </w:rPr>
      </w:pPr>
      <w:r w:rsidRPr="00D32D2F">
        <w:rPr>
          <w:rFonts w:ascii="Times New Roman" w:eastAsia="楷体" w:hAnsi="Times New Roman" w:hint="eastAsia"/>
          <w:color w:val="000000" w:themeColor="text1"/>
          <w:sz w:val="24"/>
          <w:szCs w:val="24"/>
        </w:rPr>
        <w:t>美联储主席鲍威尔讲话称，预计货币政策将进一步收紧，暗示未来连续进行两次加息的可能性，预计</w:t>
      </w:r>
      <w:r w:rsidRPr="00D32D2F">
        <w:rPr>
          <w:rFonts w:ascii="Times New Roman" w:eastAsia="楷体" w:hAnsi="Times New Roman" w:hint="eastAsia"/>
          <w:color w:val="000000" w:themeColor="text1"/>
          <w:sz w:val="24"/>
          <w:szCs w:val="24"/>
        </w:rPr>
        <w:t>2025</w:t>
      </w:r>
      <w:r w:rsidRPr="00D32D2F">
        <w:rPr>
          <w:rFonts w:ascii="Times New Roman" w:eastAsia="楷体" w:hAnsi="Times New Roman" w:hint="eastAsia"/>
          <w:color w:val="000000" w:themeColor="text1"/>
          <w:sz w:val="24"/>
          <w:szCs w:val="24"/>
        </w:rPr>
        <w:t>年美国核心通胀降至</w:t>
      </w:r>
      <w:r w:rsidRPr="00D32D2F">
        <w:rPr>
          <w:rFonts w:ascii="Times New Roman" w:eastAsia="楷体" w:hAnsi="Times New Roman" w:hint="eastAsia"/>
          <w:color w:val="000000" w:themeColor="text1"/>
          <w:sz w:val="24"/>
          <w:szCs w:val="24"/>
        </w:rPr>
        <w:t>2%</w:t>
      </w:r>
      <w:r w:rsidRPr="00D32D2F">
        <w:rPr>
          <w:rFonts w:ascii="Times New Roman" w:eastAsia="楷体" w:hAnsi="Times New Roman" w:hint="eastAsia"/>
          <w:color w:val="000000" w:themeColor="text1"/>
          <w:sz w:val="24"/>
          <w:szCs w:val="24"/>
        </w:rPr>
        <w:t>。受此影响，昨夜</w:t>
      </w:r>
      <w:r w:rsidRPr="00D32D2F">
        <w:rPr>
          <w:rFonts w:ascii="Times New Roman" w:eastAsia="楷体" w:hAnsi="Times New Roman" w:hint="eastAsia"/>
          <w:color w:val="000000" w:themeColor="text1"/>
          <w:sz w:val="24"/>
          <w:szCs w:val="24"/>
        </w:rPr>
        <w:t>COMEX</w:t>
      </w:r>
      <w:r w:rsidRPr="00D32D2F">
        <w:rPr>
          <w:rFonts w:ascii="Times New Roman" w:eastAsia="楷体" w:hAnsi="Times New Roman" w:hint="eastAsia"/>
          <w:color w:val="000000" w:themeColor="text1"/>
          <w:sz w:val="24"/>
          <w:szCs w:val="24"/>
        </w:rPr>
        <w:t>金价小幅下跌至</w:t>
      </w:r>
      <w:r w:rsidRPr="00D32D2F">
        <w:rPr>
          <w:rFonts w:ascii="Times New Roman" w:eastAsia="楷体" w:hAnsi="Times New Roman" w:hint="eastAsia"/>
          <w:color w:val="000000" w:themeColor="text1"/>
          <w:sz w:val="24"/>
          <w:szCs w:val="24"/>
        </w:rPr>
        <w:t>1916</w:t>
      </w:r>
      <w:r w:rsidRPr="00D32D2F">
        <w:rPr>
          <w:rFonts w:ascii="Times New Roman" w:eastAsia="楷体" w:hAnsi="Times New Roman" w:hint="eastAsia"/>
          <w:color w:val="000000" w:themeColor="text1"/>
          <w:sz w:val="24"/>
          <w:szCs w:val="24"/>
        </w:rPr>
        <w:t>美元</w:t>
      </w:r>
      <w:r w:rsidRPr="00D32D2F">
        <w:rPr>
          <w:rFonts w:ascii="Times New Roman" w:eastAsia="楷体" w:hAnsi="Times New Roman" w:hint="eastAsia"/>
          <w:color w:val="000000" w:themeColor="text1"/>
          <w:sz w:val="24"/>
          <w:szCs w:val="24"/>
        </w:rPr>
        <w:t>/</w:t>
      </w:r>
      <w:r w:rsidRPr="00D32D2F">
        <w:rPr>
          <w:rFonts w:ascii="Times New Roman" w:eastAsia="楷体" w:hAnsi="Times New Roman" w:hint="eastAsia"/>
          <w:color w:val="000000" w:themeColor="text1"/>
          <w:sz w:val="24"/>
          <w:szCs w:val="24"/>
        </w:rPr>
        <w:t>盎司，沪金、沪银低位窄幅震荡。欧洲央行副行长金多斯称，确定</w:t>
      </w:r>
      <w:r w:rsidRPr="00D32D2F">
        <w:rPr>
          <w:rFonts w:ascii="Times New Roman" w:eastAsia="楷体" w:hAnsi="Times New Roman" w:hint="eastAsia"/>
          <w:color w:val="000000" w:themeColor="text1"/>
          <w:sz w:val="24"/>
          <w:szCs w:val="24"/>
        </w:rPr>
        <w:t>7</w:t>
      </w:r>
      <w:r w:rsidRPr="00D32D2F">
        <w:rPr>
          <w:rFonts w:ascii="Times New Roman" w:eastAsia="楷体" w:hAnsi="Times New Roman" w:hint="eastAsia"/>
          <w:color w:val="000000" w:themeColor="text1"/>
          <w:sz w:val="24"/>
          <w:szCs w:val="24"/>
        </w:rPr>
        <w:t>月将进行加息，</w:t>
      </w:r>
      <w:r w:rsidRPr="00D32D2F">
        <w:rPr>
          <w:rFonts w:ascii="Times New Roman" w:eastAsia="楷体" w:hAnsi="Times New Roman" w:hint="eastAsia"/>
          <w:color w:val="000000" w:themeColor="text1"/>
          <w:sz w:val="24"/>
          <w:szCs w:val="24"/>
        </w:rPr>
        <w:t>9</w:t>
      </w:r>
      <w:r w:rsidRPr="00D32D2F">
        <w:rPr>
          <w:rFonts w:ascii="Times New Roman" w:eastAsia="楷体" w:hAnsi="Times New Roman" w:hint="eastAsia"/>
          <w:color w:val="000000" w:themeColor="text1"/>
          <w:sz w:val="24"/>
          <w:szCs w:val="24"/>
        </w:rPr>
        <w:t>月是否加息将取决于数据。欧洲央行管委穆勒称，通胀风险偏向上行，当前仍无法对利率终值水平下定论。欧美央行维持鹰派，消息面因素影响下贵金属价格短线略为承压。另一方面，欧美经济增长前景疲弱，下半年海外市场或逐步围绕经济衰退逻辑交易，避险情绪后续或对贵金属价格形成支撑</w:t>
      </w:r>
      <w:r w:rsidR="00CC3FFA">
        <w:rPr>
          <w:rFonts w:ascii="Times New Roman" w:eastAsia="楷体" w:hAnsi="Times New Roman" w:hint="eastAsia"/>
          <w:color w:val="000000" w:themeColor="text1"/>
          <w:sz w:val="24"/>
          <w:szCs w:val="24"/>
        </w:rPr>
        <w:t>。</w:t>
      </w:r>
    </w:p>
    <w:p w:rsidR="003F56A5" w:rsidRDefault="003F56A5">
      <w:pPr>
        <w:ind w:leftChars="300" w:left="630"/>
        <w:rPr>
          <w:rFonts w:ascii="Times New Roman" w:eastAsia="楷体" w:hAnsi="Times New Roman"/>
          <w:color w:val="000000" w:themeColor="text1"/>
          <w:sz w:val="24"/>
          <w:szCs w:val="24"/>
        </w:rPr>
      </w:pPr>
    </w:p>
    <w:p w:rsidR="003F56A5" w:rsidRDefault="00CC3FFA">
      <w:pPr>
        <w:pBdr>
          <w:top w:val="single" w:sz="4" w:space="0" w:color="auto"/>
        </w:pBdr>
        <w:outlineLvl w:val="0"/>
        <w:rPr>
          <w:rFonts w:ascii="Times New Roman" w:eastAsia="楷体" w:hAnsi="Times New Roman"/>
          <w:b/>
          <w:color w:val="823C0B"/>
          <w:sz w:val="30"/>
          <w:szCs w:val="30"/>
        </w:rPr>
      </w:pPr>
      <w:bookmarkStart w:id="11" w:name="_Toc3096"/>
      <w:bookmarkStart w:id="12" w:name="金属"/>
      <w:bookmarkStart w:id="13" w:name="_Toc20891"/>
      <w:bookmarkStart w:id="14" w:name="农产品"/>
      <w:bookmarkStart w:id="15" w:name="_Toc138927958"/>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金属</w:t>
      </w:r>
      <w:r>
        <w:rPr>
          <w:rFonts w:ascii="Times New Roman" w:eastAsia="楷体" w:hAnsi="Times New Roman" w:hint="eastAsia"/>
          <w:b/>
          <w:color w:val="823C0B"/>
          <w:sz w:val="30"/>
          <w:szCs w:val="30"/>
        </w:rPr>
        <w:t>]</w:t>
      </w:r>
      <w:bookmarkEnd w:id="11"/>
      <w:bookmarkEnd w:id="12"/>
      <w:bookmarkEnd w:id="13"/>
      <w:bookmarkEnd w:id="15"/>
    </w:p>
    <w:p w:rsidR="003F56A5" w:rsidRDefault="00CC3FFA">
      <w:pPr>
        <w:ind w:leftChars="200" w:left="420"/>
        <w:outlineLvl w:val="1"/>
        <w:rPr>
          <w:rFonts w:ascii="楷体" w:eastAsia="楷体" w:hAnsi="楷体"/>
          <w:b/>
          <w:color w:val="000000" w:themeColor="text1"/>
          <w:sz w:val="24"/>
          <w:szCs w:val="24"/>
        </w:rPr>
      </w:pPr>
      <w:bookmarkStart w:id="16" w:name="_Toc27831"/>
      <w:bookmarkStart w:id="17" w:name="_Toc5371"/>
      <w:bookmarkStart w:id="18" w:name="_Toc138927959"/>
      <w:r>
        <w:rPr>
          <w:rFonts w:ascii="楷体" w:eastAsia="楷体" w:hAnsi="楷体" w:hint="eastAsia"/>
          <w:b/>
          <w:color w:val="000000" w:themeColor="text1"/>
          <w:sz w:val="24"/>
          <w:szCs w:val="24"/>
        </w:rPr>
        <w:t>螺纹钢：</w:t>
      </w:r>
      <w:bookmarkEnd w:id="16"/>
      <w:bookmarkEnd w:id="17"/>
      <w:r w:rsidR="00AF54C5" w:rsidRPr="00AF54C5">
        <w:rPr>
          <w:rFonts w:ascii="楷体" w:eastAsia="楷体" w:hAnsi="楷体" w:hint="eastAsia"/>
          <w:b/>
          <w:color w:val="000000" w:themeColor="text1"/>
          <w:sz w:val="24"/>
          <w:szCs w:val="24"/>
        </w:rPr>
        <w:t>铁矿强势驱动钢价偏强运行</w:t>
      </w:r>
      <w:bookmarkEnd w:id="18"/>
    </w:p>
    <w:p w:rsidR="003F56A5" w:rsidRDefault="00AF54C5">
      <w:pPr>
        <w:ind w:leftChars="300" w:left="630"/>
        <w:rPr>
          <w:rFonts w:ascii="楷体" w:eastAsia="楷体" w:hAnsi="楷体"/>
          <w:color w:val="000000" w:themeColor="text1"/>
          <w:sz w:val="24"/>
          <w:szCs w:val="24"/>
        </w:rPr>
      </w:pPr>
      <w:r w:rsidRPr="00AF54C5">
        <w:rPr>
          <w:rFonts w:ascii="楷体" w:eastAsia="楷体" w:hAnsi="楷体" w:hint="eastAsia"/>
          <w:color w:val="000000" w:themeColor="text1"/>
          <w:sz w:val="24"/>
          <w:szCs w:val="24"/>
        </w:rPr>
        <w:t>昨日成交尚可，基本面中性，短期需求、成本仍具有一定韧性，市场价格走势随情绪波动，关注政策出台情况，短期下方成本支撑较强，预计震荡区间（3700,3780）</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Default="00CC3FFA">
      <w:pPr>
        <w:ind w:leftChars="200" w:left="420"/>
        <w:outlineLvl w:val="1"/>
        <w:rPr>
          <w:rFonts w:ascii="楷体" w:eastAsia="楷体" w:hAnsi="楷体"/>
          <w:b/>
          <w:color w:val="000000" w:themeColor="text1"/>
          <w:sz w:val="24"/>
          <w:szCs w:val="24"/>
        </w:rPr>
      </w:pPr>
      <w:bookmarkStart w:id="19" w:name="_Toc4790"/>
      <w:bookmarkStart w:id="20" w:name="_Toc11356"/>
      <w:bookmarkStart w:id="21" w:name="_Toc138927960"/>
      <w:r>
        <w:rPr>
          <w:rFonts w:ascii="楷体" w:eastAsia="楷体" w:hAnsi="楷体" w:hint="eastAsia"/>
          <w:b/>
          <w:color w:val="000000" w:themeColor="text1"/>
          <w:sz w:val="24"/>
          <w:szCs w:val="24"/>
        </w:rPr>
        <w:t>焦炭：</w:t>
      </w:r>
      <w:bookmarkEnd w:id="19"/>
      <w:bookmarkEnd w:id="20"/>
      <w:r w:rsidR="00AF54C5" w:rsidRPr="00AF54C5">
        <w:rPr>
          <w:rFonts w:ascii="楷体" w:eastAsia="楷体" w:hAnsi="楷体" w:hint="eastAsia"/>
          <w:b/>
          <w:color w:val="000000" w:themeColor="text1"/>
          <w:sz w:val="24"/>
          <w:szCs w:val="24"/>
        </w:rPr>
        <w:t>现货价格平稳，盘面估值随情绪波动，观望为主</w:t>
      </w:r>
      <w:bookmarkEnd w:id="21"/>
    </w:p>
    <w:p w:rsidR="003F56A5" w:rsidRDefault="00AF54C5" w:rsidP="00572E35">
      <w:pPr>
        <w:ind w:leftChars="300" w:left="630"/>
        <w:rPr>
          <w:rFonts w:ascii="楷体" w:eastAsia="楷体" w:hAnsi="楷体"/>
          <w:color w:val="000000" w:themeColor="text1"/>
          <w:sz w:val="24"/>
          <w:szCs w:val="24"/>
        </w:rPr>
      </w:pPr>
      <w:r w:rsidRPr="00AF54C5">
        <w:rPr>
          <w:rFonts w:ascii="楷体" w:eastAsia="楷体" w:hAnsi="楷体" w:hint="eastAsia"/>
          <w:color w:val="000000" w:themeColor="text1"/>
          <w:sz w:val="24"/>
          <w:szCs w:val="24"/>
        </w:rPr>
        <w:t>出厂价格保持平稳，港口价格随市场情绪波动，关注后续政策出台情况，短期估值较高，上下驱动不明显，建议观望为主，预计在（2050,2130）区间震荡</w:t>
      </w:r>
      <w:r w:rsidR="00CC3FFA">
        <w:rPr>
          <w:rFonts w:ascii="楷体" w:eastAsia="楷体" w:hAnsi="楷体" w:hint="eastAsia"/>
          <w:color w:val="000000" w:themeColor="text1"/>
          <w:sz w:val="24"/>
          <w:szCs w:val="24"/>
        </w:rPr>
        <w:t>。</w:t>
      </w:r>
    </w:p>
    <w:p w:rsidR="003F56A5" w:rsidRDefault="003F56A5">
      <w:pPr>
        <w:ind w:leftChars="100" w:left="210"/>
        <w:rPr>
          <w:rFonts w:ascii="楷体" w:eastAsia="楷体" w:hAnsi="楷体"/>
          <w:bCs/>
          <w:sz w:val="24"/>
          <w:szCs w:val="24"/>
        </w:rPr>
      </w:pPr>
    </w:p>
    <w:p w:rsidR="003F56A5" w:rsidRPr="00535DC9" w:rsidRDefault="00CC3FFA" w:rsidP="00535DC9">
      <w:pPr>
        <w:ind w:leftChars="200" w:left="420"/>
        <w:outlineLvl w:val="1"/>
        <w:rPr>
          <w:rFonts w:ascii="楷体" w:eastAsia="楷体" w:hAnsi="楷体"/>
          <w:b/>
          <w:sz w:val="24"/>
          <w:szCs w:val="24"/>
        </w:rPr>
      </w:pPr>
      <w:bookmarkStart w:id="22" w:name="_Toc138927961"/>
      <w:r>
        <w:rPr>
          <w:rFonts w:ascii="楷体" w:eastAsia="楷体" w:hAnsi="楷体" w:hint="eastAsia"/>
          <w:b/>
          <w:color w:val="000000" w:themeColor="text1"/>
          <w:sz w:val="24"/>
          <w:szCs w:val="24"/>
        </w:rPr>
        <w:t>焦煤：</w:t>
      </w:r>
      <w:r w:rsidR="00AF54C5" w:rsidRPr="00AF54C5">
        <w:rPr>
          <w:rFonts w:ascii="楷体" w:eastAsia="楷体" w:hAnsi="楷体" w:hint="eastAsia"/>
          <w:b/>
          <w:sz w:val="24"/>
          <w:szCs w:val="24"/>
        </w:rPr>
        <w:t>现货价格平稳，盘面估值随情绪波动</w:t>
      </w:r>
      <w:bookmarkEnd w:id="22"/>
    </w:p>
    <w:p w:rsidR="003F56A5" w:rsidRDefault="00AF54C5">
      <w:pPr>
        <w:ind w:leftChars="300" w:left="630"/>
        <w:rPr>
          <w:rFonts w:ascii="楷体" w:eastAsia="楷体" w:hAnsi="楷体"/>
          <w:bCs/>
          <w:sz w:val="24"/>
          <w:szCs w:val="24"/>
        </w:rPr>
      </w:pPr>
      <w:r w:rsidRPr="00AF54C5">
        <w:rPr>
          <w:rFonts w:ascii="楷体" w:eastAsia="楷体" w:hAnsi="楷体" w:hint="eastAsia"/>
          <w:sz w:val="24"/>
          <w:szCs w:val="24"/>
        </w:rPr>
        <w:t>现货价格回调后平稳运行，市场随情绪波动，关注后续政策出台情况，上下驱动不足，更多是以震荡为主，预计震荡为主（1280,1350）</w:t>
      </w:r>
      <w:r w:rsidR="00CC3FFA">
        <w:rPr>
          <w:rFonts w:ascii="楷体" w:eastAsia="楷体" w:hAnsi="楷体" w:hint="eastAsia"/>
          <w:sz w:val="24"/>
          <w:szCs w:val="24"/>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color w:val="000000" w:themeColor="text1"/>
          <w:sz w:val="24"/>
          <w:szCs w:val="24"/>
        </w:rPr>
      </w:pPr>
      <w:bookmarkStart w:id="23" w:name="_Toc9719"/>
      <w:bookmarkStart w:id="24" w:name="_Toc25617"/>
      <w:bookmarkStart w:id="25" w:name="_Toc138927962"/>
      <w:r>
        <w:rPr>
          <w:rFonts w:ascii="楷体" w:eastAsia="楷体" w:hAnsi="楷体" w:hint="eastAsia"/>
          <w:b/>
          <w:color w:val="000000" w:themeColor="text1"/>
          <w:sz w:val="24"/>
          <w:szCs w:val="24"/>
        </w:rPr>
        <w:t>铜：</w:t>
      </w:r>
      <w:bookmarkEnd w:id="23"/>
      <w:bookmarkEnd w:id="24"/>
      <w:r w:rsidR="00D32D2F" w:rsidRPr="00D32D2F">
        <w:rPr>
          <w:rFonts w:ascii="楷体" w:eastAsia="楷体" w:hAnsi="楷体" w:hint="eastAsia"/>
          <w:b/>
          <w:color w:val="000000" w:themeColor="text1"/>
          <w:sz w:val="24"/>
          <w:szCs w:val="24"/>
        </w:rPr>
        <w:t>美元指数反弹压制铜价</w:t>
      </w:r>
      <w:bookmarkEnd w:id="25"/>
    </w:p>
    <w:p w:rsidR="00D32D2F" w:rsidRPr="00D32D2F" w:rsidRDefault="00D32D2F" w:rsidP="00D32D2F">
      <w:pPr>
        <w:ind w:leftChars="300" w:left="630"/>
        <w:rPr>
          <w:rFonts w:ascii="楷体" w:eastAsia="楷体" w:hAnsi="楷体" w:hint="eastAsia"/>
          <w:color w:val="000000" w:themeColor="text1"/>
          <w:sz w:val="24"/>
          <w:szCs w:val="24"/>
        </w:rPr>
      </w:pPr>
      <w:r w:rsidRPr="00D32D2F">
        <w:rPr>
          <w:rFonts w:ascii="楷体" w:eastAsia="楷体" w:hAnsi="楷体" w:hint="eastAsia"/>
          <w:color w:val="000000" w:themeColor="text1"/>
          <w:sz w:val="24"/>
          <w:szCs w:val="24"/>
        </w:rPr>
        <w:t>(1)库存：6月28日，SHFE仓单库存20205吨，增301吨；LME仓单库存75275吨，减1775吨。</w:t>
      </w:r>
    </w:p>
    <w:p w:rsidR="00D32D2F" w:rsidRPr="00D32D2F" w:rsidRDefault="00D32D2F" w:rsidP="00D32D2F">
      <w:pPr>
        <w:ind w:leftChars="300" w:left="630"/>
        <w:rPr>
          <w:rFonts w:ascii="楷体" w:eastAsia="楷体" w:hAnsi="楷体" w:hint="eastAsia"/>
          <w:color w:val="000000" w:themeColor="text1"/>
          <w:sz w:val="24"/>
          <w:szCs w:val="24"/>
        </w:rPr>
      </w:pPr>
      <w:r w:rsidRPr="00D32D2F">
        <w:rPr>
          <w:rFonts w:ascii="楷体" w:eastAsia="楷体" w:hAnsi="楷体" w:hint="eastAsia"/>
          <w:color w:val="000000" w:themeColor="text1"/>
          <w:sz w:val="24"/>
          <w:szCs w:val="24"/>
        </w:rPr>
        <w:t>(2)精废价差：6月28日，Mysteel精废价差1966，收窄424。目前价差在合理价差1381之上。</w:t>
      </w:r>
    </w:p>
    <w:p w:rsidR="00D32D2F" w:rsidRPr="00D32D2F" w:rsidRDefault="00D32D2F" w:rsidP="00D32D2F">
      <w:pPr>
        <w:ind w:leftChars="300" w:left="630"/>
        <w:rPr>
          <w:rFonts w:ascii="楷体" w:eastAsia="楷体" w:hAnsi="楷体"/>
          <w:color w:val="000000" w:themeColor="text1"/>
          <w:sz w:val="24"/>
          <w:szCs w:val="24"/>
        </w:rPr>
      </w:pPr>
    </w:p>
    <w:p w:rsidR="00127803" w:rsidRPr="00127803" w:rsidRDefault="00D32D2F" w:rsidP="00D32D2F">
      <w:pPr>
        <w:ind w:leftChars="300" w:left="630"/>
        <w:rPr>
          <w:rFonts w:ascii="楷体" w:eastAsia="楷体" w:hAnsi="楷体"/>
          <w:color w:val="000000" w:themeColor="text1"/>
          <w:sz w:val="24"/>
          <w:szCs w:val="24"/>
        </w:rPr>
      </w:pPr>
      <w:r w:rsidRPr="00D32D2F">
        <w:rPr>
          <w:rFonts w:ascii="楷体" w:eastAsia="楷体" w:hAnsi="楷体" w:hint="eastAsia"/>
          <w:color w:val="000000" w:themeColor="text1"/>
          <w:sz w:val="24"/>
          <w:szCs w:val="24"/>
        </w:rPr>
        <w:t>综述：当地时间28日，美联储主席鲍威尔表示，美联储预计货币政策将进一步收紧，并且相信还会有更多的加息措施。鹰派表态推升美元指数，压制铜价。基本面，内外库存低位，国内现货升水节后下调但仍居偏高位，对铜消费带来负反馈效应，但国内稳增长政策预期仍较高，短期价格或仍有反复，中期走势仍偏空</w:t>
      </w:r>
      <w:r w:rsidR="00127803" w:rsidRPr="00127803">
        <w:rPr>
          <w:rFonts w:ascii="楷体" w:eastAsia="楷体" w:hAnsi="楷体" w:hint="eastAsia"/>
          <w:color w:val="000000" w:themeColor="text1"/>
          <w:sz w:val="24"/>
          <w:szCs w:val="24"/>
        </w:rPr>
        <w:t>。</w:t>
      </w:r>
    </w:p>
    <w:p w:rsidR="003F56A5" w:rsidRDefault="003F56A5">
      <w:pPr>
        <w:ind w:firstLineChars="200" w:firstLine="480"/>
        <w:rPr>
          <w:rFonts w:ascii="楷体" w:eastAsia="楷体" w:hAnsi="楷体"/>
          <w:bCs/>
          <w:sz w:val="24"/>
          <w:szCs w:val="24"/>
        </w:rPr>
      </w:pPr>
    </w:p>
    <w:p w:rsidR="003F56A5" w:rsidRPr="002C73FE" w:rsidRDefault="00CC3FFA" w:rsidP="002C73FE">
      <w:pPr>
        <w:ind w:leftChars="200" w:left="420"/>
        <w:outlineLvl w:val="1"/>
        <w:rPr>
          <w:rFonts w:ascii="楷体" w:eastAsia="楷体" w:hAnsi="楷体"/>
          <w:b/>
          <w:color w:val="000000" w:themeColor="text1"/>
          <w:sz w:val="24"/>
          <w:szCs w:val="24"/>
        </w:rPr>
      </w:pPr>
      <w:bookmarkStart w:id="26" w:name="_Toc8897"/>
      <w:bookmarkStart w:id="27" w:name="_Toc6247"/>
      <w:bookmarkStart w:id="28" w:name="_Toc138927963"/>
      <w:r>
        <w:rPr>
          <w:rFonts w:ascii="楷体" w:eastAsia="楷体" w:hAnsi="楷体" w:hint="eastAsia"/>
          <w:b/>
          <w:color w:val="000000" w:themeColor="text1"/>
          <w:sz w:val="24"/>
          <w:szCs w:val="24"/>
        </w:rPr>
        <w:t>铝：</w:t>
      </w:r>
      <w:bookmarkEnd w:id="26"/>
      <w:bookmarkEnd w:id="27"/>
      <w:r w:rsidR="00A223D3" w:rsidRPr="00A223D3">
        <w:rPr>
          <w:rFonts w:ascii="楷体" w:eastAsia="楷体" w:hAnsi="楷体" w:hint="eastAsia"/>
          <w:b/>
          <w:color w:val="000000" w:themeColor="text1"/>
          <w:sz w:val="24"/>
          <w:szCs w:val="24"/>
        </w:rPr>
        <w:t>库存拐入累库，铝价上方承压</w:t>
      </w:r>
      <w:bookmarkEnd w:id="28"/>
    </w:p>
    <w:p w:rsidR="003F56A5" w:rsidRDefault="00A223D3" w:rsidP="00127803">
      <w:pPr>
        <w:ind w:leftChars="300" w:left="630"/>
        <w:rPr>
          <w:rFonts w:ascii="楷体" w:eastAsia="楷体" w:hAnsi="楷体"/>
          <w:color w:val="000000" w:themeColor="text1"/>
          <w:sz w:val="24"/>
          <w:szCs w:val="24"/>
        </w:rPr>
      </w:pPr>
      <w:r w:rsidRPr="00A223D3">
        <w:rPr>
          <w:rFonts w:ascii="楷体" w:eastAsia="楷体" w:hAnsi="楷体" w:hint="eastAsia"/>
          <w:color w:val="000000" w:themeColor="text1"/>
          <w:sz w:val="24"/>
          <w:szCs w:val="24"/>
        </w:rPr>
        <w:t>海外宏观在美国通胀改善叠加联储加息暂停的事件影响下，整体市场情绪支撑偏强，国内市场在博弈7月的政策窗口期，宏观表现偏乐观。电解铝5月产量季度偏高位，铝棒加工费持续震荡走低，铝水比例下降，部分厂家铝水长单违约，云南地区大幅降水补充水电，预期当地部分产能进入复产，6月后进入消费淡季，需求驱动较弱，交易所库存累库，社库库存拐向累库，铝价上方空间仍有压力，预计沪铝期价宽浮波动在17500-19000元</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Pr="00666DE4" w:rsidRDefault="00CC3FFA" w:rsidP="00666DE4">
      <w:pPr>
        <w:ind w:leftChars="200" w:left="420"/>
        <w:outlineLvl w:val="1"/>
        <w:rPr>
          <w:rFonts w:ascii="楷体" w:eastAsia="楷体" w:hAnsi="楷体"/>
          <w:b/>
          <w:color w:val="000000" w:themeColor="text1"/>
          <w:sz w:val="24"/>
          <w:szCs w:val="24"/>
        </w:rPr>
      </w:pPr>
      <w:bookmarkStart w:id="29" w:name="_Toc138927964"/>
      <w:r>
        <w:rPr>
          <w:rFonts w:ascii="楷体" w:eastAsia="楷体" w:hAnsi="楷体" w:hint="eastAsia"/>
          <w:b/>
          <w:color w:val="000000" w:themeColor="text1"/>
          <w:sz w:val="24"/>
          <w:szCs w:val="24"/>
        </w:rPr>
        <w:t>锌：</w:t>
      </w:r>
      <w:r w:rsidR="00550252" w:rsidRPr="00550252">
        <w:rPr>
          <w:rFonts w:ascii="楷体" w:eastAsia="楷体" w:hAnsi="楷体" w:hint="eastAsia"/>
          <w:b/>
          <w:color w:val="000000" w:themeColor="text1"/>
          <w:sz w:val="24"/>
          <w:szCs w:val="24"/>
        </w:rPr>
        <w:t>供强需弱格局延续，锌价仍有下行驱动</w:t>
      </w:r>
      <w:bookmarkEnd w:id="29"/>
    </w:p>
    <w:p w:rsidR="003F56A5" w:rsidRDefault="00550252" w:rsidP="000B0648">
      <w:pPr>
        <w:ind w:leftChars="300" w:left="630"/>
        <w:rPr>
          <w:rFonts w:ascii="楷体" w:eastAsia="楷体" w:hAnsi="楷体"/>
          <w:color w:val="000000" w:themeColor="text1"/>
          <w:sz w:val="24"/>
          <w:szCs w:val="24"/>
        </w:rPr>
      </w:pPr>
      <w:r w:rsidRPr="00550252">
        <w:rPr>
          <w:rFonts w:ascii="楷体" w:eastAsia="楷体" w:hAnsi="楷体" w:hint="eastAsia"/>
          <w:color w:val="000000" w:themeColor="text1"/>
          <w:sz w:val="24"/>
          <w:szCs w:val="24"/>
        </w:rPr>
        <w:t>端午假期LME锌价下行，欧元区综合PMI数据低于前值，联储加息预期升温，国内市场持续交易政策利多预期，宏观情绪多变风险仍存。瑞典矿业公司Boliden表示将暂停欧洲最大的爱尔兰锌矿Tara的生产，前期锌价走跌使得矿山及冶炼厂利润快速挤出，利润承压使得海外高成本矿山减产，国内冶炼厂检修比例上升，海内外锌产供应增量预期弱化，国内精炼锌产量环比走弱但仍在季度相对高位。下游需求在消费淡季，显性库存偏低，社会库存持续去库，2023年1-5月我国累计出口镀锌板(带)约451万吨，同比增长23.83%，海外消费表现仍有韧性，国内镀锌板卷周度开工率维持高位，氧化锌、锌合金月度开工率环比下行，国内地产投资、销售、新开工同比或仍为负增长，后续国内利好政策刺激或带动地产、基建锌市消费走增，基础消费尤在但超预期表现难以期待。整体来看，锌市供强需弱，价格下行驱动偏强，库存低位去库支撑价格，18500附近为下方支撑</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30" w:name="_Toc138927965"/>
      <w:r>
        <w:rPr>
          <w:rFonts w:ascii="楷体" w:eastAsia="楷体" w:hAnsi="楷体" w:hint="eastAsia"/>
          <w:b/>
          <w:color w:val="000000" w:themeColor="text1"/>
          <w:sz w:val="24"/>
          <w:szCs w:val="24"/>
        </w:rPr>
        <w:t>镍：</w:t>
      </w:r>
      <w:r w:rsidR="00550252" w:rsidRPr="00550252">
        <w:rPr>
          <w:rFonts w:ascii="楷体" w:eastAsia="楷体" w:hAnsi="楷体" w:hint="eastAsia"/>
          <w:b/>
          <w:color w:val="000000" w:themeColor="text1"/>
          <w:sz w:val="24"/>
          <w:szCs w:val="24"/>
        </w:rPr>
        <w:t>镍价仍将承压运行，短线空单继续持有</w:t>
      </w:r>
      <w:bookmarkEnd w:id="30"/>
    </w:p>
    <w:p w:rsidR="003F56A5" w:rsidRDefault="00550252">
      <w:pPr>
        <w:ind w:leftChars="300" w:left="630"/>
        <w:rPr>
          <w:rFonts w:ascii="楷体" w:eastAsia="楷体" w:hAnsi="楷体"/>
          <w:color w:val="000000" w:themeColor="text1"/>
          <w:sz w:val="24"/>
          <w:szCs w:val="24"/>
        </w:rPr>
      </w:pPr>
      <w:r w:rsidRPr="00550252">
        <w:rPr>
          <w:rFonts w:ascii="楷体" w:eastAsia="楷体" w:hAnsi="楷体" w:hint="eastAsia"/>
          <w:color w:val="000000" w:themeColor="text1"/>
          <w:sz w:val="24"/>
          <w:szCs w:val="24"/>
        </w:rPr>
        <w:t>端午假期LME镍价呈震荡下跌走势。鲍威尔强调，在未来几个月内可能会再次提高利率，且美联储内部绝大多数成员都认为利率仍有上调空间，美元指数止跌反弹对整体有色形成压制。基本面，在6月20日至21日LME镍库存合计突增2346吨至39156吨，低库存支撑较弱，且供应端仍呈宽松预期，预计后期镍价仍将承压运行，短线空单继续持有</w:t>
      </w:r>
      <w:r w:rsidR="00CC3FFA">
        <w:rPr>
          <w:rFonts w:ascii="楷体" w:eastAsia="楷体" w:hAnsi="楷体" w:hint="eastAsia"/>
          <w:color w:val="000000" w:themeColor="text1"/>
          <w:sz w:val="24"/>
          <w:szCs w:val="24"/>
        </w:rPr>
        <w:t>。</w:t>
      </w:r>
    </w:p>
    <w:p w:rsidR="008B13D2" w:rsidRDefault="008B13D2">
      <w:pPr>
        <w:ind w:leftChars="300" w:left="630"/>
        <w:rPr>
          <w:rFonts w:ascii="楷体" w:eastAsia="楷体" w:hAnsi="楷体"/>
          <w:color w:val="000000" w:themeColor="text1"/>
          <w:sz w:val="24"/>
          <w:szCs w:val="24"/>
        </w:rPr>
      </w:pPr>
    </w:p>
    <w:p w:rsidR="008B13D2" w:rsidRPr="004E6093" w:rsidRDefault="0079299D" w:rsidP="004E6093">
      <w:pPr>
        <w:ind w:leftChars="200" w:left="420"/>
        <w:outlineLvl w:val="1"/>
        <w:rPr>
          <w:rFonts w:ascii="楷体" w:eastAsia="楷体" w:hAnsi="楷体"/>
          <w:b/>
          <w:color w:val="000000" w:themeColor="text1"/>
          <w:sz w:val="24"/>
          <w:szCs w:val="24"/>
        </w:rPr>
      </w:pPr>
      <w:bookmarkStart w:id="31" w:name="_Toc138927966"/>
      <w:r>
        <w:rPr>
          <w:rFonts w:ascii="楷体" w:eastAsia="楷体" w:hAnsi="楷体" w:hint="eastAsia"/>
          <w:b/>
          <w:color w:val="000000" w:themeColor="text1"/>
          <w:sz w:val="24"/>
          <w:szCs w:val="24"/>
        </w:rPr>
        <w:t>铅</w:t>
      </w:r>
      <w:r w:rsidR="008B13D2">
        <w:rPr>
          <w:rFonts w:ascii="楷体" w:eastAsia="楷体" w:hAnsi="楷体" w:hint="eastAsia"/>
          <w:b/>
          <w:color w:val="000000" w:themeColor="text1"/>
          <w:sz w:val="24"/>
          <w:szCs w:val="24"/>
        </w:rPr>
        <w:t>：</w:t>
      </w:r>
      <w:r w:rsidR="00D32D2F" w:rsidRPr="00D32D2F">
        <w:rPr>
          <w:rFonts w:ascii="楷体" w:eastAsia="楷体" w:hAnsi="楷体" w:hint="eastAsia"/>
          <w:b/>
          <w:color w:val="000000" w:themeColor="text1"/>
          <w:sz w:val="24"/>
          <w:szCs w:val="24"/>
        </w:rPr>
        <w:t>宏观叠加基本面影响铝价走势偏空</w:t>
      </w:r>
      <w:bookmarkEnd w:id="31"/>
    </w:p>
    <w:p w:rsidR="008B13D2" w:rsidRPr="008B13D2" w:rsidRDefault="00D32D2F" w:rsidP="008B13D2">
      <w:pPr>
        <w:ind w:leftChars="300" w:left="630"/>
        <w:rPr>
          <w:rFonts w:ascii="楷体" w:eastAsia="楷体" w:hAnsi="楷体"/>
          <w:color w:val="000000" w:themeColor="text1"/>
          <w:sz w:val="24"/>
          <w:szCs w:val="24"/>
        </w:rPr>
      </w:pPr>
      <w:r w:rsidRPr="00D32D2F">
        <w:rPr>
          <w:rFonts w:ascii="楷体" w:eastAsia="楷体" w:hAnsi="楷体" w:hint="eastAsia"/>
          <w:color w:val="000000" w:themeColor="text1"/>
          <w:sz w:val="24"/>
          <w:szCs w:val="24"/>
        </w:rPr>
        <w:t>宏观情绪再度承压，联储表示仍将有两次加息，美元指数上行，国内市场仍在交易后续的利好政策预期，市场信心提振，超预期政策可期待性不强，待政策落地后效果证伪。国内电解铝5月产量季度偏高位，电解铝生产成本塌陷，冶炼利润修复刺激企业生产，铝水比例下降，部分厂家铝水长单违约，铝棒加工亏损，铝棒库存拐入累库，铝棒产能后续可能缩减或调整为铸锭产能，云南地区大幅降水补充水电，当地部分产能进入复产，后续</w:t>
      </w:r>
      <w:r w:rsidRPr="00D32D2F">
        <w:rPr>
          <w:rFonts w:ascii="楷体" w:eastAsia="楷体" w:hAnsi="楷体" w:hint="eastAsia"/>
          <w:color w:val="000000" w:themeColor="text1"/>
          <w:sz w:val="24"/>
          <w:szCs w:val="24"/>
        </w:rPr>
        <w:lastRenderedPageBreak/>
        <w:t>铝锭供应预期走增。6月后进入消费淡季，需求驱动较弱，交易所库存维持低位去库，社库库存累库，整体来看，宏观情绪仍有压力，基本面供增需减，短期来看铝价上方空间有限或再度向下探底，下方17500附近为下方支撑位</w:t>
      </w:r>
      <w:r w:rsidR="008B13D2">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32" w:name="_Toc138927967"/>
      <w:r>
        <w:rPr>
          <w:rFonts w:ascii="楷体" w:eastAsia="楷体" w:hAnsi="楷体" w:hint="eastAsia"/>
          <w:b/>
          <w:color w:val="000000" w:themeColor="text1"/>
          <w:sz w:val="24"/>
          <w:szCs w:val="24"/>
        </w:rPr>
        <w:t>不锈钢：</w:t>
      </w:r>
      <w:r w:rsidR="00D32D2F" w:rsidRPr="00D32D2F">
        <w:rPr>
          <w:rFonts w:ascii="楷体" w:eastAsia="楷体" w:hAnsi="楷体" w:hint="eastAsia"/>
          <w:b/>
          <w:color w:val="000000" w:themeColor="text1"/>
          <w:sz w:val="24"/>
          <w:szCs w:val="24"/>
        </w:rPr>
        <w:t>需求淡季下社库转增，SS承压运行</w:t>
      </w:r>
      <w:bookmarkEnd w:id="32"/>
    </w:p>
    <w:p w:rsidR="003F56A5" w:rsidRDefault="00D32D2F">
      <w:pPr>
        <w:ind w:leftChars="300" w:left="630"/>
        <w:rPr>
          <w:rFonts w:ascii="楷体" w:eastAsia="楷体" w:hAnsi="楷体"/>
          <w:color w:val="000000" w:themeColor="text1"/>
          <w:sz w:val="24"/>
          <w:szCs w:val="24"/>
        </w:rPr>
      </w:pPr>
      <w:r w:rsidRPr="00D32D2F">
        <w:rPr>
          <w:rFonts w:ascii="楷体" w:eastAsia="楷体" w:hAnsi="楷体" w:hint="eastAsia"/>
          <w:color w:val="000000" w:themeColor="text1"/>
          <w:sz w:val="24"/>
          <w:szCs w:val="24"/>
        </w:rPr>
        <w:t>需求淡季下不锈钢社会库存结束下滑态势，转为小幅增长，对价格支撑边际转弱，当前不锈钢厂利润在盈亏平衡附近，价格继续向下的空间取决于钢厂是否减产，镍铁价格保持弱稳运行，短期成本端对价格影响中性。预计不锈钢价格维持区间震荡运行，SS2308参考14200-15200。操作上，暂时观望</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Default="00CC3FFA">
      <w:pPr>
        <w:ind w:leftChars="200" w:left="420"/>
        <w:outlineLvl w:val="1"/>
        <w:rPr>
          <w:rFonts w:ascii="楷体" w:eastAsia="楷体" w:hAnsi="楷体"/>
          <w:b/>
          <w:sz w:val="24"/>
          <w:szCs w:val="24"/>
        </w:rPr>
      </w:pPr>
      <w:bookmarkStart w:id="33" w:name="_Toc138927968"/>
      <w:r>
        <w:rPr>
          <w:rFonts w:ascii="楷体" w:eastAsia="楷体" w:hAnsi="楷体" w:hint="eastAsia"/>
          <w:b/>
          <w:color w:val="000000" w:themeColor="text1"/>
          <w:sz w:val="24"/>
          <w:szCs w:val="24"/>
        </w:rPr>
        <w:t>工业硅：</w:t>
      </w:r>
      <w:r w:rsidR="00D32D2F" w:rsidRPr="00D32D2F">
        <w:rPr>
          <w:rFonts w:ascii="楷体" w:eastAsia="楷体" w:hAnsi="楷体" w:hint="eastAsia"/>
          <w:b/>
          <w:sz w:val="24"/>
          <w:szCs w:val="24"/>
        </w:rPr>
        <w:t>单边驱动因素不足，短期或震荡为主</w:t>
      </w:r>
      <w:bookmarkEnd w:id="33"/>
    </w:p>
    <w:p w:rsidR="003F56A5" w:rsidRDefault="00D32D2F" w:rsidP="007103A5">
      <w:pPr>
        <w:ind w:leftChars="300" w:left="630"/>
        <w:rPr>
          <w:rFonts w:ascii="楷体" w:eastAsia="楷体" w:hAnsi="楷体"/>
          <w:sz w:val="24"/>
          <w:szCs w:val="24"/>
        </w:rPr>
      </w:pPr>
      <w:r w:rsidRPr="00D32D2F">
        <w:rPr>
          <w:rFonts w:ascii="楷体" w:eastAsia="楷体" w:hAnsi="楷体" w:hint="eastAsia"/>
          <w:sz w:val="24"/>
          <w:szCs w:val="24"/>
        </w:rPr>
        <w:t>6月28日，Si2308主力合约呈震荡走势，收盘价13140元/吨，较上一收盘价涨跌幅＋0.15%。供应方面，新疆大厂减产计划正在逐步推进，供应过剩预期有所缓解。需求方面，整体延续偏弱，具体而言:（1）有机硅开工维持低位，其终端需求疲软，对工业硅采购较为谨慎；（2）多晶硅市场价格持续下跌，生产利润不断压缩，整体开工有所下滑，以及规划项目延期投产，导致对工业硅需求不及预期;（3）铝合金进入消费淡季，铝棒企业开工率已有所下降，对工业硅需求减少。综合而言，供需过剩预期有所缓解，但宽松格局并未得到实质性反转，单边驱动因素不足，预计短期市场将步入震荡走势</w:t>
      </w:r>
      <w:r w:rsidR="00CC3FFA">
        <w:rPr>
          <w:rFonts w:ascii="楷体" w:eastAsia="楷体" w:hAnsi="楷体" w:hint="eastAsia"/>
          <w:sz w:val="24"/>
          <w:szCs w:val="24"/>
        </w:rPr>
        <w:t>。</w:t>
      </w:r>
    </w:p>
    <w:p w:rsidR="003F56A5" w:rsidRDefault="003F56A5">
      <w:pPr>
        <w:ind w:firstLineChars="200" w:firstLine="420"/>
        <w:rPr>
          <w:rFonts w:ascii="Times New Roman" w:eastAsia="楷体" w:hAnsi="Times New Roman"/>
          <w:bCs/>
        </w:rPr>
      </w:pPr>
    </w:p>
    <w:p w:rsidR="003F56A5" w:rsidRDefault="003F56A5">
      <w:pPr>
        <w:ind w:firstLineChars="200" w:firstLine="420"/>
        <w:rPr>
          <w:rFonts w:ascii="Times New Roman" w:eastAsia="楷体" w:hAnsi="Times New Roman"/>
          <w:bCs/>
        </w:rPr>
      </w:pPr>
    </w:p>
    <w:p w:rsidR="003F56A5" w:rsidRDefault="00CC3FFA">
      <w:pPr>
        <w:pBdr>
          <w:top w:val="single" w:sz="4" w:space="0" w:color="auto"/>
        </w:pBdr>
        <w:outlineLvl w:val="0"/>
        <w:rPr>
          <w:rFonts w:ascii="Times New Roman" w:eastAsia="楷体" w:hAnsi="Times New Roman"/>
          <w:b/>
          <w:color w:val="823C0B"/>
          <w:sz w:val="30"/>
          <w:szCs w:val="30"/>
        </w:rPr>
      </w:pPr>
      <w:bookmarkStart w:id="34" w:name="化工"/>
      <w:r>
        <w:rPr>
          <w:rFonts w:ascii="Times New Roman" w:eastAsia="楷体" w:hAnsi="Times New Roman" w:hint="eastAsia"/>
          <w:b/>
          <w:color w:val="823C0B"/>
          <w:sz w:val="30"/>
          <w:szCs w:val="30"/>
        </w:rPr>
        <w:t xml:space="preserve"> </w:t>
      </w:r>
      <w:bookmarkStart w:id="35" w:name="_Toc138927969"/>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化工</w:t>
      </w:r>
      <w:r>
        <w:rPr>
          <w:rFonts w:ascii="Times New Roman" w:eastAsia="楷体" w:hAnsi="Times New Roman" w:hint="eastAsia"/>
          <w:b/>
          <w:color w:val="823C0B"/>
          <w:sz w:val="30"/>
          <w:szCs w:val="30"/>
        </w:rPr>
        <w:t>]</w:t>
      </w:r>
      <w:bookmarkEnd w:id="34"/>
      <w:bookmarkEnd w:id="35"/>
    </w:p>
    <w:p w:rsidR="003F56A5" w:rsidRPr="005B790A" w:rsidRDefault="00CC3FFA" w:rsidP="005B790A">
      <w:pPr>
        <w:ind w:firstLineChars="200" w:firstLine="482"/>
        <w:outlineLvl w:val="1"/>
        <w:rPr>
          <w:rFonts w:ascii="楷体" w:eastAsia="楷体" w:hAnsi="楷体"/>
          <w:b/>
          <w:sz w:val="24"/>
          <w:szCs w:val="24"/>
        </w:rPr>
      </w:pPr>
      <w:bookmarkStart w:id="36" w:name="_Toc138927970"/>
      <w:r>
        <w:rPr>
          <w:rFonts w:ascii="Times New Roman" w:eastAsia="楷体" w:hAnsi="Times New Roman" w:hint="eastAsia"/>
          <w:b/>
          <w:color w:val="000000" w:themeColor="text1"/>
          <w:sz w:val="24"/>
          <w:szCs w:val="24"/>
        </w:rPr>
        <w:t>天然橡胶</w:t>
      </w:r>
      <w:r>
        <w:rPr>
          <w:rFonts w:ascii="Times New Roman" w:eastAsia="楷体" w:hAnsi="Times New Roman" w:hint="eastAsia"/>
          <w:b/>
          <w:color w:val="000000" w:themeColor="text1"/>
          <w:sz w:val="24"/>
          <w:szCs w:val="24"/>
        </w:rPr>
        <w:t>:</w:t>
      </w:r>
      <w:r w:rsidR="00B17165" w:rsidRPr="00B17165">
        <w:rPr>
          <w:rFonts w:ascii="楷体" w:eastAsia="楷体" w:hAnsi="楷体" w:hint="eastAsia"/>
          <w:b/>
          <w:sz w:val="24"/>
          <w:szCs w:val="24"/>
        </w:rPr>
        <w:t xml:space="preserve"> </w:t>
      </w:r>
      <w:r w:rsidR="00D32D2F" w:rsidRPr="00D32D2F">
        <w:rPr>
          <w:rFonts w:ascii="楷体" w:eastAsia="楷体" w:hAnsi="楷体" w:hint="eastAsia"/>
          <w:b/>
          <w:sz w:val="24"/>
          <w:szCs w:val="24"/>
        </w:rPr>
        <w:t>天胶市场无明显利好，RU维持震荡走势为主</w:t>
      </w:r>
      <w:bookmarkEnd w:id="36"/>
    </w:p>
    <w:p w:rsidR="003F56A5" w:rsidRDefault="00D32D2F">
      <w:pPr>
        <w:ind w:leftChars="300" w:left="630"/>
        <w:rPr>
          <w:rFonts w:ascii="楷体" w:eastAsia="楷体" w:hAnsi="楷体"/>
          <w:sz w:val="24"/>
          <w:szCs w:val="24"/>
        </w:rPr>
      </w:pPr>
      <w:r w:rsidRPr="00D32D2F">
        <w:rPr>
          <w:rFonts w:ascii="楷体" w:eastAsia="楷体" w:hAnsi="楷体" w:hint="eastAsia"/>
          <w:sz w:val="24"/>
          <w:szCs w:val="24"/>
        </w:rPr>
        <w:t>点评：基本面难现明显利好下，昨日橡胶小幅震荡。当前制约RU价格上行的主要矛盾还是偏高的港口库存。高库存对行情形成较大压制。橡胶其余基本面来看，供应端，随着产区物候条件恢复正常，供给端上量将逐步回归正常。橡胶下游轮胎方面，端午节前后消费需求有限，市场逐步进入库存消化期，企业出货压力将逐步加大，目前半钢胎在外贸订单支撑下开工率尚可，而全钢胎受国内经济恢复缓慢和放假影响开工大幅下滑。终端汽车方面，5月份乘用车终端销量在175万辆左右，环比继续小幅上升。从分项指数来看，汽车市场需求、平均日销量、经营状况指数环比上升，车市整体温和回暖；重卡方面，5月我国重卡市场大约7.74万辆左右，环比下滑16%，全行业仅仅处于弱复苏阶段，还未完全进入恢复期间。综合来看，近期收储、刺激房地产等题材轮番上演，但都缺乏实质行动。国家“降息”举措利多近期胶市，但还需关注消费端能否显著转好。对于热度最高的轮储传闻，目前市场暂无定论，而从盘面1-9价差缩窄来看，市场相关预期或已弱化。目前期现价差仍处于历史同期较高位置，同时随着09合约交割期的临近，对多头的压力会逐步增大。综合来看，在缺乏核心驱动下，短期橡胶大概率继续维持震荡走势。操作上，建议多NR空RU，期现套利降低仓位持有正套为主</w:t>
      </w:r>
      <w:r w:rsidR="00CC3FFA">
        <w:rPr>
          <w:rFonts w:ascii="楷体" w:eastAsia="楷体" w:hAnsi="楷体" w:hint="eastAsia"/>
          <w:sz w:val="24"/>
          <w:szCs w:val="24"/>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color w:val="000000" w:themeColor="text1"/>
          <w:sz w:val="24"/>
          <w:szCs w:val="24"/>
        </w:rPr>
      </w:pPr>
      <w:bookmarkStart w:id="37" w:name="_Toc138927971"/>
      <w:r>
        <w:rPr>
          <w:rFonts w:ascii="楷体" w:eastAsia="楷体" w:hAnsi="楷体"/>
          <w:b/>
          <w:color w:val="000000" w:themeColor="text1"/>
          <w:sz w:val="24"/>
          <w:szCs w:val="24"/>
        </w:rPr>
        <w:t>PTA</w:t>
      </w:r>
      <w:r>
        <w:rPr>
          <w:rFonts w:ascii="楷体" w:eastAsia="楷体" w:hAnsi="楷体" w:hint="eastAsia"/>
          <w:b/>
          <w:color w:val="000000" w:themeColor="text1"/>
          <w:sz w:val="24"/>
          <w:szCs w:val="24"/>
        </w:rPr>
        <w:t>：</w:t>
      </w:r>
      <w:r w:rsidR="00D32D2F" w:rsidRPr="00D32D2F">
        <w:rPr>
          <w:rFonts w:ascii="楷体" w:eastAsia="楷体" w:hAnsi="楷体" w:hint="eastAsia"/>
          <w:b/>
          <w:color w:val="000000" w:themeColor="text1"/>
          <w:sz w:val="24"/>
          <w:szCs w:val="24"/>
        </w:rPr>
        <w:t xml:space="preserve">供需矛盾不明显 </w:t>
      </w:r>
      <w:r w:rsidR="00D32D2F" w:rsidRPr="00D32D2F">
        <w:rPr>
          <w:rFonts w:ascii="Calibri" w:eastAsia="楷体" w:hAnsi="Calibri" w:cs="Calibri"/>
          <w:b/>
          <w:color w:val="000000" w:themeColor="text1"/>
          <w:sz w:val="24"/>
          <w:szCs w:val="24"/>
        </w:rPr>
        <w:t> </w:t>
      </w:r>
      <w:r w:rsidR="00D32D2F" w:rsidRPr="00D32D2F">
        <w:rPr>
          <w:rFonts w:ascii="楷体" w:eastAsia="楷体" w:hAnsi="楷体" w:hint="eastAsia"/>
          <w:b/>
          <w:color w:val="000000" w:themeColor="text1"/>
          <w:sz w:val="24"/>
          <w:szCs w:val="24"/>
        </w:rPr>
        <w:t>走势由成本端主导</w:t>
      </w:r>
      <w:bookmarkEnd w:id="37"/>
      <w:r>
        <w:rPr>
          <w:rFonts w:ascii="楷体" w:eastAsia="楷体" w:hAnsi="楷体" w:hint="eastAsia"/>
          <w:b/>
          <w:color w:val="000000" w:themeColor="text1"/>
          <w:sz w:val="24"/>
          <w:szCs w:val="24"/>
        </w:rPr>
        <w:t xml:space="preserve"> </w:t>
      </w:r>
    </w:p>
    <w:p w:rsidR="003F56A5" w:rsidRDefault="00D32D2F" w:rsidP="002C73FE">
      <w:pPr>
        <w:ind w:leftChars="300" w:left="630"/>
        <w:rPr>
          <w:rFonts w:ascii="楷体" w:eastAsia="楷体" w:hAnsi="楷体"/>
          <w:color w:val="000000" w:themeColor="text1"/>
          <w:sz w:val="24"/>
          <w:szCs w:val="24"/>
        </w:rPr>
      </w:pPr>
      <w:r w:rsidRPr="00D32D2F">
        <w:rPr>
          <w:rFonts w:ascii="楷体" w:eastAsia="楷体" w:hAnsi="楷体" w:hint="eastAsia"/>
          <w:color w:val="000000" w:themeColor="text1"/>
          <w:sz w:val="24"/>
          <w:szCs w:val="24"/>
        </w:rPr>
        <w:t>PTA供给方面，本周台化和嘉通1期计划内重启，福海创计划检修，威联化学负荷提升至7~8成，至上周日PTA负荷上涨至81.4%。PTA开工负荷又恢复到8成附近，近期装置检修计划不多叠加新装置要投产，现货流通性相对充足。PX方面增加宁波大榭160万吨装置，前期装置检修带动的供给端扰动减弱，PX供应偏宽松预期。但石脑油难有起色的背景下，短期看PXN还将偏强，短期PTA成本端支撑依然较强。需求方面，近期聚酯开工维持在93%附近，节后江浙终端开工率有所恢复，预计月内聚酯负荷将持续维持高位运行。5月纺服零售同比和环比均增长，终端真实纺服需求中性。展望后市，短期PTA产业链整体矛盾尚未凸显，刚需韧性良好，走势更多跟随成本波动，关注后续计划外的减产情况。仅供参考</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38" w:name="_Toc138927972"/>
      <w:r>
        <w:rPr>
          <w:rFonts w:ascii="楷体" w:eastAsia="楷体" w:hAnsi="楷体" w:hint="eastAsia"/>
          <w:b/>
          <w:color w:val="000000" w:themeColor="text1"/>
          <w:sz w:val="24"/>
          <w:szCs w:val="24"/>
        </w:rPr>
        <w:t>PVC：</w:t>
      </w:r>
      <w:r w:rsidR="00E34EAB" w:rsidRPr="00E34EAB">
        <w:rPr>
          <w:rFonts w:ascii="楷体" w:eastAsia="楷体" w:hAnsi="楷体" w:hint="eastAsia"/>
          <w:b/>
          <w:color w:val="000000" w:themeColor="text1"/>
          <w:sz w:val="24"/>
          <w:szCs w:val="24"/>
        </w:rPr>
        <w:t>高库存+弱复苏 驱动不足</w:t>
      </w:r>
      <w:bookmarkEnd w:id="38"/>
    </w:p>
    <w:p w:rsidR="003F56A5" w:rsidRDefault="00E34EAB">
      <w:pPr>
        <w:ind w:leftChars="300" w:left="630"/>
        <w:rPr>
          <w:rFonts w:ascii="楷体" w:eastAsia="楷体" w:hAnsi="楷体"/>
          <w:color w:val="000000" w:themeColor="text1"/>
          <w:sz w:val="24"/>
          <w:szCs w:val="24"/>
        </w:rPr>
      </w:pPr>
      <w:r w:rsidRPr="00E34EAB">
        <w:rPr>
          <w:rFonts w:ascii="楷体" w:eastAsia="楷体" w:hAnsi="楷体" w:hint="eastAsia"/>
          <w:color w:val="000000" w:themeColor="text1"/>
          <w:sz w:val="24"/>
          <w:szCs w:val="24"/>
        </w:rPr>
        <w:t>本周国内PVC行业开工负荷率小幅下降，据卓创资讯数据显示，本周PVC整体开工负荷率76.74%，环比下降0.72%；其中电石法PVC开工负荷率73.15%，环比下降1.40%；乙烯法PVC开工负荷率89.03%，环比增加1.61%。乙烯法产品出口较多，开工率提升对供给压力不大。从下游开工情况来看，近期下游开工走弱。本周管材开工率62.%，较上周下滑7.73%；型材开工率51.25%，较上周降1.25%。由于终端需求不佳，PVC下游企业以刚需补库为主，以华东地区为例，如果现货回落到6000元/吨左右，下游补库意向强烈。且前几日V期货触底6000附近下游成交单日华东+华南超过7万吨。但一旦反弹至6300附近，下游对于原料高价又较为抵触。综合来看，PVC近期受高库存及温和复苏的需求使得价格缺乏明显的向上驱动。短期来看供需关系的好转较为缓慢，预计上半年需求端的增长有限，PVC 行情持续上涨缺乏驱动。维持6000-6300区间操作为主</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Pr="00E373B2" w:rsidRDefault="00CC3FFA" w:rsidP="00E373B2">
      <w:pPr>
        <w:ind w:leftChars="200" w:left="420"/>
        <w:outlineLvl w:val="1"/>
        <w:rPr>
          <w:rFonts w:ascii="楷体" w:eastAsia="楷体" w:hAnsi="楷体"/>
          <w:b/>
          <w:color w:val="000000" w:themeColor="text1"/>
          <w:sz w:val="24"/>
          <w:szCs w:val="24"/>
        </w:rPr>
      </w:pPr>
      <w:bookmarkStart w:id="39" w:name="_Toc138927973"/>
      <w:r>
        <w:rPr>
          <w:rFonts w:ascii="楷体" w:eastAsia="楷体" w:hAnsi="楷体" w:hint="eastAsia"/>
          <w:b/>
          <w:color w:val="000000" w:themeColor="text1"/>
          <w:sz w:val="24"/>
          <w:szCs w:val="24"/>
        </w:rPr>
        <w:t>聚烯烃：</w:t>
      </w:r>
      <w:r w:rsidR="00D32D2F" w:rsidRPr="00D32D2F">
        <w:rPr>
          <w:rFonts w:ascii="楷体" w:eastAsia="楷体" w:hAnsi="楷体" w:hint="eastAsia"/>
          <w:b/>
          <w:color w:val="000000" w:themeColor="text1"/>
          <w:sz w:val="24"/>
          <w:szCs w:val="24"/>
        </w:rPr>
        <w:t>装置检修减少，聚烯烃或震荡整理</w:t>
      </w:r>
      <w:bookmarkEnd w:id="39"/>
    </w:p>
    <w:p w:rsidR="003F56A5" w:rsidRDefault="00D32D2F">
      <w:pPr>
        <w:ind w:leftChars="300" w:left="630"/>
        <w:rPr>
          <w:rFonts w:ascii="楷体" w:eastAsia="楷体" w:hAnsi="楷体"/>
          <w:bCs/>
          <w:sz w:val="24"/>
          <w:szCs w:val="24"/>
        </w:rPr>
      </w:pPr>
      <w:r w:rsidRPr="00D32D2F">
        <w:rPr>
          <w:rFonts w:ascii="楷体" w:eastAsia="楷体" w:hAnsi="楷体" w:hint="eastAsia"/>
          <w:color w:val="000000" w:themeColor="text1"/>
          <w:sz w:val="24"/>
          <w:szCs w:val="24"/>
        </w:rPr>
        <w:t>近期聚烯烃窄幅波动。库存方面，PE上周五库存环比下降4.68%，其中主要生产环节PE库存环比下降7.26%，PE样本港口库存环比下降0.35%，样本贸易企业库存环比下降5.85%。上周五PP库存环比环比下降5.96%。其中主要生产环节PP库存、港口库存下降，贸易环节库存上升。聚烯烃整体呈现去库速度放缓。成本方面，美国原油库存连续第二周降幅大于预期，抵消了对进一步加息可能放缓经济增长和减少全球石油需求的担忧，欧美原油期货强劲反弹；需求方面，PE下游方面，农膜整体需求平平，工厂生产清淡。棚膜工厂多停机检修；PP下游方面，BOPP市场成交刚需有量，整体量较上一交易日增加，BOPP企业未交付订单多数在一周以内，个别可至七月初。综合来看，PE方面，原油成本端走势回暖，聚乙烯支撑力度尚可；供应端，近期检修装置减少，供应压力小幅回升；需求端下游开工需求淡季，对价格提振力度有限。预计今日聚乙烯价格或震荡整理。PP方面，原油成本支撑回归，但月底大庆石化、浙石化三线等停车装置计划开车，产能利用率上升，供应压力增加，石化厂家挺价销售，然需求端进入淡季，未有起色，预计今日市场仍存在下行风险</w:t>
      </w:r>
      <w:r w:rsidR="00CC3FFA">
        <w:rPr>
          <w:rFonts w:ascii="楷体" w:eastAsia="楷体" w:hAnsi="楷体" w:hint="eastAsia"/>
          <w:color w:val="000000" w:themeColor="text1"/>
          <w:sz w:val="24"/>
          <w:szCs w:val="24"/>
        </w:rPr>
        <w:t>。</w:t>
      </w:r>
    </w:p>
    <w:p w:rsidR="003F56A5" w:rsidRDefault="003F56A5">
      <w:pPr>
        <w:ind w:firstLineChars="200" w:firstLine="480"/>
        <w:rPr>
          <w:rFonts w:ascii="楷体" w:eastAsia="楷体" w:hAnsi="楷体"/>
          <w:bCs/>
          <w:sz w:val="24"/>
          <w:szCs w:val="24"/>
        </w:rPr>
      </w:pPr>
    </w:p>
    <w:p w:rsidR="003F56A5" w:rsidRDefault="00CC3FFA">
      <w:pPr>
        <w:ind w:leftChars="200" w:left="420"/>
        <w:outlineLvl w:val="1"/>
        <w:rPr>
          <w:rFonts w:ascii="楷体" w:eastAsia="楷体" w:hAnsi="楷体"/>
          <w:b/>
          <w:color w:val="000000" w:themeColor="text1"/>
          <w:sz w:val="24"/>
          <w:szCs w:val="24"/>
        </w:rPr>
      </w:pPr>
      <w:bookmarkStart w:id="40" w:name="_Toc138927974"/>
      <w:r>
        <w:rPr>
          <w:rFonts w:ascii="楷体" w:eastAsia="楷体" w:hAnsi="楷体" w:hint="eastAsia"/>
          <w:b/>
          <w:color w:val="000000" w:themeColor="text1"/>
          <w:sz w:val="24"/>
          <w:szCs w:val="24"/>
        </w:rPr>
        <w:lastRenderedPageBreak/>
        <w:t>MEG：</w:t>
      </w:r>
      <w:r w:rsidR="00D32D2F" w:rsidRPr="00D32D2F">
        <w:rPr>
          <w:rFonts w:ascii="楷体" w:eastAsia="楷体" w:hAnsi="楷体" w:hint="eastAsia"/>
          <w:b/>
          <w:color w:val="000000" w:themeColor="text1"/>
          <w:sz w:val="24"/>
          <w:szCs w:val="24"/>
        </w:rPr>
        <w:t>供应端压力增量明显 09上行驱动不足</w:t>
      </w:r>
      <w:bookmarkEnd w:id="40"/>
    </w:p>
    <w:p w:rsidR="003F56A5" w:rsidRDefault="00D32D2F" w:rsidP="00115EEA">
      <w:pPr>
        <w:ind w:leftChars="300" w:left="630"/>
        <w:rPr>
          <w:rFonts w:ascii="楷体" w:eastAsia="楷体" w:hAnsi="楷体"/>
          <w:color w:val="000000" w:themeColor="text1"/>
          <w:sz w:val="24"/>
          <w:szCs w:val="24"/>
        </w:rPr>
      </w:pPr>
      <w:r w:rsidRPr="00D32D2F">
        <w:rPr>
          <w:rFonts w:ascii="楷体" w:eastAsia="楷体" w:hAnsi="楷体" w:hint="eastAsia"/>
          <w:color w:val="000000" w:themeColor="text1"/>
          <w:sz w:val="24"/>
          <w:szCs w:val="24"/>
        </w:rPr>
        <w:t>供需情况，6.27 华东主港地区MEG港口库存约97.6万吨附近，环比上期增加0.4万吨。截至6月25日，中国大陆地区乙二醇整体开工负荷在57.87%（+0.84%），其中煤制乙二醇开工负荷在65.72%（+4.93%）。 近期乙二醇开工率回升至57%偏上，后续仍有浙江石化（75+80)、海南炼化7月提前回归，煤化工新疆天业、广西华谊等装置计划重启，新装置三江石化新装置投产较为顺利。聚酯需求端来看，截至上周日，初步核算国内大陆地区聚酯负荷在92.6%附近。节后江浙终端开工率有所恢复，江浙加弹综合开工率82%，江浙织机综合开工率69%，江浙印染综合开工率77%。进口市场来看，6月底7月初远洋货将逐步抵港，现货环节可流动性仍在释放中。展望后市，供应环节增量预估有20万吨左右，7月国产供应压力较大。且乙二醇海外供应逐步增量中，预计6-7月乙二醇进口增量8-10万吨左右。市场普遍关注的转产EO的问题，后续实际转产落地较为困难。乙二醇后续供应端增量较为明显，09合约上行驱动不足，择机高位布空为主，仅供参考</w:t>
      </w:r>
      <w:r w:rsidR="00CC3FFA">
        <w:rPr>
          <w:rFonts w:ascii="楷体" w:eastAsia="楷体" w:hAnsi="楷体" w:hint="eastAsia"/>
          <w:color w:val="000000" w:themeColor="text1"/>
          <w:sz w:val="24"/>
          <w:szCs w:val="24"/>
        </w:rPr>
        <w:t>。</w:t>
      </w:r>
    </w:p>
    <w:p w:rsidR="00A71A7E" w:rsidRDefault="00A71A7E" w:rsidP="00E45000">
      <w:pPr>
        <w:ind w:leftChars="300" w:left="630"/>
        <w:rPr>
          <w:rFonts w:ascii="楷体" w:eastAsia="楷体" w:hAnsi="楷体"/>
          <w:bCs/>
          <w:sz w:val="24"/>
          <w:szCs w:val="24"/>
        </w:rPr>
      </w:pPr>
    </w:p>
    <w:p w:rsidR="00A71A7E" w:rsidRDefault="0079299D" w:rsidP="00A71A7E">
      <w:pPr>
        <w:ind w:leftChars="200" w:left="420"/>
        <w:outlineLvl w:val="1"/>
        <w:rPr>
          <w:rFonts w:ascii="楷体" w:eastAsia="楷体" w:hAnsi="楷体"/>
          <w:b/>
          <w:color w:val="000000" w:themeColor="text1"/>
          <w:sz w:val="24"/>
          <w:szCs w:val="24"/>
        </w:rPr>
      </w:pPr>
      <w:bookmarkStart w:id="41" w:name="_Toc138927975"/>
      <w:r>
        <w:rPr>
          <w:rFonts w:ascii="楷体" w:eastAsia="楷体" w:hAnsi="楷体" w:hint="eastAsia"/>
          <w:b/>
          <w:color w:val="000000" w:themeColor="text1"/>
          <w:sz w:val="24"/>
          <w:szCs w:val="24"/>
        </w:rPr>
        <w:t>玻璃</w:t>
      </w:r>
      <w:r w:rsidR="00A71A7E">
        <w:rPr>
          <w:rFonts w:ascii="楷体" w:eastAsia="楷体" w:hAnsi="楷体" w:hint="eastAsia"/>
          <w:b/>
          <w:color w:val="000000" w:themeColor="text1"/>
          <w:sz w:val="24"/>
          <w:szCs w:val="24"/>
        </w:rPr>
        <w:t>：</w:t>
      </w:r>
      <w:r w:rsidR="00D32D2F" w:rsidRPr="00D32D2F">
        <w:rPr>
          <w:rFonts w:ascii="楷体" w:eastAsia="楷体" w:hAnsi="楷体" w:hint="eastAsia"/>
          <w:b/>
          <w:color w:val="000000" w:themeColor="text1"/>
          <w:sz w:val="24"/>
          <w:szCs w:val="24"/>
        </w:rPr>
        <w:t>现货淡季需求弱势，宏观情绪反复扰动</w:t>
      </w:r>
      <w:bookmarkEnd w:id="41"/>
    </w:p>
    <w:p w:rsidR="00A71A7E" w:rsidRDefault="00D32D2F" w:rsidP="0079299D">
      <w:pPr>
        <w:ind w:leftChars="300" w:left="630"/>
        <w:rPr>
          <w:rFonts w:ascii="楷体" w:eastAsia="楷体" w:hAnsi="楷体"/>
          <w:color w:val="000000" w:themeColor="text1"/>
          <w:sz w:val="24"/>
          <w:szCs w:val="24"/>
        </w:rPr>
      </w:pPr>
      <w:r w:rsidRPr="00D32D2F">
        <w:rPr>
          <w:rFonts w:ascii="楷体" w:eastAsia="楷体" w:hAnsi="楷体" w:hint="eastAsia"/>
          <w:color w:val="000000" w:themeColor="text1"/>
          <w:sz w:val="24"/>
          <w:szCs w:val="24"/>
        </w:rPr>
        <w:t>隆众资讯6月28日报道：今日浮法玻璃现货价格1903，较上交易日-7。沙河地区产销较差，价格重心继续下移。盘面宏观炒作情绪短期消退后，反弹较为无力，再度回归基本面震荡态势，强预期弱现实情况明显。短期横盘震荡。重点关注：1）后续地产政策力度，2）各区域产销情况</w:t>
      </w:r>
      <w:r w:rsidR="00A71A7E">
        <w:rPr>
          <w:rFonts w:ascii="楷体" w:eastAsia="楷体" w:hAnsi="楷体" w:hint="eastAsia"/>
          <w:color w:val="000000" w:themeColor="text1"/>
          <w:sz w:val="24"/>
          <w:szCs w:val="24"/>
        </w:rPr>
        <w:t>。</w:t>
      </w:r>
    </w:p>
    <w:p w:rsidR="00A71A7E" w:rsidRDefault="00A71A7E" w:rsidP="00A71A7E">
      <w:pPr>
        <w:ind w:leftChars="300" w:left="630"/>
        <w:rPr>
          <w:rFonts w:ascii="楷体" w:eastAsia="楷体" w:hAnsi="楷体"/>
          <w:bCs/>
          <w:sz w:val="24"/>
          <w:szCs w:val="24"/>
        </w:rPr>
      </w:pPr>
    </w:p>
    <w:p w:rsidR="00A71A7E" w:rsidRDefault="0079299D" w:rsidP="00A71A7E">
      <w:pPr>
        <w:ind w:leftChars="200" w:left="420"/>
        <w:outlineLvl w:val="1"/>
        <w:rPr>
          <w:rFonts w:ascii="楷体" w:eastAsia="楷体" w:hAnsi="楷体"/>
          <w:b/>
          <w:color w:val="000000" w:themeColor="text1"/>
          <w:sz w:val="24"/>
          <w:szCs w:val="24"/>
        </w:rPr>
      </w:pPr>
      <w:bookmarkStart w:id="42" w:name="_Toc138927976"/>
      <w:r>
        <w:rPr>
          <w:rFonts w:ascii="楷体" w:eastAsia="楷体" w:hAnsi="楷体" w:hint="eastAsia"/>
          <w:b/>
          <w:color w:val="000000" w:themeColor="text1"/>
          <w:sz w:val="24"/>
          <w:szCs w:val="24"/>
        </w:rPr>
        <w:t>纯碱</w:t>
      </w:r>
      <w:r w:rsidR="00A71A7E">
        <w:rPr>
          <w:rFonts w:ascii="楷体" w:eastAsia="楷体" w:hAnsi="楷体" w:hint="eastAsia"/>
          <w:b/>
          <w:color w:val="000000" w:themeColor="text1"/>
          <w:sz w:val="24"/>
          <w:szCs w:val="24"/>
        </w:rPr>
        <w:t>：</w:t>
      </w:r>
      <w:r w:rsidR="00D32D2F" w:rsidRPr="00D32D2F">
        <w:rPr>
          <w:rFonts w:ascii="楷体" w:eastAsia="楷体" w:hAnsi="楷体" w:hint="eastAsia"/>
          <w:b/>
          <w:color w:val="000000" w:themeColor="text1"/>
          <w:sz w:val="24"/>
          <w:szCs w:val="24"/>
        </w:rPr>
        <w:t>远兴一期成功投料，空头大幅增仓</w:t>
      </w:r>
      <w:bookmarkEnd w:id="42"/>
    </w:p>
    <w:p w:rsidR="00A71A7E" w:rsidRDefault="00D32D2F" w:rsidP="00A71A7E">
      <w:pPr>
        <w:ind w:leftChars="300" w:left="630"/>
        <w:rPr>
          <w:rFonts w:ascii="楷体" w:eastAsia="楷体" w:hAnsi="楷体"/>
          <w:bCs/>
          <w:sz w:val="24"/>
          <w:szCs w:val="24"/>
        </w:rPr>
      </w:pPr>
      <w:r w:rsidRPr="00D32D2F">
        <w:rPr>
          <w:rFonts w:ascii="楷体" w:eastAsia="楷体" w:hAnsi="楷体" w:hint="eastAsia"/>
          <w:color w:val="000000" w:themeColor="text1"/>
          <w:sz w:val="24"/>
          <w:szCs w:val="24"/>
        </w:rPr>
        <w:t>国内纯碱市场价格近期无大幅变化。供给端，今日远兴能源1线投料试车成功。部分碱厂意见出现分歧，有企业小幅降价出货，大部分碱厂维持挺价政策。需求端，重碱下游观望为主，刚需采购，轻碱需求相对良好，下游企业适当补库。供需维持紧平衡状态。短期来看，基本面偏强，不宜过度追空，纯碱仍处于震荡市中。盘面资金博弈明显。建议逢低多08合约。09谨慎参与。重点关注：1）夏检企业是否如期，2）下游玻璃点火情况</w:t>
      </w:r>
      <w:r w:rsidR="00A71A7E">
        <w:rPr>
          <w:rFonts w:ascii="楷体" w:eastAsia="楷体" w:hAnsi="楷体" w:hint="eastAsia"/>
          <w:color w:val="000000" w:themeColor="text1"/>
          <w:sz w:val="24"/>
          <w:szCs w:val="24"/>
        </w:rPr>
        <w:t>。</w:t>
      </w:r>
    </w:p>
    <w:p w:rsidR="003F56A5" w:rsidRPr="00A71A7E" w:rsidRDefault="003F56A5">
      <w:pPr>
        <w:ind w:firstLineChars="200" w:firstLine="480"/>
        <w:rPr>
          <w:rFonts w:ascii="楷体" w:eastAsia="楷体" w:hAnsi="楷体"/>
          <w:bCs/>
          <w:sz w:val="24"/>
          <w:szCs w:val="24"/>
        </w:rPr>
      </w:pPr>
    </w:p>
    <w:p w:rsidR="003F56A5" w:rsidRDefault="003F56A5">
      <w:pPr>
        <w:ind w:firstLineChars="200" w:firstLine="420"/>
        <w:rPr>
          <w:rFonts w:ascii="Times New Roman" w:eastAsia="楷体" w:hAnsi="Times New Roman"/>
          <w:bCs/>
        </w:rPr>
      </w:pPr>
    </w:p>
    <w:p w:rsidR="003F56A5" w:rsidRDefault="00CC3FFA">
      <w:pPr>
        <w:pBdr>
          <w:top w:val="single" w:sz="4" w:space="1" w:color="auto"/>
        </w:pBdr>
        <w:outlineLvl w:val="0"/>
        <w:rPr>
          <w:rFonts w:ascii="Times New Roman" w:eastAsia="楷体" w:hAnsi="Times New Roman"/>
          <w:b/>
          <w:color w:val="823C0B"/>
          <w:sz w:val="30"/>
          <w:szCs w:val="30"/>
        </w:rPr>
      </w:pPr>
      <w:r>
        <w:rPr>
          <w:rFonts w:ascii="Times New Roman" w:eastAsia="楷体" w:hAnsi="Times New Roman" w:hint="eastAsia"/>
          <w:b/>
          <w:color w:val="823C0B"/>
          <w:sz w:val="30"/>
          <w:szCs w:val="30"/>
        </w:rPr>
        <w:t xml:space="preserve"> </w:t>
      </w:r>
      <w:bookmarkStart w:id="43" w:name="_Toc138927977"/>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农产品</w:t>
      </w:r>
      <w:r>
        <w:rPr>
          <w:rFonts w:ascii="Times New Roman" w:eastAsia="楷体" w:hAnsi="Times New Roman" w:hint="eastAsia"/>
          <w:b/>
          <w:color w:val="823C0B"/>
          <w:sz w:val="30"/>
          <w:szCs w:val="30"/>
        </w:rPr>
        <w:t>]</w:t>
      </w:r>
      <w:bookmarkEnd w:id="14"/>
      <w:bookmarkEnd w:id="43"/>
    </w:p>
    <w:p w:rsidR="003F56A5" w:rsidRDefault="00147B03">
      <w:pPr>
        <w:ind w:leftChars="200" w:left="420"/>
        <w:outlineLvl w:val="1"/>
        <w:rPr>
          <w:rFonts w:ascii="楷体" w:eastAsia="楷体" w:hAnsi="楷体"/>
          <w:b/>
          <w:sz w:val="24"/>
          <w:szCs w:val="24"/>
        </w:rPr>
      </w:pPr>
      <w:bookmarkStart w:id="44" w:name="_Toc138927978"/>
      <w:r w:rsidRPr="00147B03">
        <w:rPr>
          <w:rFonts w:ascii="楷体" w:eastAsia="楷体" w:hAnsi="楷体" w:hint="eastAsia"/>
          <w:b/>
          <w:color w:val="000000" w:themeColor="text1"/>
          <w:sz w:val="24"/>
          <w:szCs w:val="24"/>
        </w:rPr>
        <w:t>豆粕/菜粕</w:t>
      </w:r>
      <w:r w:rsidR="00CC3FFA">
        <w:rPr>
          <w:rFonts w:ascii="楷体" w:eastAsia="楷体" w:hAnsi="楷体" w:hint="eastAsia"/>
          <w:b/>
          <w:color w:val="000000" w:themeColor="text1"/>
          <w:sz w:val="24"/>
          <w:szCs w:val="24"/>
        </w:rPr>
        <w:t>：</w:t>
      </w:r>
      <w:r w:rsidR="00D32D2F" w:rsidRPr="00D32D2F">
        <w:rPr>
          <w:rFonts w:ascii="楷体" w:eastAsia="楷体" w:hAnsi="楷体" w:hint="eastAsia"/>
          <w:b/>
          <w:sz w:val="24"/>
          <w:szCs w:val="24"/>
        </w:rPr>
        <w:t>美豆回吐天气升水，内盘承压</w:t>
      </w:r>
      <w:bookmarkEnd w:id="44"/>
    </w:p>
    <w:p w:rsidR="003F56A5" w:rsidRDefault="00D32D2F">
      <w:pPr>
        <w:ind w:leftChars="300" w:left="630"/>
        <w:rPr>
          <w:rFonts w:ascii="楷体" w:eastAsia="楷体" w:hAnsi="楷体"/>
          <w:sz w:val="24"/>
          <w:szCs w:val="24"/>
        </w:rPr>
      </w:pPr>
      <w:r w:rsidRPr="00D32D2F">
        <w:rPr>
          <w:rFonts w:ascii="楷体" w:eastAsia="楷体" w:hAnsi="楷体" w:hint="eastAsia"/>
          <w:sz w:val="24"/>
          <w:szCs w:val="24"/>
        </w:rPr>
        <w:t>国际方面，降雨预报下美豆回吐天气升水，随着美国中西部和平原的部分地区将迎来充沛的降雨，市场预估干旱或能缓解。但当前部分产区干旱仍在持续，降雨的持续性以及能否有效缓解干旱仍待继续关注。当前美豆种植情况仍不乐观，优良率持续走低，截至6月25日当周，美国大豆优良率为51%，符合市场预期前一周为54%，去年同期为65%，创下1988年以来同期最低。巴西当前基本完成收割，大豆销售量达到预期产量的60%以上，6月出口预计达1430万吨。国内市场，随着当前大豆到港量增加，油厂已基本恢复开机压榨，但压榨节奏表现有差异，华南地区部分停机检修油厂将在端午后恢复，当前主流油厂豆粕现货报价稳中下调3880-4000元/吨，后续仍有回落压力。大豆4-6月到港量较大，5月进口到港1202万吨，环</w:t>
      </w:r>
      <w:r w:rsidRPr="00D32D2F">
        <w:rPr>
          <w:rFonts w:ascii="楷体" w:eastAsia="楷体" w:hAnsi="楷体" w:hint="eastAsia"/>
          <w:sz w:val="24"/>
          <w:szCs w:val="24"/>
        </w:rPr>
        <w:lastRenderedPageBreak/>
        <w:t>比增66%，到港仍较充裕。下游养殖利润表现仍不佳，且在杂粕替代下饲企和养殖企业等对豆粕饲用需求增量有限，在后续供应宽松下，现货基差仍面临着下行压力。菜粕当前供给相对偏紧，虽油厂开机及压榨维持较高水平，但菜籽二季度后到港预计减少。而需求方面在近期天气逐步回暖后，为华南水产需求旺季，替代需求方面，豆粕价格偏高，菜粕性价比仍存，整体供需表现紧张。策略方面，短期预计维持高位震荡，建议顺势操作，或关注空豆菜粕机会</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ind w:leftChars="200" w:left="420"/>
        <w:outlineLvl w:val="1"/>
        <w:rPr>
          <w:rFonts w:ascii="楷体" w:eastAsia="楷体" w:hAnsi="楷体"/>
          <w:b/>
          <w:sz w:val="24"/>
          <w:szCs w:val="24"/>
        </w:rPr>
      </w:pPr>
      <w:bookmarkStart w:id="45" w:name="_Toc138927979"/>
      <w:r>
        <w:rPr>
          <w:rFonts w:ascii="楷体" w:eastAsia="楷体" w:hAnsi="楷体" w:hint="eastAsia"/>
          <w:b/>
          <w:color w:val="000000" w:themeColor="text1"/>
          <w:sz w:val="24"/>
          <w:szCs w:val="24"/>
        </w:rPr>
        <w:t>油脂：</w:t>
      </w:r>
      <w:r w:rsidR="00D32D2F" w:rsidRPr="00D32D2F">
        <w:rPr>
          <w:rFonts w:ascii="楷体" w:eastAsia="楷体" w:hAnsi="楷体" w:hint="eastAsia"/>
          <w:b/>
          <w:sz w:val="24"/>
          <w:szCs w:val="24"/>
        </w:rPr>
        <w:t>油脂基本面存在差异，短期压力仍存</w:t>
      </w:r>
      <w:bookmarkEnd w:id="45"/>
    </w:p>
    <w:p w:rsidR="003F56A5" w:rsidRDefault="00D32D2F" w:rsidP="00792D31">
      <w:pPr>
        <w:ind w:leftChars="300" w:left="630"/>
        <w:rPr>
          <w:rFonts w:ascii="楷体" w:eastAsia="楷体" w:hAnsi="楷体"/>
          <w:sz w:val="24"/>
          <w:szCs w:val="24"/>
        </w:rPr>
      </w:pPr>
      <w:r w:rsidRPr="00D32D2F">
        <w:rPr>
          <w:rFonts w:ascii="楷体" w:eastAsia="楷体" w:hAnsi="楷体" w:hint="eastAsia"/>
          <w:sz w:val="24"/>
          <w:szCs w:val="24"/>
        </w:rPr>
        <w:t>国际市场，受BMD毛棕油上涨提振，内盘棕榈油表现较强，一是受厄尔尼诺带来的棕榈油产区干旱题材扰动；二是印尼上调7月上半月棕榈油参考报价至每吨747.23美元，出口税费预计将相应上调，或利好马棕出口需求。棕榈油，马来产区在近期干旱天气影响下，MPOA数据显示马来西亚6月1-20日棕榈油产量预估减少3.64%；但在出口预计环比下滑8%，需求疲软下，仍限制涨幅。虽市场开始炒作厄尔尼诺现象，但中期无法改变产地棕榈油累库的趋势。国内棕榈油在需求增加及进口下滑下，库存稳步去化。但在近期产地报价下滑，国内进口利润有所修复，6-7月船期买船增加，去库速度逐步放缓。需求端，随着气温回升利好棕榈油消费，且近期豆棕价差走阔替代需求或重回棕榈。豆油在供应修复预期下，压力仍存。虽5月初在大豆入关问题下，油厂开机不及预期，豆油供给修复缓慢。但随着5月下旬进口大豆到港增加，豆油供应存边际修复预期。需求，近期豆棕价差走阔，或不利于豆油替代需求，在后续供应增加下，价格上方仍存压。菜油现阶段处于供强需弱格局，但后续供应压力边际减轻。随着进口加籽到港量维持高位，菜籽供应较稳定，5月菜籽进口68.6万吨，菜油进口17万吨，均较同期增加，且近期菜油进口利润打开，有新增买船，菜油供应较宽松。需求方面，在国产菜籽上市后，浓香菜油偏好增加，进口菜油去库仍需通过对竞争油脂替代来消耗。短期油脂缺乏有力反弹驱动，建议观望，做多菜豆价差继续持有</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pStyle w:val="paragraph"/>
        <w:spacing w:before="60" w:beforeAutospacing="0" w:after="60" w:afterAutospacing="0"/>
        <w:ind w:leftChars="200" w:left="420"/>
        <w:outlineLvl w:val="1"/>
        <w:rPr>
          <w:rFonts w:ascii="楷体" w:eastAsia="楷体" w:hAnsi="楷体"/>
          <w:b/>
        </w:rPr>
      </w:pPr>
      <w:bookmarkStart w:id="46" w:name="_Toc138927980"/>
      <w:r>
        <w:rPr>
          <w:rFonts w:ascii="楷体" w:eastAsia="楷体" w:hAnsi="楷体" w:hint="eastAsia"/>
          <w:b/>
          <w:bCs/>
          <w:color w:val="000000" w:themeColor="text1"/>
        </w:rPr>
        <w:t>玉米与淀粉：</w:t>
      </w:r>
      <w:r w:rsidR="00AF54C5" w:rsidRPr="00AF54C5">
        <w:rPr>
          <w:rFonts w:ascii="楷体" w:eastAsia="楷体" w:hAnsi="楷体" w:hint="eastAsia"/>
          <w:b/>
        </w:rPr>
        <w:t>外盘天气炒作熄火，但旧作被动补库存逻辑依然存在</w:t>
      </w:r>
      <w:bookmarkEnd w:id="46"/>
    </w:p>
    <w:p w:rsidR="00AF54C5" w:rsidRPr="00AF54C5" w:rsidRDefault="00AF54C5" w:rsidP="00AF54C5">
      <w:pPr>
        <w:pStyle w:val="paragraph"/>
        <w:spacing w:before="60" w:after="60"/>
        <w:ind w:leftChars="300" w:left="630"/>
        <w:rPr>
          <w:rFonts w:ascii="楷体" w:eastAsia="楷体" w:hAnsi="楷体" w:hint="eastAsia"/>
        </w:rPr>
      </w:pPr>
      <w:r w:rsidRPr="00AF54C5">
        <w:rPr>
          <w:rFonts w:ascii="楷体" w:eastAsia="楷体" w:hAnsi="楷体" w:hint="eastAsia"/>
        </w:rPr>
        <w:t>对于玉米而言，在前期报告中，我们建议关注两个方面的上涨驱动，在新作产区天气方面，端午节期间受美国中西部地区降雨预报带动，外盘大幅下跌，接下来需要继续跟踪。后期或需要转向旧作被动补库存方面，因市场传言称临储陈化水稻抛储底价上调影响其饲用替代性价比，而当前下游需求企业如饲料养殖企业与华北深加工企业原料库存偏低，而渠道库存已经历去化，这有望带动通过现货推高期价特别是近月合约期价。在这种情况下，我们维持谨慎看多，建议激进投资者持有前期多单。</w:t>
      </w:r>
    </w:p>
    <w:p w:rsidR="003F56A5" w:rsidRDefault="00AF54C5" w:rsidP="00AF54C5">
      <w:pPr>
        <w:pStyle w:val="paragraph"/>
        <w:spacing w:before="60" w:beforeAutospacing="0" w:after="60" w:afterAutospacing="0"/>
        <w:ind w:leftChars="300" w:left="630"/>
        <w:rPr>
          <w:rFonts w:ascii="楷体" w:eastAsia="楷体" w:hAnsi="楷体"/>
        </w:rPr>
      </w:pPr>
      <w:r w:rsidRPr="00AF54C5">
        <w:rPr>
          <w:rFonts w:ascii="楷体" w:eastAsia="楷体" w:hAnsi="楷体" w:hint="eastAsia"/>
        </w:rPr>
        <w:t>对于淀粉而言，近期淀粉-玉米价差近弱远强表现分化，这主要源于近月仓单压力。考虑到外盘天气炒作通过蛋白粕对淀粉副产品的影响，结合淀粉基差和原料成本（华北-东北玉米价差）来看，淀粉-玉米价差有望继续走扩，短期或需要等待行业供需端的改善即行业库存的持续去化。</w:t>
      </w:r>
      <w:r w:rsidRPr="00AF54C5">
        <w:rPr>
          <w:rFonts w:ascii="楷体" w:eastAsia="楷体" w:hAnsi="楷体" w:hint="eastAsia"/>
        </w:rPr>
        <w:lastRenderedPageBreak/>
        <w:t>在这种情况下，我们建议持有前期价差走扩套利，激进投资者可以考虑持有单边多单</w:t>
      </w:r>
      <w:r w:rsidR="00CC3FFA">
        <w:rPr>
          <w:rFonts w:ascii="楷体" w:eastAsia="楷体" w:hAnsi="楷体" w:hint="eastAsia"/>
        </w:rPr>
        <w:t>。</w:t>
      </w:r>
    </w:p>
    <w:p w:rsidR="003F56A5" w:rsidRDefault="003F56A5">
      <w:pPr>
        <w:pStyle w:val="paragraph"/>
        <w:spacing w:before="60" w:beforeAutospacing="0" w:after="60" w:afterAutospacing="0"/>
        <w:ind w:leftChars="300" w:left="630"/>
        <w:rPr>
          <w:rFonts w:ascii="楷体" w:eastAsia="楷体" w:hAnsi="楷体"/>
        </w:rPr>
      </w:pPr>
    </w:p>
    <w:p w:rsidR="003F56A5" w:rsidRDefault="00CC3FFA">
      <w:pPr>
        <w:pStyle w:val="paragraph"/>
        <w:spacing w:before="60" w:beforeAutospacing="0" w:after="60" w:afterAutospacing="0"/>
        <w:ind w:leftChars="200" w:left="420"/>
        <w:outlineLvl w:val="1"/>
        <w:rPr>
          <w:rFonts w:ascii="楷体" w:eastAsia="楷体" w:hAnsi="楷体"/>
          <w:b/>
          <w:bCs/>
          <w:color w:val="000000" w:themeColor="text1"/>
        </w:rPr>
      </w:pPr>
      <w:bookmarkStart w:id="47" w:name="_Toc138927981"/>
      <w:r>
        <w:rPr>
          <w:rFonts w:ascii="楷体" w:eastAsia="楷体" w:hAnsi="楷体" w:hint="eastAsia"/>
          <w:b/>
          <w:bCs/>
          <w:color w:val="000000" w:themeColor="text1"/>
        </w:rPr>
        <w:t>畜禽养殖：</w:t>
      </w:r>
      <w:r w:rsidR="00AF54C5" w:rsidRPr="00AF54C5">
        <w:rPr>
          <w:rFonts w:ascii="楷体" w:eastAsia="楷体" w:hAnsi="楷体" w:hint="eastAsia"/>
          <w:b/>
          <w:bCs/>
          <w:color w:val="000000" w:themeColor="text1"/>
        </w:rPr>
        <w:t>生猪现货带动期价继续近弱远强分化运行</w:t>
      </w:r>
      <w:bookmarkEnd w:id="47"/>
    </w:p>
    <w:p w:rsidR="00AF54C5" w:rsidRPr="00AF54C5" w:rsidRDefault="00AF54C5" w:rsidP="00AF54C5">
      <w:pPr>
        <w:pStyle w:val="paragraph"/>
        <w:spacing w:before="60" w:after="60"/>
        <w:ind w:leftChars="300" w:left="630"/>
        <w:rPr>
          <w:rFonts w:ascii="楷体" w:eastAsia="楷体" w:hAnsi="楷体" w:hint="eastAsia"/>
        </w:rPr>
      </w:pPr>
      <w:r w:rsidRPr="00AF54C5">
        <w:rPr>
          <w:rFonts w:ascii="楷体" w:eastAsia="楷体" w:hAnsi="楷体" w:hint="eastAsia"/>
        </w:rPr>
        <w:t>对于生猪而言，3月以来现货低迷使得生猪养殖行业持续处于亏损状态，一方面导致市场消化前期供应，这体现在生猪出栏体重和宰后均重的持续下滑上；另一方面导致行业产能逐步去化，自6月以来仔猪价格持续大幅下跌，或表明产能去化有望加速。在这种情况下，生猪市场等待两个方面的交易机会，就短期而言，更多关注阶段性反弹机会，这主要源于去年四季度以来生猪价格下跌和春季前后非瘟疫情导致的仔猪供应下滑，对应后期生猪供应有望阶段性下滑；就中期而言，更多等待周期见底，这需要留意产能去化进度。纵观年后以来，期价持续表现为近弱远强分化运行，可以理解为，现货持续低迷市场下，各个合约逐步挤出期价升水的过程，但考虑到成本和收储等因素，各合约下方空间亦存在一定支撑。在这种情况下，观点转为中性，建议投资者观望为宜。</w:t>
      </w:r>
    </w:p>
    <w:p w:rsidR="003F56A5" w:rsidRDefault="00AF54C5" w:rsidP="00AF54C5">
      <w:pPr>
        <w:pStyle w:val="paragraph"/>
        <w:spacing w:before="60" w:beforeAutospacing="0" w:after="60" w:afterAutospacing="0"/>
        <w:ind w:leftChars="300" w:left="630"/>
        <w:rPr>
          <w:rFonts w:ascii="楷体" w:eastAsia="楷体" w:hAnsi="楷体"/>
        </w:rPr>
      </w:pPr>
      <w:r w:rsidRPr="00AF54C5">
        <w:rPr>
          <w:rFonts w:ascii="楷体" w:eastAsia="楷体" w:hAnsi="楷体" w:hint="eastAsia"/>
        </w:rPr>
        <w:t>对于鸡蛋而言，当前市场的主要矛盾体现在高基差上，之前市场的预期存在合理性，因节后以来鸡蛋价格和蛋鸡养殖利润处于同期高位水平，带动养殖户补栏积极性上涨，市场据此预计远期供需有望趋于改善，使得远月期价持续下跌。但5月以来，随着鸡蛋现货价格的下跌，蛋鸡养殖利润亦有显著下滑，带动养殖户补栏积极性下滑，与此同时，养殖户淘汰积极性上升，这会导致市场之前的供需改善预期存在较大变数。此外，9月合约一度跌至博亚和讯测算的鸡蛋养殖成本线，考虑到9月处于季节性旺季，供需之外还有季节性规律。我们倾向于鸡蛋期价下方空间或有限，维持谨慎看多观点，建议谨慎投资者观望，激进投资者可以考虑轻仓做多，以去年8月低点作为止损</w:t>
      </w:r>
      <w:r w:rsidR="00CC3FFA">
        <w:rPr>
          <w:rFonts w:ascii="楷体" w:eastAsia="楷体" w:hAnsi="楷体" w:hint="eastAsia"/>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sz w:val="24"/>
          <w:szCs w:val="24"/>
        </w:rPr>
      </w:pPr>
      <w:bookmarkStart w:id="48" w:name="_Toc138927982"/>
      <w:r>
        <w:rPr>
          <w:rFonts w:ascii="楷体" w:eastAsia="楷体" w:hAnsi="楷体" w:hint="eastAsia"/>
          <w:b/>
          <w:sz w:val="24"/>
          <w:szCs w:val="24"/>
        </w:rPr>
        <w:t>郑棉：</w:t>
      </w:r>
      <w:r w:rsidR="00D32D2F" w:rsidRPr="00D32D2F">
        <w:rPr>
          <w:rFonts w:ascii="楷体" w:eastAsia="楷体" w:hAnsi="楷体" w:hint="eastAsia"/>
          <w:b/>
          <w:sz w:val="24"/>
          <w:szCs w:val="24"/>
        </w:rPr>
        <w:t>预计09合约16000-16500区间震荡，卖出看跌期权或卖权持有</w:t>
      </w:r>
      <w:bookmarkEnd w:id="48"/>
    </w:p>
    <w:p w:rsidR="003F56A5" w:rsidRDefault="00D32D2F" w:rsidP="007B3290">
      <w:pPr>
        <w:ind w:leftChars="300" w:left="630"/>
        <w:rPr>
          <w:rFonts w:ascii="楷体" w:eastAsia="楷体" w:hAnsi="楷体"/>
          <w:sz w:val="24"/>
          <w:szCs w:val="24"/>
        </w:rPr>
      </w:pPr>
      <w:r w:rsidRPr="00D32D2F">
        <w:rPr>
          <w:rFonts w:ascii="楷体" w:eastAsia="楷体" w:hAnsi="楷体" w:hint="eastAsia"/>
          <w:sz w:val="24"/>
          <w:szCs w:val="24"/>
        </w:rPr>
        <w:t>2023年5月下旬，国家棉花市场监测系统就棉花实播面积展开全国范围专项调查，样本涉及14个省(自治区)、46个植棉县(市、团场)、1700个定点植棉信息联系户。调查结果显示，2023年全国棉花实播面积4140.2万亩，同比减少476.8万亩，减幅10.3%。另外，由于6月份天气炎热，充足的热量加快了棉花的生长发育。预计郑棉短期在40日均线和20日均线区间内震荡整理，等待调控政策、下游等方面的消息</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ind w:firstLineChars="200" w:firstLine="602"/>
        <w:rPr>
          <w:rFonts w:ascii="Times New Roman" w:eastAsia="楷体" w:hAnsi="Times New Roman"/>
          <w:b/>
          <w:color w:val="800000"/>
          <w:sz w:val="30"/>
          <w:szCs w:val="30"/>
        </w:rPr>
      </w:pPr>
      <w:r>
        <w:rPr>
          <w:rFonts w:ascii="Times New Roman" w:eastAsia="楷体" w:hAnsi="Times New Roman"/>
          <w:b/>
          <w:color w:val="800000"/>
          <w:sz w:val="30"/>
          <w:szCs w:val="30"/>
        </w:rPr>
        <w:br w:type="page"/>
      </w:r>
    </w:p>
    <w:p w:rsidR="003F56A5" w:rsidRDefault="00CC3FFA">
      <w:pPr>
        <w:spacing w:line="360" w:lineRule="auto"/>
        <w:jc w:val="center"/>
        <w:rPr>
          <w:rFonts w:ascii="Times New Roman" w:eastAsia="楷体" w:hAnsi="Times New Roman"/>
          <w:b/>
          <w:color w:val="411D05"/>
          <w:sz w:val="30"/>
          <w:szCs w:val="30"/>
        </w:rPr>
      </w:pPr>
      <w:bookmarkStart w:id="49" w:name="_Toc71212556"/>
      <w:bookmarkStart w:id="50" w:name="_Toc19667"/>
      <w:bookmarkStart w:id="51" w:name="_Toc98426751"/>
      <w:bookmarkStart w:id="52" w:name="_Toc12779"/>
      <w:bookmarkStart w:id="53" w:name="_Toc72481108"/>
      <w:r>
        <w:rPr>
          <w:rFonts w:ascii="Times New Roman" w:eastAsia="楷体" w:hAnsi="Times New Roman"/>
          <w:b/>
          <w:color w:val="411D05"/>
          <w:sz w:val="30"/>
          <w:szCs w:val="30"/>
        </w:rPr>
        <w:lastRenderedPageBreak/>
        <w:t>免责声明</w:t>
      </w:r>
      <w:bookmarkEnd w:id="49"/>
      <w:bookmarkEnd w:id="50"/>
      <w:bookmarkEnd w:id="51"/>
      <w:bookmarkEnd w:id="52"/>
      <w:bookmarkEnd w:id="53"/>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rsidR="003F56A5" w:rsidRDefault="00CC3FFA">
      <w:pPr>
        <w:ind w:firstLineChars="200" w:firstLine="422"/>
        <w:rPr>
          <w:rFonts w:ascii="Times New Roman" w:eastAsia="楷体" w:hAnsi="Times New Roman"/>
        </w:rPr>
      </w:pPr>
      <w:r>
        <w:rPr>
          <w:rFonts w:ascii="Times New Roman" w:eastAsia="楷体" w:hAnsi="Times New Roman" w:hint="eastAsia"/>
          <w:b/>
          <w:bCs/>
          <w:color w:val="C00000"/>
        </w:rPr>
        <w:t>广州期货股份有限公司提醒广大投资者：期市有风险，入市需谨慎！</w:t>
      </w:r>
    </w:p>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CC3FFA">
      <w:pPr>
        <w:jc w:val="left"/>
        <w:rPr>
          <w:rFonts w:ascii="Times New Roman" w:eastAsia="楷体" w:hAnsi="Times New Roman"/>
          <w:b/>
          <w:color w:val="823C0B"/>
          <w:sz w:val="28"/>
        </w:rPr>
      </w:pPr>
      <w:r>
        <w:rPr>
          <w:rFonts w:ascii="Times New Roman" w:eastAsia="楷体" w:hAnsi="Times New Roman"/>
          <w:b/>
          <w:color w:val="823C0B"/>
          <w:sz w:val="28"/>
        </w:rPr>
        <w:t>投资咨询业务资格</w:t>
      </w:r>
      <w:r>
        <w:rPr>
          <w:rFonts w:ascii="Times New Roman" w:eastAsia="楷体" w:hAnsi="Times New Roman"/>
          <w:b/>
          <w:color w:val="823C0B"/>
          <w:sz w:val="28"/>
        </w:rPr>
        <w:t>:</w:t>
      </w:r>
      <w:r>
        <w:rPr>
          <w:rFonts w:ascii="Times New Roman" w:eastAsia="楷体" w:hAnsi="Times New Roman"/>
          <w:b/>
          <w:color w:val="823C0B"/>
          <w:sz w:val="28"/>
        </w:rPr>
        <w:t>证监许可【</w:t>
      </w:r>
      <w:r>
        <w:rPr>
          <w:rFonts w:ascii="Times New Roman" w:eastAsia="楷体" w:hAnsi="Times New Roman"/>
          <w:b/>
          <w:color w:val="823C0B"/>
          <w:sz w:val="28"/>
        </w:rPr>
        <w:t>2012</w:t>
      </w:r>
      <w:r>
        <w:rPr>
          <w:rFonts w:ascii="Times New Roman" w:eastAsia="楷体" w:hAnsi="Times New Roman"/>
          <w:b/>
          <w:color w:val="823C0B"/>
          <w:sz w:val="28"/>
        </w:rPr>
        <w:t>】</w:t>
      </w:r>
      <w:r>
        <w:rPr>
          <w:rFonts w:ascii="Times New Roman" w:eastAsia="楷体" w:hAnsi="Times New Roman"/>
          <w:b/>
          <w:color w:val="823C0B"/>
          <w:sz w:val="28"/>
        </w:rPr>
        <w:t>1497</w:t>
      </w:r>
      <w:r>
        <w:rPr>
          <w:rFonts w:ascii="Times New Roman" w:eastAsia="楷体" w:hAnsi="Times New Roman"/>
          <w:b/>
          <w:color w:val="823C0B"/>
          <w:sz w:val="28"/>
        </w:rPr>
        <w:t>号</w:t>
      </w:r>
      <w:r>
        <w:rPr>
          <w:rFonts w:ascii="Times New Roman" w:eastAsia="楷体" w:hAnsi="Times New Roman"/>
          <w:b/>
          <w:color w:val="823C0B"/>
          <w:sz w:val="28"/>
        </w:rPr>
        <w:t xml:space="preserve"> </w:t>
      </w:r>
    </w:p>
    <w:p w:rsidR="003F56A5" w:rsidRDefault="003F56A5">
      <w:pPr>
        <w:ind w:firstLineChars="200" w:firstLine="440"/>
        <w:rPr>
          <w:rFonts w:ascii="Times New Roman" w:eastAsia="楷体" w:hAnsi="Times New Roman" w:cs="Times New Roman"/>
          <w:sz w:val="22"/>
        </w:rPr>
      </w:pPr>
    </w:p>
    <w:tbl>
      <w:tblPr>
        <w:tblStyle w:val="a7"/>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2"/>
        <w:gridCol w:w="4154"/>
      </w:tblGrid>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王荆杰</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F3084112</w:t>
            </w:r>
            <w:r>
              <w:rPr>
                <w:rFonts w:ascii="Times New Roman" w:eastAsia="楷体" w:hAnsi="Times New Roman" w:cs="Times New Roman" w:hint="eastAsia"/>
                <w:color w:val="823C0B"/>
                <w:sz w:val="22"/>
              </w:rPr>
              <w:t xml:space="preserve">    </w:t>
            </w:r>
          </w:p>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Z0016329</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范红军</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F03098791</w:t>
            </w:r>
          </w:p>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Z0017690</w:t>
            </w:r>
          </w:p>
        </w:tc>
      </w:tr>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李代</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F03086605</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Z0016791</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许克元</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F3022666</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Z0013612</w:t>
            </w:r>
          </w:p>
        </w:tc>
      </w:tr>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谢紫琪</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F3032560</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Z0014338</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薛晴</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F3035906</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Z0016940</w:t>
            </w:r>
          </w:p>
        </w:tc>
      </w:tr>
    </w:tbl>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tbl>
      <w:tblPr>
        <w:tblW w:w="5000" w:type="pct"/>
        <w:jc w:val="center"/>
        <w:tblLook w:val="04A0" w:firstRow="1" w:lastRow="0" w:firstColumn="1" w:lastColumn="0" w:noHBand="0" w:noVBand="1"/>
      </w:tblPr>
      <w:tblGrid>
        <w:gridCol w:w="8306"/>
      </w:tblGrid>
      <w:tr w:rsidR="003F56A5">
        <w:trPr>
          <w:jc w:val="center"/>
        </w:trPr>
        <w:tc>
          <w:tcPr>
            <w:tcW w:w="5000" w:type="pct"/>
            <w:shd w:val="clear" w:color="auto" w:fill="auto"/>
            <w:vAlign w:val="center"/>
          </w:tcPr>
          <w:p w:rsidR="003F56A5" w:rsidRDefault="00CC3FFA">
            <w:pPr>
              <w:rPr>
                <w:rFonts w:ascii="Times New Roman" w:eastAsia="楷体" w:hAnsi="Times New Roman"/>
                <w:b/>
                <w:bCs/>
                <w:color w:val="823C0B"/>
              </w:rPr>
            </w:pPr>
            <w:r>
              <w:rPr>
                <w:rFonts w:ascii="Times New Roman" w:eastAsia="楷体" w:hAnsi="Times New Roman"/>
                <w:bCs/>
                <w:color w:val="823C0B"/>
              </w:rPr>
              <w:t>办公地址：广州市天河区</w:t>
            </w:r>
            <w:r>
              <w:rPr>
                <w:rFonts w:ascii="Times New Roman" w:eastAsia="楷体" w:hAnsi="Times New Roman" w:hint="eastAsia"/>
                <w:bCs/>
                <w:color w:val="823C0B"/>
              </w:rPr>
              <w:t>临江大道</w:t>
            </w:r>
            <w:r>
              <w:rPr>
                <w:rFonts w:ascii="Times New Roman" w:eastAsia="楷体" w:hAnsi="Times New Roman" w:hint="eastAsia"/>
                <w:bCs/>
                <w:color w:val="823C0B"/>
              </w:rPr>
              <w:t>1</w:t>
            </w:r>
            <w:r>
              <w:rPr>
                <w:rFonts w:ascii="Times New Roman" w:eastAsia="楷体" w:hAnsi="Times New Roman" w:hint="eastAsia"/>
                <w:bCs/>
                <w:color w:val="823C0B"/>
              </w:rPr>
              <w:t>号寺右万科中心南塔</w:t>
            </w:r>
            <w:r>
              <w:rPr>
                <w:rFonts w:ascii="Times New Roman" w:eastAsia="楷体" w:hAnsi="Times New Roman"/>
                <w:bCs/>
                <w:color w:val="823C0B"/>
              </w:rPr>
              <w:t>6</w:t>
            </w:r>
            <w:r>
              <w:rPr>
                <w:rFonts w:ascii="Times New Roman" w:eastAsia="楷体" w:hAnsi="Times New Roman" w:hint="eastAsia"/>
                <w:bCs/>
                <w:color w:val="823C0B"/>
              </w:rPr>
              <w:t>层</w:t>
            </w:r>
          </w:p>
        </w:tc>
      </w:tr>
      <w:tr w:rsidR="003F56A5">
        <w:trPr>
          <w:jc w:val="center"/>
        </w:trPr>
        <w:tc>
          <w:tcPr>
            <w:tcW w:w="5000" w:type="pct"/>
            <w:shd w:val="clear" w:color="auto" w:fill="auto"/>
            <w:vAlign w:val="center"/>
          </w:tcPr>
          <w:p w:rsidR="003F56A5" w:rsidRDefault="00CC3FFA">
            <w:pPr>
              <w:jc w:val="left"/>
              <w:rPr>
                <w:rFonts w:ascii="Times New Roman" w:eastAsia="楷体" w:hAnsi="Times New Roman"/>
                <w:color w:val="823C0B"/>
              </w:rPr>
            </w:pPr>
            <w:r>
              <w:rPr>
                <w:rFonts w:ascii="Times New Roman" w:eastAsia="楷体" w:hAnsi="Times New Roman" w:hint="eastAsia"/>
                <w:bCs/>
                <w:color w:val="823C0B"/>
              </w:rPr>
              <w:t>联系方式</w:t>
            </w:r>
            <w:r>
              <w:rPr>
                <w:rFonts w:ascii="Times New Roman" w:eastAsia="楷体" w:hAnsi="Times New Roman" w:hint="eastAsia"/>
                <w:bCs/>
                <w:color w:val="823C0B"/>
              </w:rPr>
              <w:t>: (020)22836102</w:t>
            </w:r>
          </w:p>
        </w:tc>
      </w:tr>
      <w:tr w:rsidR="003F56A5">
        <w:trPr>
          <w:jc w:val="center"/>
        </w:trPr>
        <w:tc>
          <w:tcPr>
            <w:tcW w:w="5000" w:type="pct"/>
            <w:shd w:val="clear" w:color="auto" w:fill="auto"/>
            <w:vAlign w:val="center"/>
          </w:tcPr>
          <w:p w:rsidR="003F56A5" w:rsidRDefault="00CC3FFA">
            <w:pPr>
              <w:jc w:val="left"/>
              <w:rPr>
                <w:rFonts w:ascii="Times New Roman" w:eastAsia="楷体" w:hAnsi="Times New Roman"/>
                <w:bCs/>
                <w:color w:val="823C0B"/>
              </w:rPr>
            </w:pPr>
            <w:r>
              <w:rPr>
                <w:rFonts w:ascii="Times New Roman" w:eastAsia="楷体" w:hAnsi="Times New Roman"/>
                <w:bCs/>
                <w:color w:val="823C0B"/>
              </w:rPr>
              <w:t>邮政编码：</w:t>
            </w:r>
            <w:r>
              <w:rPr>
                <w:rFonts w:ascii="Times New Roman" w:eastAsia="楷体" w:hAnsi="Times New Roman"/>
                <w:bCs/>
                <w:color w:val="823C0B"/>
              </w:rPr>
              <w:t>510627</w:t>
            </w:r>
          </w:p>
        </w:tc>
      </w:tr>
    </w:tbl>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3F56A5">
      <w:pPr>
        <w:pBdr>
          <w:top w:val="none" w:sz="0" w:space="1" w:color="auto"/>
          <w:left w:val="none" w:sz="0" w:space="4" w:color="auto"/>
          <w:bottom w:val="none" w:sz="0" w:space="1" w:color="auto"/>
          <w:right w:val="none" w:sz="0" w:space="4" w:color="auto"/>
        </w:pBdr>
      </w:pPr>
    </w:p>
    <w:sectPr w:rsidR="003F56A5">
      <w:footerReference w:type="default" r:id="rId12"/>
      <w:footerReference w:type="first" r:id="rId13"/>
      <w:pgSz w:w="11906" w:h="16838"/>
      <w:pgMar w:top="1440" w:right="1800" w:bottom="1440" w:left="1800" w:header="850" w:footer="1077"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4AFE" w:rsidRDefault="00404AFE">
      <w:r>
        <w:separator/>
      </w:r>
    </w:p>
  </w:endnote>
  <w:endnote w:type="continuationSeparator" w:id="0">
    <w:p w:rsidR="00404AFE" w:rsidRDefault="00404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5"/>
      <w:pBdr>
        <w:top w:val="single" w:sz="4" w:space="0" w:color="000000"/>
      </w:pBdr>
      <w:jc w:val="both"/>
    </w:pPr>
    <w:r>
      <w:rPr>
        <w:rFonts w:ascii="楷体" w:eastAsia="楷体" w:hAnsi="楷体" w:cs="Times New Roman" w:hint="eastAsia"/>
        <w:b/>
        <w:color w:val="833C0B"/>
        <w:sz w:val="21"/>
        <w:lang w:bidi="ar"/>
      </w:rPr>
      <w:t>广州期货提醒各位投资者，期市有风险，入市需谨慎！请阅读文末免责声明</w:t>
    </w:r>
    <w:r>
      <w:rPr>
        <w:noProof/>
      </w:rPr>
      <mc:AlternateContent>
        <mc:Choice Requires="wps">
          <w:drawing>
            <wp:anchor distT="0" distB="0" distL="114300" distR="114300" simplePos="0" relativeHeight="251660288" behindDoc="0" locked="0" layoutInCell="1" allowOverlap="1" wp14:anchorId="15EFEC7B" wp14:editId="304FE128">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5"/>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 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270B8D8" id="_x0000_t202" coordsize="21600,21600" o:spt="202" path="m,l,21600r21600,l21600,xe">
              <v:stroke joinstyle="miter"/>
              <v:path gradientshapeok="t" o:connecttype="rect"/>
            </v:shapetype>
            <v:shape id="文本框 2" o:spid="_x0000_s1026" type="#_x0000_t202" style="position:absolute;left:0;text-align:left;margin-left:92.8pt;margin-top:0;width:2in;height:2in;z-index:25166028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3F56A5" w:rsidRDefault="00CC3FFA">
                    <w:pPr>
                      <w:pStyle w:val="a5"/>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 1</w:t>
                    </w:r>
                  </w:p>
                </w:txbxContent>
              </v:textbox>
              <w10:wrap anchorx="margin"/>
            </v:shape>
          </w:pict>
        </mc:Fallback>
      </mc:AlternateContent>
    </w:r>
    <w:r>
      <w:rPr>
        <w:rFonts w:ascii="楷体" w:eastAsia="楷体" w:hAnsi="楷体" w:cs="Times New Roman" w:hint="eastAsia"/>
        <w:b/>
        <w:color w:val="833C0B"/>
        <w:sz w:val="21"/>
        <w:lang w:bidi="ar"/>
      </w:rPr>
      <w: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5"/>
      <w:pBdr>
        <w:top w:val="single" w:sz="4" w:space="0" w:color="000000"/>
      </w:pBdr>
      <w:jc w:val="both"/>
    </w:pPr>
    <w:r>
      <w:rPr>
        <w:noProof/>
      </w:rP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5"/>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7" type="#_x0000_t202" style="position:absolute;left:0;text-align:left;margin-left:385.4pt;margin-top:-.85pt;width:2in;height:2in;z-index:251662336;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" filled="f" stroked="f" strokeweight=".5pt">
              <v:textbox style="mso-fit-shape-to-text:t" inset="0,0,0,0">
                <w:txbxContent>
                  <w:p w:rsidR="003F56A5" w:rsidRDefault="00CC3FFA">
                    <w:pPr>
                      <w:pStyle w:val="a5"/>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w:t>
                    </w:r>
                  </w:p>
                </w:txbxContent>
              </v:textbox>
              <w10:wrap anchorx="margin"/>
            </v:shape>
          </w:pict>
        </mc:Fallback>
      </mc:AlternateContent>
    </w:r>
    <w:r>
      <w:rPr>
        <w:noProof/>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5"/>
                          </w:pPr>
                          <w:r>
                            <w:rPr>
                              <w:rFonts w:ascii="Times New Roman" w:eastAsia="楷体" w:hAnsi="Times New Roman" w:cs="Times New Roman" w:hint="eastAsia"/>
                              <w:b/>
                              <w:color w:val="833C0B"/>
                              <w:sz w:val="21"/>
                              <w:lang w:bidi="ar"/>
                            </w:rPr>
                            <w:fldChar w:fldCharType="begin"/>
                          </w:r>
                          <w:r>
                            <w:rPr>
                              <w:rFonts w:ascii="Times New Roman" w:eastAsia="楷体" w:hAnsi="Times New Roman" w:cs="Times New Roman" w:hint="eastAsia"/>
                              <w:b/>
                              <w:color w:val="833C0B"/>
                              <w:sz w:val="21"/>
                              <w:lang w:bidi="ar"/>
                            </w:rPr>
                            <w:instrText xml:space="preserve"> PAGE  \* MERGEFORMAT </w:instrText>
                          </w:r>
                          <w:r>
                            <w:rPr>
                              <w:rFonts w:ascii="Times New Roman" w:eastAsia="楷体" w:hAnsi="Times New Roman" w:cs="Times New Roman" w:hint="eastAsia"/>
                              <w:b/>
                              <w:color w:val="833C0B"/>
                              <w:sz w:val="21"/>
                              <w:lang w:bidi="ar"/>
                            </w:rPr>
                            <w:fldChar w:fldCharType="separate"/>
                          </w:r>
                          <w:r w:rsidR="009B0D7B">
                            <w:rPr>
                              <w:rFonts w:ascii="Times New Roman" w:eastAsia="楷体" w:hAnsi="Times New Roman" w:cs="Times New Roman"/>
                              <w:b/>
                              <w:noProof/>
                              <w:color w:val="833C0B"/>
                              <w:sz w:val="21"/>
                              <w:lang w:bidi="ar"/>
                            </w:rPr>
                            <w:t>5</w:t>
                          </w:r>
                          <w:r>
                            <w:rPr>
                              <w:rFonts w:ascii="Times New Roman" w:eastAsia="楷体" w:hAnsi="Times New Roman" w:cs="Times New Roman" w:hint="eastAsia"/>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8" type="#_x0000_t202" style="position:absolute;left:0;text-align:left;margin-left:92.8pt;margin-top:0;width:2in;height:2in;z-index:25166336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gpNg9kAgAAEQUAAA4AAAAAAAAAAAAAAAAALgIAAGRycy9lMm9Eb2Mu&#10;eG1sUEsBAi0AFAAGAAgAAAAhAHGq0bnXAAAABQEAAA8AAAAAAAAAAAAAAAAAvgQAAGRycy9kb3du&#10;cmV2LnhtbFBLBQYAAAAABAAEAPMAAADCBQAAAAA=&#10;" filled="f" stroked="f" strokeweight=".5pt">
              <v:textbox style="mso-fit-shape-to-text:t" inset="0,0,0,0">
                <w:txbxContent>
                  <w:p w:rsidR="003F56A5" w:rsidRDefault="00CC3FFA">
                    <w:pPr>
                      <w:pStyle w:val="a5"/>
                    </w:pPr>
                    <w:r>
                      <w:rPr>
                        <w:rFonts w:ascii="Times New Roman" w:eastAsia="楷体" w:hAnsi="Times New Roman" w:cs="Times New Roman" w:hint="eastAsia"/>
                        <w:b/>
                        <w:color w:val="833C0B"/>
                        <w:sz w:val="21"/>
                        <w:lang w:bidi="ar"/>
                      </w:rPr>
                      <w:fldChar w:fldCharType="begin"/>
                    </w:r>
                    <w:r>
                      <w:rPr>
                        <w:rFonts w:ascii="Times New Roman" w:eastAsia="楷体" w:hAnsi="Times New Roman" w:cs="Times New Roman" w:hint="eastAsia"/>
                        <w:b/>
                        <w:color w:val="833C0B"/>
                        <w:sz w:val="21"/>
                        <w:lang w:bidi="ar"/>
                      </w:rPr>
                      <w:instrText xml:space="preserve"> PAGE  \* MERGEFORMAT </w:instrText>
                    </w:r>
                    <w:r>
                      <w:rPr>
                        <w:rFonts w:ascii="Times New Roman" w:eastAsia="楷体" w:hAnsi="Times New Roman" w:cs="Times New Roman" w:hint="eastAsia"/>
                        <w:b/>
                        <w:color w:val="833C0B"/>
                        <w:sz w:val="21"/>
                        <w:lang w:bidi="ar"/>
                      </w:rPr>
                      <w:fldChar w:fldCharType="separate"/>
                    </w:r>
                    <w:r w:rsidR="009B0D7B">
                      <w:rPr>
                        <w:rFonts w:ascii="Times New Roman" w:eastAsia="楷体" w:hAnsi="Times New Roman" w:cs="Times New Roman"/>
                        <w:b/>
                        <w:noProof/>
                        <w:color w:val="833C0B"/>
                        <w:sz w:val="21"/>
                        <w:lang w:bidi="ar"/>
                      </w:rPr>
                      <w:t>5</w:t>
                    </w:r>
                    <w:r>
                      <w:rPr>
                        <w:rFonts w:ascii="Times New Roman" w:eastAsia="楷体" w:hAnsi="Times New Roman" w:cs="Times New Roman" w:hint="eastAsia"/>
                        <w:b/>
                        <w:color w:val="833C0B"/>
                        <w:sz w:val="21"/>
                        <w:lang w:bidi="ar"/>
                      </w:rPr>
                      <w:fldChar w:fldCharType="end"/>
                    </w:r>
                  </w:p>
                </w:txbxContent>
              </v:textbox>
              <w10:wrap anchorx="margin"/>
            </v:shape>
          </w:pict>
        </mc:Fallback>
      </mc:AlternateContent>
    </w:r>
    <w:r>
      <w:rPr>
        <w:rFonts w:ascii="楷体" w:eastAsia="楷体" w:hAnsi="楷体" w:cs="Times New Roman" w:hint="eastAsia"/>
        <w:b/>
        <w:color w:val="833C0B"/>
        <w:sz w:val="21"/>
        <w:lang w:bidi="ar"/>
      </w:rPr>
      <w:t>广州期货提醒各位投资者，期市有风险，入市需谨慎！请阅读文末免责声明。</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5"/>
    </w:pPr>
    <w:r>
      <w:rPr>
        <w:noProof/>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9" type="#_x0000_t202" style="position:absolute;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nvQolkAgAAEQUAAA4AAAAAAAAAAAAAAAAALgIAAGRycy9lMm9Eb2Mu&#10;eG1sUEsBAi0AFAAGAAgAAAAhAHGq0bnXAAAABQEAAA8AAAAAAAAAAAAAAAAAvgQAAGRycy9kb3du&#10;cmV2LnhtbFBLBQYAAAAABAAEAPMAAADCBQAAAAA=&#10;" filled="f" stroked="f" strokeweight=".5pt">
              <v:textbox style="mso-fit-shape-to-text:t" inset="0,0,0,0">
                <w:txbxContent>
                  <w:p w:rsidR="003F56A5" w:rsidRDefault="00CC3FFA">
                    <w:pPr>
                      <w:pStyle w:val="a5"/>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4AFE" w:rsidRDefault="00404AFE">
      <w:r>
        <w:separator/>
      </w:r>
    </w:p>
  </w:footnote>
  <w:footnote w:type="continuationSeparator" w:id="0">
    <w:p w:rsidR="00404AFE" w:rsidRDefault="00404AF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6"/>
      <w:jc w:val="right"/>
    </w:pPr>
    <w:r>
      <w:rPr>
        <w:noProof/>
      </w:rPr>
      <w:drawing>
        <wp:anchor distT="0" distB="0" distL="114300" distR="114300" simplePos="0" relativeHeight="251659264" behindDoc="0" locked="0" layoutInCell="1" allowOverlap="1" wp14:anchorId="088AE8DB" wp14:editId="5413C817">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rsidR="003F56A5" w:rsidRDefault="00CC3FFA">
    <w:pPr>
      <w:pStyle w:val="a6"/>
      <w:pBdr>
        <w:bottom w:val="single" w:sz="4" w:space="1" w:color="auto"/>
      </w:pBdr>
      <w:jc w:val="right"/>
      <w:rPr>
        <w:b/>
        <w:bCs/>
      </w:rPr>
    </w:pPr>
    <w:r>
      <w:ptab w:relativeTo="margin" w:alignment="center" w:leader="none"/>
    </w:r>
    <w:r>
      <w:rPr>
        <w:rFonts w:ascii="Times New Roman" w:eastAsia="楷体" w:hAnsi="Times New Roman" w:hint="eastAsia"/>
        <w:b/>
        <w:bCs/>
        <w:color w:val="833C0B"/>
        <w:sz w:val="21"/>
      </w:rPr>
      <w:t>早间直通车</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6"/>
      <w:jc w:val="right"/>
      <w:rPr>
        <w:rFonts w:ascii="Times New Roman" w:eastAsia="楷体" w:hAnsi="Times New Roman"/>
        <w:b/>
        <w:bCs/>
        <w:color w:val="833C0B"/>
        <w:sz w:val="21"/>
      </w:rPr>
    </w:pPr>
    <w:r>
      <w:ptab w:relativeTo="margin" w:alignment="center" w:leader="none"/>
    </w:r>
    <w:r>
      <w:rPr>
        <w:noProof/>
      </w:rPr>
      <w:drawing>
        <wp:anchor distT="0" distB="0" distL="114300" distR="114300" simplePos="0" relativeHeight="251661312" behindDoc="0" locked="0" layoutInCell="1" allowOverlap="1" wp14:anchorId="037D9766" wp14:editId="0425CBB2">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ascii="Times New Roman" w:eastAsia="楷体" w:hAnsi="Times New Roman" w:hint="eastAsia"/>
        <w:b/>
        <w:bCs/>
        <w:color w:val="833C0B"/>
        <w:sz w:val="21"/>
      </w:rPr>
      <w:t>早间直通车</w:t>
    </w:r>
  </w:p>
  <w:p w:rsidR="003F56A5" w:rsidRDefault="00CC3FFA">
    <w:pPr>
      <w:pStyle w:val="a6"/>
      <w:pBdr>
        <w:bottom w:val="single" w:sz="4" w:space="1" w:color="auto"/>
      </w:pBdr>
      <w:jc w:val="right"/>
    </w:pPr>
    <w:r>
      <w:rPr>
        <w:rFonts w:ascii="Times New Roman" w:eastAsia="楷体" w:hAnsi="Times New Roman"/>
        <w:b/>
        <w:bCs/>
        <w:color w:val="833C0B"/>
        <w:sz w:val="21"/>
      </w:rPr>
      <w:fldChar w:fldCharType="begin"/>
    </w:r>
    <w:r>
      <w:rPr>
        <w:rFonts w:ascii="Times New Roman" w:eastAsia="楷体" w:hAnsi="Times New Roman"/>
        <w:b/>
        <w:bCs/>
        <w:color w:val="833C0B"/>
        <w:sz w:val="21"/>
      </w:rPr>
      <w:instrText xml:space="preserve"> </w:instrText>
    </w:r>
    <w:r>
      <w:rPr>
        <w:rFonts w:ascii="Times New Roman" w:eastAsia="楷体" w:hAnsi="Times New Roman" w:hint="eastAsia"/>
        <w:b/>
        <w:bCs/>
        <w:color w:val="833C0B"/>
        <w:sz w:val="21"/>
      </w:rPr>
      <w:instrText>TIME \@ "yyyy</w:instrText>
    </w:r>
    <w:r>
      <w:rPr>
        <w:rFonts w:ascii="Times New Roman" w:eastAsia="楷体" w:hAnsi="Times New Roman" w:hint="eastAsia"/>
        <w:b/>
        <w:bCs/>
        <w:color w:val="833C0B"/>
        <w:sz w:val="21"/>
      </w:rPr>
      <w:instrText>年</w:instrText>
    </w:r>
    <w:r>
      <w:rPr>
        <w:rFonts w:ascii="Times New Roman" w:eastAsia="楷体" w:hAnsi="Times New Roman" w:hint="eastAsia"/>
        <w:b/>
        <w:bCs/>
        <w:color w:val="833C0B"/>
        <w:sz w:val="21"/>
      </w:rPr>
      <w:instrText>M</w:instrText>
    </w:r>
    <w:r>
      <w:rPr>
        <w:rFonts w:ascii="Times New Roman" w:eastAsia="楷体" w:hAnsi="Times New Roman" w:hint="eastAsia"/>
        <w:b/>
        <w:bCs/>
        <w:color w:val="833C0B"/>
        <w:sz w:val="21"/>
      </w:rPr>
      <w:instrText>月</w:instrText>
    </w:r>
    <w:r>
      <w:rPr>
        <w:rFonts w:ascii="Times New Roman" w:eastAsia="楷体" w:hAnsi="Times New Roman" w:hint="eastAsia"/>
        <w:b/>
        <w:bCs/>
        <w:color w:val="833C0B"/>
        <w:sz w:val="21"/>
      </w:rPr>
      <w:instrText>d</w:instrText>
    </w:r>
    <w:r>
      <w:rPr>
        <w:rFonts w:ascii="Times New Roman" w:eastAsia="楷体" w:hAnsi="Times New Roman" w:hint="eastAsia"/>
        <w:b/>
        <w:bCs/>
        <w:color w:val="833C0B"/>
        <w:sz w:val="21"/>
      </w:rPr>
      <w:instrText>日星期</w:instrText>
    </w:r>
    <w:r>
      <w:rPr>
        <w:rFonts w:ascii="Times New Roman" w:eastAsia="楷体" w:hAnsi="Times New Roman" w:hint="eastAsia"/>
        <w:b/>
        <w:bCs/>
        <w:color w:val="833C0B"/>
        <w:sz w:val="21"/>
      </w:rPr>
      <w:instrText>W"</w:instrText>
    </w:r>
    <w:r>
      <w:rPr>
        <w:rFonts w:ascii="Times New Roman" w:eastAsia="楷体" w:hAnsi="Times New Roman"/>
        <w:b/>
        <w:bCs/>
        <w:color w:val="833C0B"/>
        <w:sz w:val="21"/>
      </w:rPr>
      <w:instrText xml:space="preserve"> </w:instrText>
    </w:r>
    <w:r>
      <w:rPr>
        <w:rFonts w:ascii="Times New Roman" w:eastAsia="楷体" w:hAnsi="Times New Roman"/>
        <w:b/>
        <w:bCs/>
        <w:color w:val="833C0B"/>
        <w:sz w:val="21"/>
      </w:rPr>
      <w:fldChar w:fldCharType="separate"/>
    </w:r>
    <w:r w:rsidR="00AF54C5">
      <w:rPr>
        <w:rFonts w:ascii="Times New Roman" w:eastAsia="楷体" w:hAnsi="Times New Roman" w:hint="eastAsia"/>
        <w:b/>
        <w:bCs/>
        <w:noProof/>
        <w:color w:val="833C0B"/>
        <w:sz w:val="21"/>
      </w:rPr>
      <w:t>2023</w:t>
    </w:r>
    <w:r w:rsidR="00AF54C5">
      <w:rPr>
        <w:rFonts w:ascii="Times New Roman" w:eastAsia="楷体" w:hAnsi="Times New Roman" w:hint="eastAsia"/>
        <w:b/>
        <w:bCs/>
        <w:noProof/>
        <w:color w:val="833C0B"/>
        <w:sz w:val="21"/>
      </w:rPr>
      <w:t>年</w:t>
    </w:r>
    <w:r w:rsidR="00AF54C5">
      <w:rPr>
        <w:rFonts w:ascii="Times New Roman" w:eastAsia="楷体" w:hAnsi="Times New Roman" w:hint="eastAsia"/>
        <w:b/>
        <w:bCs/>
        <w:noProof/>
        <w:color w:val="833C0B"/>
        <w:sz w:val="21"/>
      </w:rPr>
      <w:t>6</w:t>
    </w:r>
    <w:r w:rsidR="00AF54C5">
      <w:rPr>
        <w:rFonts w:ascii="Times New Roman" w:eastAsia="楷体" w:hAnsi="Times New Roman" w:hint="eastAsia"/>
        <w:b/>
        <w:bCs/>
        <w:noProof/>
        <w:color w:val="833C0B"/>
        <w:sz w:val="21"/>
      </w:rPr>
      <w:t>月</w:t>
    </w:r>
    <w:r w:rsidR="00AF54C5">
      <w:rPr>
        <w:rFonts w:ascii="Times New Roman" w:eastAsia="楷体" w:hAnsi="Times New Roman" w:hint="eastAsia"/>
        <w:b/>
        <w:bCs/>
        <w:noProof/>
        <w:color w:val="833C0B"/>
        <w:sz w:val="21"/>
      </w:rPr>
      <w:t>29</w:t>
    </w:r>
    <w:r w:rsidR="00AF54C5">
      <w:rPr>
        <w:rFonts w:ascii="Times New Roman" w:eastAsia="楷体" w:hAnsi="Times New Roman" w:hint="eastAsia"/>
        <w:b/>
        <w:bCs/>
        <w:noProof/>
        <w:color w:val="833C0B"/>
        <w:sz w:val="21"/>
      </w:rPr>
      <w:t>日星期四</w:t>
    </w:r>
    <w:r>
      <w:rPr>
        <w:rFonts w:ascii="Times New Roman" w:eastAsia="楷体" w:hAnsi="Times New Roman"/>
        <w:b/>
        <w:bCs/>
        <w:color w:val="833C0B"/>
        <w:sz w:val="21"/>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978E77E"/>
    <w:lvl w:ilvl="0">
      <w:start w:val="1"/>
      <w:numFmt w:val="decimal"/>
      <w:pStyle w:val="5"/>
      <w:lvlText w:val="%1."/>
      <w:lvlJc w:val="left"/>
      <w:pPr>
        <w:tabs>
          <w:tab w:val="num" w:pos="2040"/>
        </w:tabs>
        <w:ind w:leftChars="800" w:left="2040" w:hangingChars="200" w:hanging="360"/>
      </w:pPr>
    </w:lvl>
  </w:abstractNum>
  <w:abstractNum w:abstractNumId="1" w15:restartNumberingAfterBreak="0">
    <w:nsid w:val="FFFFFF7D"/>
    <w:multiLevelType w:val="singleLevel"/>
    <w:tmpl w:val="E55CB138"/>
    <w:lvl w:ilvl="0">
      <w:start w:val="1"/>
      <w:numFmt w:val="decimal"/>
      <w:pStyle w:val="4"/>
      <w:lvlText w:val="%1."/>
      <w:lvlJc w:val="left"/>
      <w:pPr>
        <w:tabs>
          <w:tab w:val="num" w:pos="1620"/>
        </w:tabs>
        <w:ind w:leftChars="600" w:left="1620" w:hangingChars="200" w:hanging="360"/>
      </w:pPr>
    </w:lvl>
  </w:abstractNum>
  <w:abstractNum w:abstractNumId="2" w15:restartNumberingAfterBreak="0">
    <w:nsid w:val="FFFFFF7E"/>
    <w:multiLevelType w:val="singleLevel"/>
    <w:tmpl w:val="301E4B02"/>
    <w:lvl w:ilvl="0">
      <w:start w:val="1"/>
      <w:numFmt w:val="decimal"/>
      <w:pStyle w:val="3"/>
      <w:lvlText w:val="%1."/>
      <w:lvlJc w:val="left"/>
      <w:pPr>
        <w:tabs>
          <w:tab w:val="num" w:pos="1200"/>
        </w:tabs>
        <w:ind w:leftChars="400" w:left="1200" w:hangingChars="200" w:hanging="360"/>
      </w:pPr>
    </w:lvl>
  </w:abstractNum>
  <w:abstractNum w:abstractNumId="3" w15:restartNumberingAfterBreak="0">
    <w:nsid w:val="FFFFFF7F"/>
    <w:multiLevelType w:val="singleLevel"/>
    <w:tmpl w:val="2366807E"/>
    <w:lvl w:ilvl="0">
      <w:start w:val="1"/>
      <w:numFmt w:val="decimal"/>
      <w:pStyle w:val="2"/>
      <w:lvlText w:val="%1."/>
      <w:lvlJc w:val="left"/>
      <w:pPr>
        <w:tabs>
          <w:tab w:val="num" w:pos="780"/>
        </w:tabs>
        <w:ind w:leftChars="200" w:left="780" w:hangingChars="200" w:hanging="360"/>
      </w:pPr>
    </w:lvl>
  </w:abstractNum>
  <w:abstractNum w:abstractNumId="4" w15:restartNumberingAfterBreak="0">
    <w:nsid w:val="FFFFFF80"/>
    <w:multiLevelType w:val="singleLevel"/>
    <w:tmpl w:val="091E1B16"/>
    <w:lvl w:ilvl="0">
      <w:start w:val="1"/>
      <w:numFmt w:val="bullet"/>
      <w:pStyle w:val="50"/>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CC02E7E8"/>
    <w:lvl w:ilvl="0">
      <w:start w:val="1"/>
      <w:numFmt w:val="bullet"/>
      <w:pStyle w:val="40"/>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C4EAC180"/>
    <w:lvl w:ilvl="0">
      <w:start w:val="1"/>
      <w:numFmt w:val="bullet"/>
      <w:pStyle w:val="30"/>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C8AC0C7A"/>
    <w:lvl w:ilvl="0">
      <w:start w:val="1"/>
      <w:numFmt w:val="bullet"/>
      <w:pStyle w:val="20"/>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C234F17C"/>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87D81124"/>
    <w:lvl w:ilvl="0">
      <w:start w:val="1"/>
      <w:numFmt w:val="bullet"/>
      <w:pStyle w:val="a0"/>
      <w:lvlText w:val=""/>
      <w:lvlJc w:val="left"/>
      <w:pPr>
        <w:tabs>
          <w:tab w:val="num" w:pos="360"/>
        </w:tabs>
        <w:ind w:left="360" w:hangingChars="20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3B3306F0"/>
    <w:rsid w:val="0000534E"/>
    <w:rsid w:val="000058D8"/>
    <w:rsid w:val="00006269"/>
    <w:rsid w:val="00010BF8"/>
    <w:rsid w:val="00012A9A"/>
    <w:rsid w:val="00020E82"/>
    <w:rsid w:val="00035EB2"/>
    <w:rsid w:val="000417D7"/>
    <w:rsid w:val="00050B6C"/>
    <w:rsid w:val="0005286B"/>
    <w:rsid w:val="0005726F"/>
    <w:rsid w:val="00072EAA"/>
    <w:rsid w:val="00076420"/>
    <w:rsid w:val="000820C6"/>
    <w:rsid w:val="00093E40"/>
    <w:rsid w:val="00096258"/>
    <w:rsid w:val="000A413E"/>
    <w:rsid w:val="000B0648"/>
    <w:rsid w:val="000B4E70"/>
    <w:rsid w:val="000C102A"/>
    <w:rsid w:val="000D36DC"/>
    <w:rsid w:val="000D42E2"/>
    <w:rsid w:val="000D7CF0"/>
    <w:rsid w:val="000E03FC"/>
    <w:rsid w:val="000E0C15"/>
    <w:rsid w:val="000E4EEB"/>
    <w:rsid w:val="00115EEA"/>
    <w:rsid w:val="00117470"/>
    <w:rsid w:val="00120B1F"/>
    <w:rsid w:val="00127803"/>
    <w:rsid w:val="00127FF1"/>
    <w:rsid w:val="00147668"/>
    <w:rsid w:val="00147B03"/>
    <w:rsid w:val="0015047B"/>
    <w:rsid w:val="00156FEB"/>
    <w:rsid w:val="001801C4"/>
    <w:rsid w:val="001942CB"/>
    <w:rsid w:val="001945E9"/>
    <w:rsid w:val="001A3E49"/>
    <w:rsid w:val="001B179D"/>
    <w:rsid w:val="001B1904"/>
    <w:rsid w:val="001B25C9"/>
    <w:rsid w:val="001B2D4C"/>
    <w:rsid w:val="001B6043"/>
    <w:rsid w:val="001B6394"/>
    <w:rsid w:val="001C2E87"/>
    <w:rsid w:val="001C77D0"/>
    <w:rsid w:val="001D1F0A"/>
    <w:rsid w:val="001D40EA"/>
    <w:rsid w:val="001D4474"/>
    <w:rsid w:val="001F5438"/>
    <w:rsid w:val="002074A1"/>
    <w:rsid w:val="00216C1E"/>
    <w:rsid w:val="00226406"/>
    <w:rsid w:val="0023093E"/>
    <w:rsid w:val="00230DB7"/>
    <w:rsid w:val="00235529"/>
    <w:rsid w:val="00244CA3"/>
    <w:rsid w:val="0025590B"/>
    <w:rsid w:val="00267FFD"/>
    <w:rsid w:val="00282262"/>
    <w:rsid w:val="00285297"/>
    <w:rsid w:val="00291461"/>
    <w:rsid w:val="00292AE8"/>
    <w:rsid w:val="002951EB"/>
    <w:rsid w:val="00297A1B"/>
    <w:rsid w:val="002A0670"/>
    <w:rsid w:val="002A6C89"/>
    <w:rsid w:val="002B2257"/>
    <w:rsid w:val="002B32AE"/>
    <w:rsid w:val="002C73FE"/>
    <w:rsid w:val="002F075C"/>
    <w:rsid w:val="002F545E"/>
    <w:rsid w:val="002F6AD1"/>
    <w:rsid w:val="002F7810"/>
    <w:rsid w:val="0031065A"/>
    <w:rsid w:val="00320AB1"/>
    <w:rsid w:val="00321629"/>
    <w:rsid w:val="003230A0"/>
    <w:rsid w:val="00323550"/>
    <w:rsid w:val="0033167B"/>
    <w:rsid w:val="00332F22"/>
    <w:rsid w:val="0033644D"/>
    <w:rsid w:val="003416C2"/>
    <w:rsid w:val="00341727"/>
    <w:rsid w:val="003471F4"/>
    <w:rsid w:val="00357545"/>
    <w:rsid w:val="00370D25"/>
    <w:rsid w:val="00371ED6"/>
    <w:rsid w:val="00374836"/>
    <w:rsid w:val="00375F0B"/>
    <w:rsid w:val="00376AF1"/>
    <w:rsid w:val="003953FD"/>
    <w:rsid w:val="003A1F3C"/>
    <w:rsid w:val="003A3DB4"/>
    <w:rsid w:val="003A5DDB"/>
    <w:rsid w:val="003C54F5"/>
    <w:rsid w:val="003C5F91"/>
    <w:rsid w:val="003D3A9E"/>
    <w:rsid w:val="003F2424"/>
    <w:rsid w:val="003F56A5"/>
    <w:rsid w:val="00404AFE"/>
    <w:rsid w:val="004201F5"/>
    <w:rsid w:val="004230AC"/>
    <w:rsid w:val="00426AB5"/>
    <w:rsid w:val="00433C64"/>
    <w:rsid w:val="00440FBE"/>
    <w:rsid w:val="004427D1"/>
    <w:rsid w:val="00452F14"/>
    <w:rsid w:val="004567BD"/>
    <w:rsid w:val="00461147"/>
    <w:rsid w:val="00484C53"/>
    <w:rsid w:val="00485A3F"/>
    <w:rsid w:val="00487F77"/>
    <w:rsid w:val="00491DD7"/>
    <w:rsid w:val="004977A9"/>
    <w:rsid w:val="004A382D"/>
    <w:rsid w:val="004A3F85"/>
    <w:rsid w:val="004A65B5"/>
    <w:rsid w:val="004B4D4D"/>
    <w:rsid w:val="004C11A7"/>
    <w:rsid w:val="004C5F3F"/>
    <w:rsid w:val="004D6F74"/>
    <w:rsid w:val="004E58A5"/>
    <w:rsid w:val="004E6093"/>
    <w:rsid w:val="005145ED"/>
    <w:rsid w:val="005245A4"/>
    <w:rsid w:val="00533D1C"/>
    <w:rsid w:val="00535DC9"/>
    <w:rsid w:val="00540298"/>
    <w:rsid w:val="00541F3F"/>
    <w:rsid w:val="00547DD7"/>
    <w:rsid w:val="00550252"/>
    <w:rsid w:val="00551A8D"/>
    <w:rsid w:val="005523A5"/>
    <w:rsid w:val="00553DEC"/>
    <w:rsid w:val="00572E35"/>
    <w:rsid w:val="00576234"/>
    <w:rsid w:val="005818A8"/>
    <w:rsid w:val="0058734B"/>
    <w:rsid w:val="00591B89"/>
    <w:rsid w:val="00593B03"/>
    <w:rsid w:val="00593F40"/>
    <w:rsid w:val="005A5EEB"/>
    <w:rsid w:val="005B5BDF"/>
    <w:rsid w:val="005B790A"/>
    <w:rsid w:val="005C05F7"/>
    <w:rsid w:val="005C05FA"/>
    <w:rsid w:val="005C49BA"/>
    <w:rsid w:val="005E1CE0"/>
    <w:rsid w:val="005E6164"/>
    <w:rsid w:val="005F2CE6"/>
    <w:rsid w:val="005F45A8"/>
    <w:rsid w:val="00606E2B"/>
    <w:rsid w:val="00610C41"/>
    <w:rsid w:val="00612D79"/>
    <w:rsid w:val="0061390B"/>
    <w:rsid w:val="00615F78"/>
    <w:rsid w:val="00637F19"/>
    <w:rsid w:val="00641752"/>
    <w:rsid w:val="00650F05"/>
    <w:rsid w:val="0065454E"/>
    <w:rsid w:val="00657B01"/>
    <w:rsid w:val="00661BB3"/>
    <w:rsid w:val="00666DE4"/>
    <w:rsid w:val="006911F3"/>
    <w:rsid w:val="006A135D"/>
    <w:rsid w:val="006A5214"/>
    <w:rsid w:val="006A7A79"/>
    <w:rsid w:val="006B4A5D"/>
    <w:rsid w:val="006D21ED"/>
    <w:rsid w:val="006F6553"/>
    <w:rsid w:val="00710028"/>
    <w:rsid w:val="007103A5"/>
    <w:rsid w:val="0072164F"/>
    <w:rsid w:val="007253E7"/>
    <w:rsid w:val="0072736C"/>
    <w:rsid w:val="007315D8"/>
    <w:rsid w:val="00743CFD"/>
    <w:rsid w:val="007664C1"/>
    <w:rsid w:val="00772382"/>
    <w:rsid w:val="00785519"/>
    <w:rsid w:val="007866A5"/>
    <w:rsid w:val="0079299D"/>
    <w:rsid w:val="00792D31"/>
    <w:rsid w:val="00794D36"/>
    <w:rsid w:val="007952E9"/>
    <w:rsid w:val="007A410D"/>
    <w:rsid w:val="007A66FE"/>
    <w:rsid w:val="007B3290"/>
    <w:rsid w:val="007B4FCE"/>
    <w:rsid w:val="007C2FD2"/>
    <w:rsid w:val="007D29EC"/>
    <w:rsid w:val="007D4BBD"/>
    <w:rsid w:val="007F09BE"/>
    <w:rsid w:val="007F1327"/>
    <w:rsid w:val="007F140C"/>
    <w:rsid w:val="007F186E"/>
    <w:rsid w:val="0080612D"/>
    <w:rsid w:val="00806354"/>
    <w:rsid w:val="0080692E"/>
    <w:rsid w:val="00806F4A"/>
    <w:rsid w:val="0080753A"/>
    <w:rsid w:val="00815011"/>
    <w:rsid w:val="00815817"/>
    <w:rsid w:val="00820D28"/>
    <w:rsid w:val="00822591"/>
    <w:rsid w:val="0083605E"/>
    <w:rsid w:val="00840F4E"/>
    <w:rsid w:val="00853880"/>
    <w:rsid w:val="00856132"/>
    <w:rsid w:val="008649BB"/>
    <w:rsid w:val="00867CA5"/>
    <w:rsid w:val="00873ECE"/>
    <w:rsid w:val="008740D4"/>
    <w:rsid w:val="0087785E"/>
    <w:rsid w:val="00892203"/>
    <w:rsid w:val="0089393F"/>
    <w:rsid w:val="008A0893"/>
    <w:rsid w:val="008A11C6"/>
    <w:rsid w:val="008A1D22"/>
    <w:rsid w:val="008B13D2"/>
    <w:rsid w:val="008B3268"/>
    <w:rsid w:val="008B361D"/>
    <w:rsid w:val="008C1554"/>
    <w:rsid w:val="008C3F42"/>
    <w:rsid w:val="008E2B15"/>
    <w:rsid w:val="008E33F3"/>
    <w:rsid w:val="008E3B84"/>
    <w:rsid w:val="008F229B"/>
    <w:rsid w:val="008F2A6E"/>
    <w:rsid w:val="00906E0C"/>
    <w:rsid w:val="00907943"/>
    <w:rsid w:val="00916E97"/>
    <w:rsid w:val="00920372"/>
    <w:rsid w:val="009260D3"/>
    <w:rsid w:val="009316EC"/>
    <w:rsid w:val="009317CD"/>
    <w:rsid w:val="00934728"/>
    <w:rsid w:val="009644D9"/>
    <w:rsid w:val="0097131C"/>
    <w:rsid w:val="009870E4"/>
    <w:rsid w:val="009A12FA"/>
    <w:rsid w:val="009A564D"/>
    <w:rsid w:val="009B0D7B"/>
    <w:rsid w:val="009B3801"/>
    <w:rsid w:val="009B534D"/>
    <w:rsid w:val="009B591A"/>
    <w:rsid w:val="009C3E56"/>
    <w:rsid w:val="009C483C"/>
    <w:rsid w:val="009D2477"/>
    <w:rsid w:val="009D4A74"/>
    <w:rsid w:val="009D5253"/>
    <w:rsid w:val="009D5D79"/>
    <w:rsid w:val="009D64FE"/>
    <w:rsid w:val="009E0994"/>
    <w:rsid w:val="009E4452"/>
    <w:rsid w:val="009E7578"/>
    <w:rsid w:val="009F5C7B"/>
    <w:rsid w:val="00A031CE"/>
    <w:rsid w:val="00A04421"/>
    <w:rsid w:val="00A11A0D"/>
    <w:rsid w:val="00A22080"/>
    <w:rsid w:val="00A223D3"/>
    <w:rsid w:val="00A42079"/>
    <w:rsid w:val="00A60F08"/>
    <w:rsid w:val="00A63022"/>
    <w:rsid w:val="00A71A7E"/>
    <w:rsid w:val="00A776D7"/>
    <w:rsid w:val="00A91E48"/>
    <w:rsid w:val="00A96E37"/>
    <w:rsid w:val="00A97444"/>
    <w:rsid w:val="00AA186F"/>
    <w:rsid w:val="00AA29E5"/>
    <w:rsid w:val="00AB0678"/>
    <w:rsid w:val="00AC00CF"/>
    <w:rsid w:val="00AC52CB"/>
    <w:rsid w:val="00AC7794"/>
    <w:rsid w:val="00AC7ECD"/>
    <w:rsid w:val="00AD009F"/>
    <w:rsid w:val="00AF54C5"/>
    <w:rsid w:val="00AF56FD"/>
    <w:rsid w:val="00AF5EA0"/>
    <w:rsid w:val="00B066DA"/>
    <w:rsid w:val="00B072C0"/>
    <w:rsid w:val="00B10135"/>
    <w:rsid w:val="00B118A2"/>
    <w:rsid w:val="00B133D0"/>
    <w:rsid w:val="00B15418"/>
    <w:rsid w:val="00B17165"/>
    <w:rsid w:val="00B1737C"/>
    <w:rsid w:val="00B1758C"/>
    <w:rsid w:val="00B17639"/>
    <w:rsid w:val="00B443CE"/>
    <w:rsid w:val="00B4555A"/>
    <w:rsid w:val="00B53C56"/>
    <w:rsid w:val="00B60464"/>
    <w:rsid w:val="00B606EF"/>
    <w:rsid w:val="00B618F8"/>
    <w:rsid w:val="00B64133"/>
    <w:rsid w:val="00B72E2D"/>
    <w:rsid w:val="00B745CB"/>
    <w:rsid w:val="00B805BD"/>
    <w:rsid w:val="00B91D3D"/>
    <w:rsid w:val="00B94E7D"/>
    <w:rsid w:val="00B97F08"/>
    <w:rsid w:val="00BA4663"/>
    <w:rsid w:val="00BA696B"/>
    <w:rsid w:val="00BC5F45"/>
    <w:rsid w:val="00BC71D6"/>
    <w:rsid w:val="00BD4C85"/>
    <w:rsid w:val="00BE456E"/>
    <w:rsid w:val="00BF3137"/>
    <w:rsid w:val="00C02ECE"/>
    <w:rsid w:val="00C06AC7"/>
    <w:rsid w:val="00C13E0F"/>
    <w:rsid w:val="00C2031B"/>
    <w:rsid w:val="00C2080D"/>
    <w:rsid w:val="00C228D6"/>
    <w:rsid w:val="00C240C3"/>
    <w:rsid w:val="00C25562"/>
    <w:rsid w:val="00C265C5"/>
    <w:rsid w:val="00C43DDB"/>
    <w:rsid w:val="00C575E9"/>
    <w:rsid w:val="00C62202"/>
    <w:rsid w:val="00C6240E"/>
    <w:rsid w:val="00C66C6C"/>
    <w:rsid w:val="00C70FDD"/>
    <w:rsid w:val="00C82E4D"/>
    <w:rsid w:val="00C91234"/>
    <w:rsid w:val="00C93E36"/>
    <w:rsid w:val="00CA1C01"/>
    <w:rsid w:val="00CB0962"/>
    <w:rsid w:val="00CB1AC3"/>
    <w:rsid w:val="00CB1F18"/>
    <w:rsid w:val="00CB2FD2"/>
    <w:rsid w:val="00CB3015"/>
    <w:rsid w:val="00CC03C4"/>
    <w:rsid w:val="00CC3E40"/>
    <w:rsid w:val="00CC3FFA"/>
    <w:rsid w:val="00CC6C03"/>
    <w:rsid w:val="00CD5884"/>
    <w:rsid w:val="00CD5DE8"/>
    <w:rsid w:val="00CD70A0"/>
    <w:rsid w:val="00CE7903"/>
    <w:rsid w:val="00CF6C71"/>
    <w:rsid w:val="00CF7A9A"/>
    <w:rsid w:val="00D00D60"/>
    <w:rsid w:val="00D017E5"/>
    <w:rsid w:val="00D01A19"/>
    <w:rsid w:val="00D04FF1"/>
    <w:rsid w:val="00D1582A"/>
    <w:rsid w:val="00D17FB1"/>
    <w:rsid w:val="00D309C4"/>
    <w:rsid w:val="00D32D2F"/>
    <w:rsid w:val="00D45E53"/>
    <w:rsid w:val="00D47039"/>
    <w:rsid w:val="00D55EAF"/>
    <w:rsid w:val="00D63655"/>
    <w:rsid w:val="00D75630"/>
    <w:rsid w:val="00D762B2"/>
    <w:rsid w:val="00D842AA"/>
    <w:rsid w:val="00D86D76"/>
    <w:rsid w:val="00D87130"/>
    <w:rsid w:val="00D93E0B"/>
    <w:rsid w:val="00DA7546"/>
    <w:rsid w:val="00DD334E"/>
    <w:rsid w:val="00DE02C4"/>
    <w:rsid w:val="00DF1796"/>
    <w:rsid w:val="00DF270D"/>
    <w:rsid w:val="00DF3B28"/>
    <w:rsid w:val="00DF56EC"/>
    <w:rsid w:val="00E020F2"/>
    <w:rsid w:val="00E12059"/>
    <w:rsid w:val="00E25D21"/>
    <w:rsid w:val="00E31716"/>
    <w:rsid w:val="00E32B95"/>
    <w:rsid w:val="00E34551"/>
    <w:rsid w:val="00E34EAB"/>
    <w:rsid w:val="00E373B2"/>
    <w:rsid w:val="00E40036"/>
    <w:rsid w:val="00E45000"/>
    <w:rsid w:val="00E451FD"/>
    <w:rsid w:val="00E4667F"/>
    <w:rsid w:val="00E556EC"/>
    <w:rsid w:val="00E55B22"/>
    <w:rsid w:val="00E60D44"/>
    <w:rsid w:val="00E64502"/>
    <w:rsid w:val="00E771D2"/>
    <w:rsid w:val="00E80EDB"/>
    <w:rsid w:val="00E84794"/>
    <w:rsid w:val="00E847DF"/>
    <w:rsid w:val="00E90013"/>
    <w:rsid w:val="00E928BB"/>
    <w:rsid w:val="00EA0CCD"/>
    <w:rsid w:val="00EA28CA"/>
    <w:rsid w:val="00EB4C04"/>
    <w:rsid w:val="00EB56F2"/>
    <w:rsid w:val="00EC2B12"/>
    <w:rsid w:val="00EC4D59"/>
    <w:rsid w:val="00ED06A6"/>
    <w:rsid w:val="00ED2A64"/>
    <w:rsid w:val="00ED451D"/>
    <w:rsid w:val="00ED7C55"/>
    <w:rsid w:val="00F07C02"/>
    <w:rsid w:val="00F157C6"/>
    <w:rsid w:val="00F234BF"/>
    <w:rsid w:val="00F268B3"/>
    <w:rsid w:val="00F31CCA"/>
    <w:rsid w:val="00F43E0E"/>
    <w:rsid w:val="00F473F0"/>
    <w:rsid w:val="00F622ED"/>
    <w:rsid w:val="00F65EEA"/>
    <w:rsid w:val="00F776D3"/>
    <w:rsid w:val="00F91733"/>
    <w:rsid w:val="00F95209"/>
    <w:rsid w:val="00FB3956"/>
    <w:rsid w:val="00FC0F8B"/>
    <w:rsid w:val="00FD6B0E"/>
    <w:rsid w:val="00FE1B77"/>
    <w:rsid w:val="02E32A5D"/>
    <w:rsid w:val="057D13AE"/>
    <w:rsid w:val="06B2613D"/>
    <w:rsid w:val="06B753E3"/>
    <w:rsid w:val="09B849A4"/>
    <w:rsid w:val="09F160E3"/>
    <w:rsid w:val="0AC64130"/>
    <w:rsid w:val="0B42525D"/>
    <w:rsid w:val="0C1F7DEE"/>
    <w:rsid w:val="0CDE660D"/>
    <w:rsid w:val="0D032A7C"/>
    <w:rsid w:val="0F662138"/>
    <w:rsid w:val="100732C8"/>
    <w:rsid w:val="10DA6205"/>
    <w:rsid w:val="113D3FD2"/>
    <w:rsid w:val="121F7D21"/>
    <w:rsid w:val="129B2E20"/>
    <w:rsid w:val="12AA5DF8"/>
    <w:rsid w:val="134E6356"/>
    <w:rsid w:val="15364A7C"/>
    <w:rsid w:val="15D52593"/>
    <w:rsid w:val="197E6634"/>
    <w:rsid w:val="1B8A2034"/>
    <w:rsid w:val="1BC72FF7"/>
    <w:rsid w:val="1D03226A"/>
    <w:rsid w:val="1D5030CD"/>
    <w:rsid w:val="1D876087"/>
    <w:rsid w:val="1DFF64E4"/>
    <w:rsid w:val="2056595D"/>
    <w:rsid w:val="20AE4DE8"/>
    <w:rsid w:val="216834DE"/>
    <w:rsid w:val="21996AC1"/>
    <w:rsid w:val="219F3EE2"/>
    <w:rsid w:val="22BB5089"/>
    <w:rsid w:val="24321B2E"/>
    <w:rsid w:val="244B21DE"/>
    <w:rsid w:val="247F3074"/>
    <w:rsid w:val="24B82D9D"/>
    <w:rsid w:val="258A2E5C"/>
    <w:rsid w:val="25B924F3"/>
    <w:rsid w:val="268419CF"/>
    <w:rsid w:val="26AC2D80"/>
    <w:rsid w:val="26F95364"/>
    <w:rsid w:val="2C6C12B9"/>
    <w:rsid w:val="2CA93C52"/>
    <w:rsid w:val="2D912E3A"/>
    <w:rsid w:val="2DC02C2B"/>
    <w:rsid w:val="2DE440F7"/>
    <w:rsid w:val="2FA70F17"/>
    <w:rsid w:val="340E7198"/>
    <w:rsid w:val="34A75784"/>
    <w:rsid w:val="373F75CC"/>
    <w:rsid w:val="3A2F6D68"/>
    <w:rsid w:val="3AC9385E"/>
    <w:rsid w:val="3B3306F0"/>
    <w:rsid w:val="3B563B4D"/>
    <w:rsid w:val="3C2825B0"/>
    <w:rsid w:val="3C2B26B7"/>
    <w:rsid w:val="3D8B796D"/>
    <w:rsid w:val="3DA80A30"/>
    <w:rsid w:val="3EC32453"/>
    <w:rsid w:val="3ECC520D"/>
    <w:rsid w:val="3EE0186C"/>
    <w:rsid w:val="3EFE09FD"/>
    <w:rsid w:val="3F345DBE"/>
    <w:rsid w:val="40F15753"/>
    <w:rsid w:val="43F63E0D"/>
    <w:rsid w:val="44092E2E"/>
    <w:rsid w:val="441077D2"/>
    <w:rsid w:val="44396064"/>
    <w:rsid w:val="459609D9"/>
    <w:rsid w:val="45A37566"/>
    <w:rsid w:val="45CF0A85"/>
    <w:rsid w:val="46194A11"/>
    <w:rsid w:val="47752ACA"/>
    <w:rsid w:val="47C813F2"/>
    <w:rsid w:val="4AB74C38"/>
    <w:rsid w:val="4B6224E5"/>
    <w:rsid w:val="4B8C4A56"/>
    <w:rsid w:val="4BF97936"/>
    <w:rsid w:val="4C457E30"/>
    <w:rsid w:val="4D2A3925"/>
    <w:rsid w:val="4DB20386"/>
    <w:rsid w:val="4DF02D90"/>
    <w:rsid w:val="5005695E"/>
    <w:rsid w:val="50286811"/>
    <w:rsid w:val="51266B84"/>
    <w:rsid w:val="546B5509"/>
    <w:rsid w:val="548642E9"/>
    <w:rsid w:val="54C12E33"/>
    <w:rsid w:val="55633225"/>
    <w:rsid w:val="56DD4D3A"/>
    <w:rsid w:val="57555A7B"/>
    <w:rsid w:val="57CB522F"/>
    <w:rsid w:val="58246D5D"/>
    <w:rsid w:val="59C52328"/>
    <w:rsid w:val="5B906095"/>
    <w:rsid w:val="5BF60A75"/>
    <w:rsid w:val="5C9F2D01"/>
    <w:rsid w:val="5D5617A6"/>
    <w:rsid w:val="5EA7685B"/>
    <w:rsid w:val="61DF02D0"/>
    <w:rsid w:val="62710E5F"/>
    <w:rsid w:val="64C32497"/>
    <w:rsid w:val="66D04BBC"/>
    <w:rsid w:val="685D4EEE"/>
    <w:rsid w:val="68D53E8D"/>
    <w:rsid w:val="6B292599"/>
    <w:rsid w:val="6ECB7DD2"/>
    <w:rsid w:val="70675779"/>
    <w:rsid w:val="713E0334"/>
    <w:rsid w:val="716F5E64"/>
    <w:rsid w:val="729B5F03"/>
    <w:rsid w:val="72F62A89"/>
    <w:rsid w:val="737357AF"/>
    <w:rsid w:val="74163BE4"/>
    <w:rsid w:val="75292EAC"/>
    <w:rsid w:val="75775016"/>
    <w:rsid w:val="7626762C"/>
    <w:rsid w:val="778F5135"/>
    <w:rsid w:val="784F7772"/>
    <w:rsid w:val="78E55995"/>
    <w:rsid w:val="79267C0B"/>
    <w:rsid w:val="7ABE4B56"/>
    <w:rsid w:val="7B264F79"/>
    <w:rsid w:val="7B3E5659"/>
    <w:rsid w:val="7CD80967"/>
    <w:rsid w:val="7EAF78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3903822-0D00-4240-B942-3C5B08AFA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rPr>
      <w:rFonts w:asciiTheme="minorHAnsi" w:hAnsiTheme="minorHAnsi" w:cstheme="minorBidi"/>
      <w:kern w:val="2"/>
      <w:sz w:val="21"/>
      <w:szCs w:val="21"/>
    </w:rPr>
  </w:style>
  <w:style w:type="paragraph" w:styleId="1">
    <w:name w:val="heading 1"/>
    <w:basedOn w:val="a1"/>
    <w:next w:val="a1"/>
    <w:link w:val="10"/>
    <w:qFormat/>
    <w:pPr>
      <w:keepNext/>
      <w:keepLines/>
      <w:spacing w:before="340" w:after="330" w:line="578" w:lineRule="auto"/>
      <w:outlineLvl w:val="0"/>
    </w:pPr>
    <w:rPr>
      <w:b/>
      <w:bCs/>
      <w:kern w:val="44"/>
      <w:sz w:val="44"/>
      <w:szCs w:val="44"/>
    </w:rPr>
  </w:style>
  <w:style w:type="paragraph" w:styleId="21">
    <w:name w:val="heading 2"/>
    <w:basedOn w:val="a1"/>
    <w:next w:val="a1"/>
    <w:link w:val="22"/>
    <w:semiHidden/>
    <w:unhideWhenUsed/>
    <w:qFormat/>
    <w:rsid w:val="00B64133"/>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1">
    <w:name w:val="heading 3"/>
    <w:basedOn w:val="a1"/>
    <w:next w:val="a1"/>
    <w:link w:val="32"/>
    <w:semiHidden/>
    <w:unhideWhenUsed/>
    <w:qFormat/>
    <w:rsid w:val="00B64133"/>
    <w:pPr>
      <w:keepNext/>
      <w:keepLines/>
      <w:spacing w:before="260" w:after="260" w:line="416" w:lineRule="auto"/>
      <w:outlineLvl w:val="2"/>
    </w:pPr>
    <w:rPr>
      <w:b/>
      <w:bCs/>
      <w:sz w:val="32"/>
      <w:szCs w:val="32"/>
    </w:rPr>
  </w:style>
  <w:style w:type="paragraph" w:styleId="41">
    <w:name w:val="heading 4"/>
    <w:basedOn w:val="a1"/>
    <w:next w:val="a1"/>
    <w:link w:val="42"/>
    <w:semiHidden/>
    <w:unhideWhenUsed/>
    <w:qFormat/>
    <w:rsid w:val="00B64133"/>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1">
    <w:name w:val="heading 5"/>
    <w:basedOn w:val="a1"/>
    <w:next w:val="a1"/>
    <w:link w:val="52"/>
    <w:semiHidden/>
    <w:unhideWhenUsed/>
    <w:qFormat/>
    <w:rsid w:val="00B64133"/>
    <w:pPr>
      <w:keepNext/>
      <w:keepLines/>
      <w:spacing w:before="280" w:after="290" w:line="376" w:lineRule="auto"/>
      <w:outlineLvl w:val="4"/>
    </w:pPr>
    <w:rPr>
      <w:b/>
      <w:bCs/>
      <w:sz w:val="28"/>
      <w:szCs w:val="28"/>
    </w:rPr>
  </w:style>
  <w:style w:type="paragraph" w:styleId="6">
    <w:name w:val="heading 6"/>
    <w:basedOn w:val="a1"/>
    <w:next w:val="a1"/>
    <w:link w:val="60"/>
    <w:semiHidden/>
    <w:unhideWhenUsed/>
    <w:qFormat/>
    <w:rsid w:val="00B64133"/>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1"/>
    <w:next w:val="a1"/>
    <w:link w:val="70"/>
    <w:semiHidden/>
    <w:unhideWhenUsed/>
    <w:qFormat/>
    <w:rsid w:val="00B64133"/>
    <w:pPr>
      <w:keepNext/>
      <w:keepLines/>
      <w:spacing w:before="240" w:after="64" w:line="320" w:lineRule="auto"/>
      <w:outlineLvl w:val="6"/>
    </w:pPr>
    <w:rPr>
      <w:b/>
      <w:bCs/>
      <w:sz w:val="24"/>
      <w:szCs w:val="24"/>
    </w:rPr>
  </w:style>
  <w:style w:type="paragraph" w:styleId="8">
    <w:name w:val="heading 8"/>
    <w:basedOn w:val="a1"/>
    <w:next w:val="a1"/>
    <w:link w:val="80"/>
    <w:semiHidden/>
    <w:unhideWhenUsed/>
    <w:qFormat/>
    <w:rsid w:val="00B64133"/>
    <w:pPr>
      <w:keepNext/>
      <w:keepLines/>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1"/>
    <w:next w:val="a1"/>
    <w:link w:val="90"/>
    <w:semiHidden/>
    <w:unhideWhenUsed/>
    <w:qFormat/>
    <w:rsid w:val="00B64133"/>
    <w:pPr>
      <w:keepNext/>
      <w:keepLines/>
      <w:spacing w:before="240" w:after="64" w:line="320" w:lineRule="auto"/>
      <w:outlineLvl w:val="8"/>
    </w:pPr>
    <w:rPr>
      <w:rFonts w:asciiTheme="majorHAnsi" w:eastAsiaTheme="majorEastAsia" w:hAnsiTheme="majorHAnsi" w:cstheme="majorBidi"/>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qFormat/>
    <w:pPr>
      <w:tabs>
        <w:tab w:val="center" w:pos="4153"/>
        <w:tab w:val="right" w:pos="8306"/>
      </w:tabs>
      <w:snapToGrid w:val="0"/>
      <w:jc w:val="left"/>
    </w:pPr>
    <w:rPr>
      <w:sz w:val="18"/>
    </w:rPr>
  </w:style>
  <w:style w:type="paragraph" w:styleId="a6">
    <w:name w:val="header"/>
    <w:basedOn w:val="a1"/>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1">
    <w:name w:val="toc 1"/>
    <w:basedOn w:val="a1"/>
    <w:next w:val="a1"/>
    <w:uiPriority w:val="39"/>
    <w:qFormat/>
  </w:style>
  <w:style w:type="paragraph" w:styleId="23">
    <w:name w:val="toc 2"/>
    <w:basedOn w:val="a1"/>
    <w:next w:val="a1"/>
    <w:uiPriority w:val="39"/>
    <w:qFormat/>
    <w:pPr>
      <w:ind w:leftChars="200" w:left="420"/>
    </w:pPr>
  </w:style>
  <w:style w:type="table" w:styleId="a7">
    <w:name w:val="Table Grid"/>
    <w:basedOn w:val="a3"/>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FollowedHyperlink"/>
    <w:basedOn w:val="a2"/>
    <w:qFormat/>
    <w:rPr>
      <w:color w:val="954F72" w:themeColor="followedHyperlink"/>
      <w:u w:val="single"/>
    </w:rPr>
  </w:style>
  <w:style w:type="character" w:styleId="a9">
    <w:name w:val="Hyperlink"/>
    <w:basedOn w:val="a2"/>
    <w:uiPriority w:val="99"/>
    <w:qFormat/>
    <w:rPr>
      <w:color w:val="0563C1" w:themeColor="hyperlink"/>
      <w:u w:val="single"/>
    </w:rPr>
  </w:style>
  <w:style w:type="paragraph" w:customStyle="1" w:styleId="paragraph">
    <w:name w:val="paragraph"/>
    <w:basedOn w:val="a1"/>
    <w:qFormat/>
    <w:pPr>
      <w:widowControl/>
      <w:spacing w:before="100" w:beforeAutospacing="1" w:after="100" w:afterAutospacing="1"/>
      <w:jc w:val="left"/>
    </w:pPr>
    <w:rPr>
      <w:rFonts w:ascii="宋体" w:hAnsi="宋体" w:cs="宋体"/>
      <w:kern w:val="0"/>
      <w:sz w:val="24"/>
      <w:szCs w:val="24"/>
    </w:rPr>
  </w:style>
  <w:style w:type="paragraph" w:styleId="aa">
    <w:name w:val="List Paragraph"/>
    <w:basedOn w:val="a1"/>
    <w:uiPriority w:val="99"/>
    <w:qFormat/>
    <w:pPr>
      <w:ind w:firstLineChars="200" w:firstLine="420"/>
    </w:pPr>
  </w:style>
  <w:style w:type="paragraph" w:customStyle="1" w:styleId="WPSOffice1">
    <w:name w:val="WPSOffice手动目录 1"/>
    <w:qFormat/>
  </w:style>
  <w:style w:type="paragraph" w:customStyle="1" w:styleId="WPSOffice2">
    <w:name w:val="WPSOffice手动目录 2"/>
    <w:qFormat/>
    <w:pPr>
      <w:ind w:leftChars="200" w:left="200"/>
    </w:pPr>
  </w:style>
  <w:style w:type="character" w:customStyle="1" w:styleId="10">
    <w:name w:val="标题 1 字符"/>
    <w:basedOn w:val="a2"/>
    <w:link w:val="1"/>
    <w:qFormat/>
    <w:rPr>
      <w:rFonts w:asciiTheme="minorHAnsi" w:hAnsiTheme="minorHAnsi" w:cstheme="minorBidi"/>
      <w:b/>
      <w:bCs/>
      <w:kern w:val="44"/>
      <w:sz w:val="44"/>
      <w:szCs w:val="44"/>
    </w:rPr>
  </w:style>
  <w:style w:type="paragraph" w:customStyle="1" w:styleId="TOC1">
    <w:name w:val="TOC 标题1"/>
    <w:basedOn w:val="1"/>
    <w:next w:val="a1"/>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HTML">
    <w:name w:val="HTML Address"/>
    <w:basedOn w:val="a1"/>
    <w:link w:val="HTML0"/>
    <w:rsid w:val="00B64133"/>
    <w:rPr>
      <w:i/>
      <w:iCs/>
    </w:rPr>
  </w:style>
  <w:style w:type="character" w:customStyle="1" w:styleId="HTML0">
    <w:name w:val="HTML 地址 字符"/>
    <w:basedOn w:val="a2"/>
    <w:link w:val="HTML"/>
    <w:rsid w:val="00B64133"/>
    <w:rPr>
      <w:rFonts w:asciiTheme="minorHAnsi" w:hAnsiTheme="minorHAnsi" w:cstheme="minorBidi"/>
      <w:i/>
      <w:iCs/>
      <w:kern w:val="2"/>
      <w:sz w:val="21"/>
      <w:szCs w:val="21"/>
    </w:rPr>
  </w:style>
  <w:style w:type="paragraph" w:styleId="HTML1">
    <w:name w:val="HTML Preformatted"/>
    <w:basedOn w:val="a1"/>
    <w:link w:val="HTML2"/>
    <w:rsid w:val="00B64133"/>
    <w:rPr>
      <w:rFonts w:ascii="Courier New" w:hAnsi="Courier New" w:cs="Courier New"/>
      <w:sz w:val="20"/>
      <w:szCs w:val="20"/>
    </w:rPr>
  </w:style>
  <w:style w:type="character" w:customStyle="1" w:styleId="HTML2">
    <w:name w:val="HTML 预设格式 字符"/>
    <w:basedOn w:val="a2"/>
    <w:link w:val="HTML1"/>
    <w:rsid w:val="00B64133"/>
    <w:rPr>
      <w:rFonts w:ascii="Courier New" w:hAnsi="Courier New" w:cs="Courier New"/>
      <w:kern w:val="2"/>
    </w:rPr>
  </w:style>
  <w:style w:type="paragraph" w:styleId="TOC">
    <w:name w:val="TOC Heading"/>
    <w:basedOn w:val="1"/>
    <w:next w:val="a1"/>
    <w:uiPriority w:val="39"/>
    <w:semiHidden/>
    <w:unhideWhenUsed/>
    <w:qFormat/>
    <w:rsid w:val="00B64133"/>
    <w:pPr>
      <w:outlineLvl w:val="9"/>
    </w:pPr>
  </w:style>
  <w:style w:type="paragraph" w:styleId="ab">
    <w:name w:val="Title"/>
    <w:basedOn w:val="a1"/>
    <w:next w:val="a1"/>
    <w:link w:val="ac"/>
    <w:qFormat/>
    <w:rsid w:val="00B64133"/>
    <w:pPr>
      <w:spacing w:before="240" w:after="60"/>
      <w:jc w:val="center"/>
      <w:outlineLvl w:val="0"/>
    </w:pPr>
    <w:rPr>
      <w:rFonts w:asciiTheme="majorHAnsi" w:eastAsiaTheme="majorEastAsia" w:hAnsiTheme="majorHAnsi" w:cstheme="majorBidi"/>
      <w:b/>
      <w:bCs/>
      <w:sz w:val="32"/>
      <w:szCs w:val="32"/>
    </w:rPr>
  </w:style>
  <w:style w:type="character" w:customStyle="1" w:styleId="ac">
    <w:name w:val="标题 字符"/>
    <w:basedOn w:val="a2"/>
    <w:link w:val="ab"/>
    <w:rsid w:val="00B64133"/>
    <w:rPr>
      <w:rFonts w:asciiTheme="majorHAnsi" w:eastAsiaTheme="majorEastAsia" w:hAnsiTheme="majorHAnsi" w:cstheme="majorBidi"/>
      <w:b/>
      <w:bCs/>
      <w:kern w:val="2"/>
      <w:sz w:val="32"/>
      <w:szCs w:val="32"/>
    </w:rPr>
  </w:style>
  <w:style w:type="character" w:customStyle="1" w:styleId="22">
    <w:name w:val="标题 2 字符"/>
    <w:basedOn w:val="a2"/>
    <w:link w:val="21"/>
    <w:semiHidden/>
    <w:rsid w:val="00B64133"/>
    <w:rPr>
      <w:rFonts w:asciiTheme="majorHAnsi" w:eastAsiaTheme="majorEastAsia" w:hAnsiTheme="majorHAnsi" w:cstheme="majorBidi"/>
      <w:b/>
      <w:bCs/>
      <w:kern w:val="2"/>
      <w:sz w:val="32"/>
      <w:szCs w:val="32"/>
    </w:rPr>
  </w:style>
  <w:style w:type="character" w:customStyle="1" w:styleId="32">
    <w:name w:val="标题 3 字符"/>
    <w:basedOn w:val="a2"/>
    <w:link w:val="31"/>
    <w:semiHidden/>
    <w:rsid w:val="00B64133"/>
    <w:rPr>
      <w:rFonts w:asciiTheme="minorHAnsi" w:hAnsiTheme="minorHAnsi" w:cstheme="minorBidi"/>
      <w:b/>
      <w:bCs/>
      <w:kern w:val="2"/>
      <w:sz w:val="32"/>
      <w:szCs w:val="32"/>
    </w:rPr>
  </w:style>
  <w:style w:type="character" w:customStyle="1" w:styleId="42">
    <w:name w:val="标题 4 字符"/>
    <w:basedOn w:val="a2"/>
    <w:link w:val="41"/>
    <w:semiHidden/>
    <w:rsid w:val="00B64133"/>
    <w:rPr>
      <w:rFonts w:asciiTheme="majorHAnsi" w:eastAsiaTheme="majorEastAsia" w:hAnsiTheme="majorHAnsi" w:cstheme="majorBidi"/>
      <w:b/>
      <w:bCs/>
      <w:kern w:val="2"/>
      <w:sz w:val="28"/>
      <w:szCs w:val="28"/>
    </w:rPr>
  </w:style>
  <w:style w:type="character" w:customStyle="1" w:styleId="52">
    <w:name w:val="标题 5 字符"/>
    <w:basedOn w:val="a2"/>
    <w:link w:val="51"/>
    <w:semiHidden/>
    <w:rsid w:val="00B64133"/>
    <w:rPr>
      <w:rFonts w:asciiTheme="minorHAnsi" w:hAnsiTheme="minorHAnsi" w:cstheme="minorBidi"/>
      <w:b/>
      <w:bCs/>
      <w:kern w:val="2"/>
      <w:sz w:val="28"/>
      <w:szCs w:val="28"/>
    </w:rPr>
  </w:style>
  <w:style w:type="character" w:customStyle="1" w:styleId="60">
    <w:name w:val="标题 6 字符"/>
    <w:basedOn w:val="a2"/>
    <w:link w:val="6"/>
    <w:semiHidden/>
    <w:rsid w:val="00B64133"/>
    <w:rPr>
      <w:rFonts w:asciiTheme="majorHAnsi" w:eastAsiaTheme="majorEastAsia" w:hAnsiTheme="majorHAnsi" w:cstheme="majorBidi"/>
      <w:b/>
      <w:bCs/>
      <w:kern w:val="2"/>
      <w:sz w:val="24"/>
      <w:szCs w:val="24"/>
    </w:rPr>
  </w:style>
  <w:style w:type="character" w:customStyle="1" w:styleId="70">
    <w:name w:val="标题 7 字符"/>
    <w:basedOn w:val="a2"/>
    <w:link w:val="7"/>
    <w:semiHidden/>
    <w:rsid w:val="00B64133"/>
    <w:rPr>
      <w:rFonts w:asciiTheme="minorHAnsi" w:hAnsiTheme="minorHAnsi" w:cstheme="minorBidi"/>
      <w:b/>
      <w:bCs/>
      <w:kern w:val="2"/>
      <w:sz w:val="24"/>
      <w:szCs w:val="24"/>
    </w:rPr>
  </w:style>
  <w:style w:type="character" w:customStyle="1" w:styleId="80">
    <w:name w:val="标题 8 字符"/>
    <w:basedOn w:val="a2"/>
    <w:link w:val="8"/>
    <w:semiHidden/>
    <w:rsid w:val="00B64133"/>
    <w:rPr>
      <w:rFonts w:asciiTheme="majorHAnsi" w:eastAsiaTheme="majorEastAsia" w:hAnsiTheme="majorHAnsi" w:cstheme="majorBidi"/>
      <w:kern w:val="2"/>
      <w:sz w:val="24"/>
      <w:szCs w:val="24"/>
    </w:rPr>
  </w:style>
  <w:style w:type="character" w:customStyle="1" w:styleId="90">
    <w:name w:val="标题 9 字符"/>
    <w:basedOn w:val="a2"/>
    <w:link w:val="9"/>
    <w:semiHidden/>
    <w:rsid w:val="00B64133"/>
    <w:rPr>
      <w:rFonts w:asciiTheme="majorHAnsi" w:eastAsiaTheme="majorEastAsia" w:hAnsiTheme="majorHAnsi" w:cstheme="majorBidi"/>
      <w:kern w:val="2"/>
      <w:sz w:val="21"/>
      <w:szCs w:val="21"/>
    </w:rPr>
  </w:style>
  <w:style w:type="paragraph" w:styleId="ad">
    <w:name w:val="Salutation"/>
    <w:basedOn w:val="a1"/>
    <w:next w:val="a1"/>
    <w:link w:val="ae"/>
    <w:rsid w:val="00B64133"/>
  </w:style>
  <w:style w:type="character" w:customStyle="1" w:styleId="ae">
    <w:name w:val="称呼 字符"/>
    <w:basedOn w:val="a2"/>
    <w:link w:val="ad"/>
    <w:rsid w:val="00B64133"/>
    <w:rPr>
      <w:rFonts w:asciiTheme="minorHAnsi" w:hAnsiTheme="minorHAnsi" w:cstheme="minorBidi"/>
      <w:kern w:val="2"/>
      <w:sz w:val="21"/>
      <w:szCs w:val="21"/>
    </w:rPr>
  </w:style>
  <w:style w:type="paragraph" w:styleId="af">
    <w:name w:val="Plain Text"/>
    <w:basedOn w:val="a1"/>
    <w:link w:val="af0"/>
    <w:rsid w:val="00B64133"/>
    <w:rPr>
      <w:rFonts w:asciiTheme="minorEastAsia" w:eastAsiaTheme="minorEastAsia" w:hAnsi="Courier New" w:cs="Courier New"/>
    </w:rPr>
  </w:style>
  <w:style w:type="character" w:customStyle="1" w:styleId="af0">
    <w:name w:val="纯文本 字符"/>
    <w:basedOn w:val="a2"/>
    <w:link w:val="af"/>
    <w:rsid w:val="00B64133"/>
    <w:rPr>
      <w:rFonts w:asciiTheme="minorEastAsia" w:eastAsiaTheme="minorEastAsia" w:hAnsi="Courier New" w:cs="Courier New"/>
      <w:kern w:val="2"/>
      <w:sz w:val="21"/>
      <w:szCs w:val="21"/>
    </w:rPr>
  </w:style>
  <w:style w:type="paragraph" w:styleId="af1">
    <w:name w:val="E-mail Signature"/>
    <w:basedOn w:val="a1"/>
    <w:link w:val="af2"/>
    <w:rsid w:val="00B64133"/>
  </w:style>
  <w:style w:type="character" w:customStyle="1" w:styleId="af2">
    <w:name w:val="电子邮件签名 字符"/>
    <w:basedOn w:val="a2"/>
    <w:link w:val="af1"/>
    <w:rsid w:val="00B64133"/>
    <w:rPr>
      <w:rFonts w:asciiTheme="minorHAnsi" w:hAnsiTheme="minorHAnsi" w:cstheme="minorBidi"/>
      <w:kern w:val="2"/>
      <w:sz w:val="21"/>
      <w:szCs w:val="21"/>
    </w:rPr>
  </w:style>
  <w:style w:type="paragraph" w:styleId="af3">
    <w:name w:val="Subtitle"/>
    <w:basedOn w:val="a1"/>
    <w:next w:val="a1"/>
    <w:link w:val="af4"/>
    <w:qFormat/>
    <w:rsid w:val="00B64133"/>
    <w:pPr>
      <w:spacing w:before="240" w:after="60" w:line="312" w:lineRule="auto"/>
      <w:jc w:val="center"/>
      <w:outlineLvl w:val="1"/>
    </w:pPr>
    <w:rPr>
      <w:rFonts w:eastAsiaTheme="minorEastAsia"/>
      <w:b/>
      <w:bCs/>
      <w:kern w:val="28"/>
      <w:sz w:val="32"/>
      <w:szCs w:val="32"/>
    </w:rPr>
  </w:style>
  <w:style w:type="character" w:customStyle="1" w:styleId="af4">
    <w:name w:val="副标题 字符"/>
    <w:basedOn w:val="a2"/>
    <w:link w:val="af3"/>
    <w:rsid w:val="00B64133"/>
    <w:rPr>
      <w:rFonts w:asciiTheme="minorHAnsi" w:eastAsiaTheme="minorEastAsia" w:hAnsiTheme="minorHAnsi" w:cstheme="minorBidi"/>
      <w:b/>
      <w:bCs/>
      <w:kern w:val="28"/>
      <w:sz w:val="32"/>
      <w:szCs w:val="32"/>
    </w:rPr>
  </w:style>
  <w:style w:type="paragraph" w:styleId="af5">
    <w:name w:val="macro"/>
    <w:link w:val="af6"/>
    <w:rsid w:val="00B64133"/>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character" w:customStyle="1" w:styleId="af6">
    <w:name w:val="宏文本 字符"/>
    <w:basedOn w:val="a2"/>
    <w:link w:val="af5"/>
    <w:rsid w:val="00B64133"/>
    <w:rPr>
      <w:rFonts w:ascii="Courier New" w:hAnsi="Courier New" w:cs="Courier New"/>
      <w:kern w:val="2"/>
      <w:sz w:val="24"/>
      <w:szCs w:val="24"/>
    </w:rPr>
  </w:style>
  <w:style w:type="paragraph" w:styleId="af7">
    <w:name w:val="envelope return"/>
    <w:basedOn w:val="a1"/>
    <w:rsid w:val="00B64133"/>
    <w:pPr>
      <w:snapToGrid w:val="0"/>
    </w:pPr>
    <w:rPr>
      <w:rFonts w:asciiTheme="majorHAnsi" w:eastAsiaTheme="majorEastAsia" w:hAnsiTheme="majorHAnsi" w:cstheme="majorBidi"/>
    </w:rPr>
  </w:style>
  <w:style w:type="paragraph" w:styleId="af8">
    <w:name w:val="footnote text"/>
    <w:basedOn w:val="a1"/>
    <w:link w:val="af9"/>
    <w:rsid w:val="00B64133"/>
    <w:pPr>
      <w:snapToGrid w:val="0"/>
      <w:jc w:val="left"/>
    </w:pPr>
    <w:rPr>
      <w:sz w:val="18"/>
      <w:szCs w:val="18"/>
    </w:rPr>
  </w:style>
  <w:style w:type="character" w:customStyle="1" w:styleId="af9">
    <w:name w:val="脚注文本 字符"/>
    <w:basedOn w:val="a2"/>
    <w:link w:val="af8"/>
    <w:rsid w:val="00B64133"/>
    <w:rPr>
      <w:rFonts w:asciiTheme="minorHAnsi" w:hAnsiTheme="minorHAnsi" w:cstheme="minorBidi"/>
      <w:kern w:val="2"/>
      <w:sz w:val="18"/>
      <w:szCs w:val="18"/>
    </w:rPr>
  </w:style>
  <w:style w:type="paragraph" w:styleId="afa">
    <w:name w:val="Closing"/>
    <w:basedOn w:val="a1"/>
    <w:link w:val="afb"/>
    <w:rsid w:val="00B64133"/>
    <w:pPr>
      <w:ind w:leftChars="2100" w:left="100"/>
    </w:pPr>
  </w:style>
  <w:style w:type="character" w:customStyle="1" w:styleId="afb">
    <w:name w:val="结束语 字符"/>
    <w:basedOn w:val="a2"/>
    <w:link w:val="afa"/>
    <w:rsid w:val="00B64133"/>
    <w:rPr>
      <w:rFonts w:asciiTheme="minorHAnsi" w:hAnsiTheme="minorHAnsi" w:cstheme="minorBidi"/>
      <w:kern w:val="2"/>
      <w:sz w:val="21"/>
      <w:szCs w:val="21"/>
    </w:rPr>
  </w:style>
  <w:style w:type="paragraph" w:styleId="afc">
    <w:name w:val="List"/>
    <w:basedOn w:val="a1"/>
    <w:rsid w:val="00B64133"/>
    <w:pPr>
      <w:ind w:left="200" w:hangingChars="200" w:hanging="200"/>
      <w:contextualSpacing/>
    </w:pPr>
  </w:style>
  <w:style w:type="paragraph" w:styleId="24">
    <w:name w:val="List 2"/>
    <w:basedOn w:val="a1"/>
    <w:rsid w:val="00B64133"/>
    <w:pPr>
      <w:ind w:leftChars="200" w:left="100" w:hangingChars="200" w:hanging="200"/>
      <w:contextualSpacing/>
    </w:pPr>
  </w:style>
  <w:style w:type="paragraph" w:styleId="33">
    <w:name w:val="List 3"/>
    <w:basedOn w:val="a1"/>
    <w:rsid w:val="00B64133"/>
    <w:pPr>
      <w:ind w:leftChars="400" w:left="100" w:hangingChars="200" w:hanging="200"/>
      <w:contextualSpacing/>
    </w:pPr>
  </w:style>
  <w:style w:type="paragraph" w:styleId="43">
    <w:name w:val="List 4"/>
    <w:basedOn w:val="a1"/>
    <w:rsid w:val="00B64133"/>
    <w:pPr>
      <w:ind w:leftChars="600" w:left="100" w:hangingChars="200" w:hanging="200"/>
      <w:contextualSpacing/>
    </w:pPr>
  </w:style>
  <w:style w:type="paragraph" w:styleId="53">
    <w:name w:val="List 5"/>
    <w:basedOn w:val="a1"/>
    <w:rsid w:val="00B64133"/>
    <w:pPr>
      <w:ind w:leftChars="800" w:left="100" w:hangingChars="200" w:hanging="200"/>
      <w:contextualSpacing/>
    </w:pPr>
  </w:style>
  <w:style w:type="paragraph" w:styleId="a">
    <w:name w:val="List Number"/>
    <w:basedOn w:val="a1"/>
    <w:rsid w:val="00B64133"/>
    <w:pPr>
      <w:numPr>
        <w:numId w:val="1"/>
      </w:numPr>
      <w:contextualSpacing/>
    </w:pPr>
  </w:style>
  <w:style w:type="paragraph" w:styleId="2">
    <w:name w:val="List Number 2"/>
    <w:basedOn w:val="a1"/>
    <w:rsid w:val="00B64133"/>
    <w:pPr>
      <w:numPr>
        <w:numId w:val="2"/>
      </w:numPr>
      <w:contextualSpacing/>
    </w:pPr>
  </w:style>
  <w:style w:type="paragraph" w:styleId="3">
    <w:name w:val="List Number 3"/>
    <w:basedOn w:val="a1"/>
    <w:rsid w:val="00B64133"/>
    <w:pPr>
      <w:numPr>
        <w:numId w:val="3"/>
      </w:numPr>
      <w:contextualSpacing/>
    </w:pPr>
  </w:style>
  <w:style w:type="paragraph" w:styleId="4">
    <w:name w:val="List Number 4"/>
    <w:basedOn w:val="a1"/>
    <w:rsid w:val="00B64133"/>
    <w:pPr>
      <w:numPr>
        <w:numId w:val="4"/>
      </w:numPr>
      <w:contextualSpacing/>
    </w:pPr>
  </w:style>
  <w:style w:type="paragraph" w:styleId="5">
    <w:name w:val="List Number 5"/>
    <w:basedOn w:val="a1"/>
    <w:rsid w:val="00B64133"/>
    <w:pPr>
      <w:numPr>
        <w:numId w:val="5"/>
      </w:numPr>
      <w:contextualSpacing/>
    </w:pPr>
  </w:style>
  <w:style w:type="paragraph" w:styleId="afd">
    <w:name w:val="List Continue"/>
    <w:basedOn w:val="a1"/>
    <w:rsid w:val="00B64133"/>
    <w:pPr>
      <w:spacing w:after="120"/>
      <w:ind w:leftChars="200" w:left="420"/>
      <w:contextualSpacing/>
    </w:pPr>
  </w:style>
  <w:style w:type="paragraph" w:styleId="25">
    <w:name w:val="List Continue 2"/>
    <w:basedOn w:val="a1"/>
    <w:rsid w:val="00B64133"/>
    <w:pPr>
      <w:spacing w:after="120"/>
      <w:ind w:leftChars="400" w:left="840"/>
      <w:contextualSpacing/>
    </w:pPr>
  </w:style>
  <w:style w:type="paragraph" w:styleId="34">
    <w:name w:val="List Continue 3"/>
    <w:basedOn w:val="a1"/>
    <w:rsid w:val="00B64133"/>
    <w:pPr>
      <w:spacing w:after="120"/>
      <w:ind w:leftChars="600" w:left="1260"/>
      <w:contextualSpacing/>
    </w:pPr>
  </w:style>
  <w:style w:type="paragraph" w:styleId="44">
    <w:name w:val="List Continue 4"/>
    <w:basedOn w:val="a1"/>
    <w:rsid w:val="00B64133"/>
    <w:pPr>
      <w:spacing w:after="120"/>
      <w:ind w:leftChars="800" w:left="1680"/>
      <w:contextualSpacing/>
    </w:pPr>
  </w:style>
  <w:style w:type="paragraph" w:styleId="54">
    <w:name w:val="List Continue 5"/>
    <w:basedOn w:val="a1"/>
    <w:rsid w:val="00B64133"/>
    <w:pPr>
      <w:spacing w:after="120"/>
      <w:ind w:leftChars="1000" w:left="2100"/>
      <w:contextualSpacing/>
    </w:pPr>
  </w:style>
  <w:style w:type="paragraph" w:styleId="a0">
    <w:name w:val="List Bullet"/>
    <w:basedOn w:val="a1"/>
    <w:rsid w:val="00B64133"/>
    <w:pPr>
      <w:numPr>
        <w:numId w:val="6"/>
      </w:numPr>
      <w:contextualSpacing/>
    </w:pPr>
  </w:style>
  <w:style w:type="paragraph" w:styleId="20">
    <w:name w:val="List Bullet 2"/>
    <w:basedOn w:val="a1"/>
    <w:rsid w:val="00B64133"/>
    <w:pPr>
      <w:numPr>
        <w:numId w:val="7"/>
      </w:numPr>
      <w:contextualSpacing/>
    </w:pPr>
  </w:style>
  <w:style w:type="paragraph" w:styleId="30">
    <w:name w:val="List Bullet 3"/>
    <w:basedOn w:val="a1"/>
    <w:rsid w:val="00B64133"/>
    <w:pPr>
      <w:numPr>
        <w:numId w:val="8"/>
      </w:numPr>
      <w:contextualSpacing/>
    </w:pPr>
  </w:style>
  <w:style w:type="paragraph" w:styleId="40">
    <w:name w:val="List Bullet 4"/>
    <w:basedOn w:val="a1"/>
    <w:rsid w:val="00B64133"/>
    <w:pPr>
      <w:numPr>
        <w:numId w:val="9"/>
      </w:numPr>
      <w:contextualSpacing/>
    </w:pPr>
  </w:style>
  <w:style w:type="paragraph" w:styleId="50">
    <w:name w:val="List Bullet 5"/>
    <w:basedOn w:val="a1"/>
    <w:rsid w:val="00B64133"/>
    <w:pPr>
      <w:numPr>
        <w:numId w:val="10"/>
      </w:numPr>
      <w:contextualSpacing/>
    </w:pPr>
  </w:style>
  <w:style w:type="paragraph" w:styleId="afe">
    <w:name w:val="Intense Quote"/>
    <w:basedOn w:val="a1"/>
    <w:next w:val="a1"/>
    <w:link w:val="aff"/>
    <w:uiPriority w:val="99"/>
    <w:rsid w:val="00B641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ff">
    <w:name w:val="明显引用 字符"/>
    <w:basedOn w:val="a2"/>
    <w:link w:val="afe"/>
    <w:uiPriority w:val="99"/>
    <w:rsid w:val="00B64133"/>
    <w:rPr>
      <w:rFonts w:asciiTheme="minorHAnsi" w:hAnsiTheme="minorHAnsi" w:cstheme="minorBidi"/>
      <w:i/>
      <w:iCs/>
      <w:color w:val="5B9BD5" w:themeColor="accent1"/>
      <w:kern w:val="2"/>
      <w:sz w:val="21"/>
      <w:szCs w:val="21"/>
    </w:rPr>
  </w:style>
  <w:style w:type="paragraph" w:styleId="35">
    <w:name w:val="toc 3"/>
    <w:basedOn w:val="a1"/>
    <w:next w:val="a1"/>
    <w:autoRedefine/>
    <w:rsid w:val="00B64133"/>
    <w:pPr>
      <w:ind w:leftChars="400" w:left="840"/>
    </w:pPr>
  </w:style>
  <w:style w:type="paragraph" w:styleId="45">
    <w:name w:val="toc 4"/>
    <w:basedOn w:val="a1"/>
    <w:next w:val="a1"/>
    <w:autoRedefine/>
    <w:rsid w:val="00B64133"/>
    <w:pPr>
      <w:ind w:leftChars="600" w:left="1260"/>
    </w:pPr>
  </w:style>
  <w:style w:type="paragraph" w:styleId="55">
    <w:name w:val="toc 5"/>
    <w:basedOn w:val="a1"/>
    <w:next w:val="a1"/>
    <w:autoRedefine/>
    <w:rsid w:val="00B64133"/>
    <w:pPr>
      <w:ind w:leftChars="800" w:left="1680"/>
    </w:pPr>
  </w:style>
  <w:style w:type="paragraph" w:styleId="61">
    <w:name w:val="toc 6"/>
    <w:basedOn w:val="a1"/>
    <w:next w:val="a1"/>
    <w:autoRedefine/>
    <w:rsid w:val="00B64133"/>
    <w:pPr>
      <w:ind w:leftChars="1000" w:left="2100"/>
    </w:pPr>
  </w:style>
  <w:style w:type="paragraph" w:styleId="71">
    <w:name w:val="toc 7"/>
    <w:basedOn w:val="a1"/>
    <w:next w:val="a1"/>
    <w:autoRedefine/>
    <w:rsid w:val="00B64133"/>
    <w:pPr>
      <w:ind w:leftChars="1200" w:left="2520"/>
    </w:pPr>
  </w:style>
  <w:style w:type="paragraph" w:styleId="81">
    <w:name w:val="toc 8"/>
    <w:basedOn w:val="a1"/>
    <w:next w:val="a1"/>
    <w:autoRedefine/>
    <w:rsid w:val="00B64133"/>
    <w:pPr>
      <w:ind w:leftChars="1400" w:left="2940"/>
    </w:pPr>
  </w:style>
  <w:style w:type="paragraph" w:styleId="91">
    <w:name w:val="toc 9"/>
    <w:basedOn w:val="a1"/>
    <w:next w:val="a1"/>
    <w:autoRedefine/>
    <w:rsid w:val="00B64133"/>
    <w:pPr>
      <w:ind w:leftChars="1600" w:left="3360"/>
    </w:pPr>
  </w:style>
  <w:style w:type="paragraph" w:styleId="aff0">
    <w:name w:val="Balloon Text"/>
    <w:basedOn w:val="a1"/>
    <w:link w:val="aff1"/>
    <w:semiHidden/>
    <w:unhideWhenUsed/>
    <w:rsid w:val="00B64133"/>
    <w:rPr>
      <w:sz w:val="18"/>
      <w:szCs w:val="18"/>
    </w:rPr>
  </w:style>
  <w:style w:type="character" w:customStyle="1" w:styleId="aff1">
    <w:name w:val="批注框文本 字符"/>
    <w:basedOn w:val="a2"/>
    <w:link w:val="aff0"/>
    <w:semiHidden/>
    <w:rsid w:val="00B64133"/>
    <w:rPr>
      <w:rFonts w:asciiTheme="minorHAnsi" w:hAnsiTheme="minorHAnsi" w:cstheme="minorBidi"/>
      <w:kern w:val="2"/>
      <w:sz w:val="18"/>
      <w:szCs w:val="18"/>
    </w:rPr>
  </w:style>
  <w:style w:type="paragraph" w:styleId="aff2">
    <w:name w:val="annotation text"/>
    <w:basedOn w:val="a1"/>
    <w:link w:val="aff3"/>
    <w:rsid w:val="00B64133"/>
    <w:pPr>
      <w:jc w:val="left"/>
    </w:pPr>
  </w:style>
  <w:style w:type="character" w:customStyle="1" w:styleId="aff3">
    <w:name w:val="批注文字 字符"/>
    <w:basedOn w:val="a2"/>
    <w:link w:val="aff2"/>
    <w:rsid w:val="00B64133"/>
    <w:rPr>
      <w:rFonts w:asciiTheme="minorHAnsi" w:hAnsiTheme="minorHAnsi" w:cstheme="minorBidi"/>
      <w:kern w:val="2"/>
      <w:sz w:val="21"/>
      <w:szCs w:val="21"/>
    </w:rPr>
  </w:style>
  <w:style w:type="paragraph" w:styleId="aff4">
    <w:name w:val="annotation subject"/>
    <w:basedOn w:val="aff2"/>
    <w:next w:val="aff2"/>
    <w:link w:val="aff5"/>
    <w:semiHidden/>
    <w:unhideWhenUsed/>
    <w:rsid w:val="00B64133"/>
    <w:rPr>
      <w:b/>
      <w:bCs/>
    </w:rPr>
  </w:style>
  <w:style w:type="character" w:customStyle="1" w:styleId="aff5">
    <w:name w:val="批注主题 字符"/>
    <w:basedOn w:val="aff3"/>
    <w:link w:val="aff4"/>
    <w:semiHidden/>
    <w:rsid w:val="00B64133"/>
    <w:rPr>
      <w:rFonts w:asciiTheme="minorHAnsi" w:hAnsiTheme="minorHAnsi" w:cstheme="minorBidi"/>
      <w:b/>
      <w:bCs/>
      <w:kern w:val="2"/>
      <w:sz w:val="21"/>
      <w:szCs w:val="21"/>
    </w:rPr>
  </w:style>
  <w:style w:type="paragraph" w:styleId="aff6">
    <w:name w:val="Normal (Web)"/>
    <w:basedOn w:val="a1"/>
    <w:rsid w:val="00B64133"/>
    <w:rPr>
      <w:rFonts w:ascii="Times New Roman" w:hAnsi="Times New Roman" w:cs="Times New Roman"/>
      <w:sz w:val="24"/>
      <w:szCs w:val="24"/>
    </w:rPr>
  </w:style>
  <w:style w:type="paragraph" w:styleId="aff7">
    <w:name w:val="Signature"/>
    <w:basedOn w:val="a1"/>
    <w:link w:val="aff8"/>
    <w:rsid w:val="00B64133"/>
    <w:pPr>
      <w:ind w:leftChars="2100" w:left="100"/>
    </w:pPr>
  </w:style>
  <w:style w:type="character" w:customStyle="1" w:styleId="aff8">
    <w:name w:val="签名 字符"/>
    <w:basedOn w:val="a2"/>
    <w:link w:val="aff7"/>
    <w:rsid w:val="00B64133"/>
    <w:rPr>
      <w:rFonts w:asciiTheme="minorHAnsi" w:hAnsiTheme="minorHAnsi" w:cstheme="minorBidi"/>
      <w:kern w:val="2"/>
      <w:sz w:val="21"/>
      <w:szCs w:val="21"/>
    </w:rPr>
  </w:style>
  <w:style w:type="paragraph" w:styleId="aff9">
    <w:name w:val="Date"/>
    <w:basedOn w:val="a1"/>
    <w:next w:val="a1"/>
    <w:link w:val="affa"/>
    <w:rsid w:val="00B64133"/>
    <w:pPr>
      <w:ind w:leftChars="2500" w:left="100"/>
    </w:pPr>
  </w:style>
  <w:style w:type="character" w:customStyle="1" w:styleId="affa">
    <w:name w:val="日期 字符"/>
    <w:basedOn w:val="a2"/>
    <w:link w:val="aff9"/>
    <w:rsid w:val="00B64133"/>
    <w:rPr>
      <w:rFonts w:asciiTheme="minorHAnsi" w:hAnsiTheme="minorHAnsi" w:cstheme="minorBidi"/>
      <w:kern w:val="2"/>
      <w:sz w:val="21"/>
      <w:szCs w:val="21"/>
    </w:rPr>
  </w:style>
  <w:style w:type="paragraph" w:styleId="affb">
    <w:name w:val="envelope address"/>
    <w:basedOn w:val="a1"/>
    <w:rsid w:val="00B64133"/>
    <w:pPr>
      <w:framePr w:w="7920" w:h="1980" w:hRule="exact" w:hSpace="180" w:wrap="auto" w:hAnchor="page" w:xAlign="center" w:yAlign="bottom"/>
      <w:snapToGrid w:val="0"/>
      <w:ind w:leftChars="1400" w:left="100"/>
    </w:pPr>
    <w:rPr>
      <w:rFonts w:asciiTheme="majorHAnsi" w:eastAsiaTheme="majorEastAsia" w:hAnsiTheme="majorHAnsi" w:cstheme="majorBidi"/>
      <w:sz w:val="24"/>
      <w:szCs w:val="24"/>
    </w:rPr>
  </w:style>
  <w:style w:type="paragraph" w:styleId="affc">
    <w:name w:val="Bibliography"/>
    <w:basedOn w:val="a1"/>
    <w:next w:val="a1"/>
    <w:uiPriority w:val="37"/>
    <w:semiHidden/>
    <w:unhideWhenUsed/>
    <w:rsid w:val="00B64133"/>
  </w:style>
  <w:style w:type="paragraph" w:styleId="12">
    <w:name w:val="index 1"/>
    <w:basedOn w:val="a1"/>
    <w:next w:val="a1"/>
    <w:autoRedefine/>
    <w:rsid w:val="00B64133"/>
  </w:style>
  <w:style w:type="paragraph" w:styleId="26">
    <w:name w:val="index 2"/>
    <w:basedOn w:val="a1"/>
    <w:next w:val="a1"/>
    <w:autoRedefine/>
    <w:rsid w:val="00B64133"/>
    <w:pPr>
      <w:ind w:leftChars="200" w:left="200"/>
    </w:pPr>
  </w:style>
  <w:style w:type="paragraph" w:styleId="36">
    <w:name w:val="index 3"/>
    <w:basedOn w:val="a1"/>
    <w:next w:val="a1"/>
    <w:autoRedefine/>
    <w:rsid w:val="00B64133"/>
    <w:pPr>
      <w:ind w:leftChars="400" w:left="400"/>
    </w:pPr>
  </w:style>
  <w:style w:type="paragraph" w:styleId="46">
    <w:name w:val="index 4"/>
    <w:basedOn w:val="a1"/>
    <w:next w:val="a1"/>
    <w:autoRedefine/>
    <w:rsid w:val="00B64133"/>
    <w:pPr>
      <w:ind w:leftChars="600" w:left="600"/>
    </w:pPr>
  </w:style>
  <w:style w:type="paragraph" w:styleId="56">
    <w:name w:val="index 5"/>
    <w:basedOn w:val="a1"/>
    <w:next w:val="a1"/>
    <w:autoRedefine/>
    <w:rsid w:val="00B64133"/>
    <w:pPr>
      <w:ind w:leftChars="800" w:left="800"/>
    </w:pPr>
  </w:style>
  <w:style w:type="paragraph" w:styleId="62">
    <w:name w:val="index 6"/>
    <w:basedOn w:val="a1"/>
    <w:next w:val="a1"/>
    <w:autoRedefine/>
    <w:rsid w:val="00B64133"/>
    <w:pPr>
      <w:ind w:leftChars="1000" w:left="1000"/>
    </w:pPr>
  </w:style>
  <w:style w:type="paragraph" w:styleId="72">
    <w:name w:val="index 7"/>
    <w:basedOn w:val="a1"/>
    <w:next w:val="a1"/>
    <w:autoRedefine/>
    <w:rsid w:val="00B64133"/>
    <w:pPr>
      <w:ind w:leftChars="1200" w:left="1200"/>
    </w:pPr>
  </w:style>
  <w:style w:type="paragraph" w:styleId="82">
    <w:name w:val="index 8"/>
    <w:basedOn w:val="a1"/>
    <w:next w:val="a1"/>
    <w:autoRedefine/>
    <w:rsid w:val="00B64133"/>
    <w:pPr>
      <w:ind w:leftChars="1400" w:left="1400"/>
    </w:pPr>
  </w:style>
  <w:style w:type="paragraph" w:styleId="92">
    <w:name w:val="index 9"/>
    <w:basedOn w:val="a1"/>
    <w:next w:val="a1"/>
    <w:autoRedefine/>
    <w:rsid w:val="00B64133"/>
    <w:pPr>
      <w:ind w:leftChars="1600" w:left="1600"/>
    </w:pPr>
  </w:style>
  <w:style w:type="paragraph" w:styleId="affd">
    <w:name w:val="index heading"/>
    <w:basedOn w:val="a1"/>
    <w:next w:val="12"/>
    <w:rsid w:val="00B64133"/>
    <w:rPr>
      <w:rFonts w:asciiTheme="majorHAnsi" w:eastAsiaTheme="majorEastAsia" w:hAnsiTheme="majorHAnsi" w:cstheme="majorBidi"/>
      <w:b/>
      <w:bCs/>
    </w:rPr>
  </w:style>
  <w:style w:type="paragraph" w:styleId="affe">
    <w:name w:val="caption"/>
    <w:basedOn w:val="a1"/>
    <w:next w:val="a1"/>
    <w:semiHidden/>
    <w:unhideWhenUsed/>
    <w:qFormat/>
    <w:rsid w:val="00B64133"/>
    <w:rPr>
      <w:rFonts w:asciiTheme="majorHAnsi" w:eastAsia="黑体" w:hAnsiTheme="majorHAnsi" w:cstheme="majorBidi"/>
      <w:sz w:val="20"/>
      <w:szCs w:val="20"/>
    </w:rPr>
  </w:style>
  <w:style w:type="paragraph" w:styleId="afff">
    <w:name w:val="table of figures"/>
    <w:basedOn w:val="a1"/>
    <w:next w:val="a1"/>
    <w:rsid w:val="00B64133"/>
    <w:pPr>
      <w:ind w:leftChars="200" w:left="200" w:hangingChars="200" w:hanging="200"/>
    </w:pPr>
  </w:style>
  <w:style w:type="paragraph" w:styleId="afff0">
    <w:name w:val="endnote text"/>
    <w:basedOn w:val="a1"/>
    <w:link w:val="afff1"/>
    <w:rsid w:val="00B64133"/>
    <w:pPr>
      <w:snapToGrid w:val="0"/>
      <w:jc w:val="left"/>
    </w:pPr>
  </w:style>
  <w:style w:type="character" w:customStyle="1" w:styleId="afff1">
    <w:name w:val="尾注文本 字符"/>
    <w:basedOn w:val="a2"/>
    <w:link w:val="afff0"/>
    <w:rsid w:val="00B64133"/>
    <w:rPr>
      <w:rFonts w:asciiTheme="minorHAnsi" w:hAnsiTheme="minorHAnsi" w:cstheme="minorBidi"/>
      <w:kern w:val="2"/>
      <w:sz w:val="21"/>
      <w:szCs w:val="21"/>
    </w:rPr>
  </w:style>
  <w:style w:type="paragraph" w:styleId="afff2">
    <w:name w:val="Block Text"/>
    <w:basedOn w:val="a1"/>
    <w:rsid w:val="00B64133"/>
    <w:pPr>
      <w:spacing w:after="120"/>
      <w:ind w:leftChars="700" w:left="1440" w:rightChars="700" w:right="1440"/>
    </w:pPr>
  </w:style>
  <w:style w:type="paragraph" w:styleId="afff3">
    <w:name w:val="Document Map"/>
    <w:basedOn w:val="a1"/>
    <w:link w:val="afff4"/>
    <w:rsid w:val="00B64133"/>
    <w:rPr>
      <w:rFonts w:ascii="Microsoft YaHei UI" w:eastAsia="Microsoft YaHei UI"/>
      <w:sz w:val="18"/>
      <w:szCs w:val="18"/>
    </w:rPr>
  </w:style>
  <w:style w:type="character" w:customStyle="1" w:styleId="afff4">
    <w:name w:val="文档结构图 字符"/>
    <w:basedOn w:val="a2"/>
    <w:link w:val="afff3"/>
    <w:rsid w:val="00B64133"/>
    <w:rPr>
      <w:rFonts w:ascii="Microsoft YaHei UI" w:eastAsia="Microsoft YaHei UI" w:hAnsiTheme="minorHAnsi" w:cstheme="minorBidi"/>
      <w:kern w:val="2"/>
      <w:sz w:val="18"/>
      <w:szCs w:val="18"/>
    </w:rPr>
  </w:style>
  <w:style w:type="paragraph" w:styleId="afff5">
    <w:name w:val="No Spacing"/>
    <w:uiPriority w:val="99"/>
    <w:rsid w:val="00B64133"/>
    <w:pPr>
      <w:widowControl w:val="0"/>
      <w:jc w:val="both"/>
    </w:pPr>
    <w:rPr>
      <w:rFonts w:asciiTheme="minorHAnsi" w:hAnsiTheme="minorHAnsi" w:cstheme="minorBidi"/>
      <w:kern w:val="2"/>
      <w:sz w:val="21"/>
      <w:szCs w:val="21"/>
    </w:rPr>
  </w:style>
  <w:style w:type="paragraph" w:styleId="afff6">
    <w:name w:val="Message Header"/>
    <w:basedOn w:val="a1"/>
    <w:link w:val="afff7"/>
    <w:rsid w:val="00B64133"/>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afff7">
    <w:name w:val="信息标题 字符"/>
    <w:basedOn w:val="a2"/>
    <w:link w:val="afff6"/>
    <w:rsid w:val="00B64133"/>
    <w:rPr>
      <w:rFonts w:asciiTheme="majorHAnsi" w:eastAsiaTheme="majorEastAsia" w:hAnsiTheme="majorHAnsi" w:cstheme="majorBidi"/>
      <w:kern w:val="2"/>
      <w:sz w:val="24"/>
      <w:szCs w:val="24"/>
      <w:shd w:val="pct20" w:color="auto" w:fill="auto"/>
    </w:rPr>
  </w:style>
  <w:style w:type="paragraph" w:styleId="afff8">
    <w:name w:val="table of authorities"/>
    <w:basedOn w:val="a1"/>
    <w:next w:val="a1"/>
    <w:rsid w:val="00B64133"/>
    <w:pPr>
      <w:ind w:leftChars="200" w:left="420"/>
    </w:pPr>
  </w:style>
  <w:style w:type="paragraph" w:styleId="afff9">
    <w:name w:val="toa heading"/>
    <w:basedOn w:val="a1"/>
    <w:next w:val="a1"/>
    <w:rsid w:val="00B64133"/>
    <w:pPr>
      <w:spacing w:before="120"/>
    </w:pPr>
    <w:rPr>
      <w:rFonts w:asciiTheme="majorHAnsi" w:eastAsiaTheme="majorEastAsia" w:hAnsiTheme="majorHAnsi" w:cstheme="majorBidi"/>
      <w:sz w:val="24"/>
      <w:szCs w:val="24"/>
    </w:rPr>
  </w:style>
  <w:style w:type="paragraph" w:styleId="afffa">
    <w:name w:val="Quote"/>
    <w:basedOn w:val="a1"/>
    <w:next w:val="a1"/>
    <w:link w:val="afffb"/>
    <w:uiPriority w:val="99"/>
    <w:rsid w:val="00B64133"/>
    <w:pPr>
      <w:spacing w:before="200" w:after="160"/>
      <w:ind w:left="864" w:right="864"/>
      <w:jc w:val="center"/>
    </w:pPr>
    <w:rPr>
      <w:i/>
      <w:iCs/>
      <w:color w:val="404040" w:themeColor="text1" w:themeTint="BF"/>
    </w:rPr>
  </w:style>
  <w:style w:type="character" w:customStyle="1" w:styleId="afffb">
    <w:name w:val="引用 字符"/>
    <w:basedOn w:val="a2"/>
    <w:link w:val="afffa"/>
    <w:uiPriority w:val="99"/>
    <w:rsid w:val="00B64133"/>
    <w:rPr>
      <w:rFonts w:asciiTheme="minorHAnsi" w:hAnsiTheme="minorHAnsi" w:cstheme="minorBidi"/>
      <w:i/>
      <w:iCs/>
      <w:color w:val="404040" w:themeColor="text1" w:themeTint="BF"/>
      <w:kern w:val="2"/>
      <w:sz w:val="21"/>
      <w:szCs w:val="21"/>
    </w:rPr>
  </w:style>
  <w:style w:type="paragraph" w:styleId="afffc">
    <w:name w:val="Body Text"/>
    <w:basedOn w:val="a1"/>
    <w:link w:val="afffd"/>
    <w:rsid w:val="00B64133"/>
    <w:pPr>
      <w:spacing w:after="120"/>
    </w:pPr>
  </w:style>
  <w:style w:type="character" w:customStyle="1" w:styleId="afffd">
    <w:name w:val="正文文本 字符"/>
    <w:basedOn w:val="a2"/>
    <w:link w:val="afffc"/>
    <w:rsid w:val="00B64133"/>
    <w:rPr>
      <w:rFonts w:asciiTheme="minorHAnsi" w:hAnsiTheme="minorHAnsi" w:cstheme="minorBidi"/>
      <w:kern w:val="2"/>
      <w:sz w:val="21"/>
      <w:szCs w:val="21"/>
    </w:rPr>
  </w:style>
  <w:style w:type="paragraph" w:styleId="afffe">
    <w:name w:val="Body Text First Indent"/>
    <w:basedOn w:val="afffc"/>
    <w:link w:val="affff"/>
    <w:rsid w:val="00B64133"/>
    <w:pPr>
      <w:ind w:firstLineChars="100" w:firstLine="420"/>
    </w:pPr>
  </w:style>
  <w:style w:type="character" w:customStyle="1" w:styleId="affff">
    <w:name w:val="正文首行缩进 字符"/>
    <w:basedOn w:val="afffd"/>
    <w:link w:val="afffe"/>
    <w:rsid w:val="00B64133"/>
    <w:rPr>
      <w:rFonts w:asciiTheme="minorHAnsi" w:hAnsiTheme="minorHAnsi" w:cstheme="minorBidi"/>
      <w:kern w:val="2"/>
      <w:sz w:val="21"/>
      <w:szCs w:val="21"/>
    </w:rPr>
  </w:style>
  <w:style w:type="paragraph" w:styleId="affff0">
    <w:name w:val="Body Text Indent"/>
    <w:basedOn w:val="a1"/>
    <w:link w:val="affff1"/>
    <w:rsid w:val="00B64133"/>
    <w:pPr>
      <w:spacing w:after="120"/>
      <w:ind w:leftChars="200" w:left="420"/>
    </w:pPr>
  </w:style>
  <w:style w:type="character" w:customStyle="1" w:styleId="affff1">
    <w:name w:val="正文文本缩进 字符"/>
    <w:basedOn w:val="a2"/>
    <w:link w:val="affff0"/>
    <w:rsid w:val="00B64133"/>
    <w:rPr>
      <w:rFonts w:asciiTheme="minorHAnsi" w:hAnsiTheme="minorHAnsi" w:cstheme="minorBidi"/>
      <w:kern w:val="2"/>
      <w:sz w:val="21"/>
      <w:szCs w:val="21"/>
    </w:rPr>
  </w:style>
  <w:style w:type="paragraph" w:styleId="27">
    <w:name w:val="Body Text First Indent 2"/>
    <w:basedOn w:val="affff0"/>
    <w:link w:val="28"/>
    <w:rsid w:val="00B64133"/>
    <w:pPr>
      <w:ind w:firstLineChars="200" w:firstLine="420"/>
    </w:pPr>
  </w:style>
  <w:style w:type="character" w:customStyle="1" w:styleId="28">
    <w:name w:val="正文首行缩进 2 字符"/>
    <w:basedOn w:val="affff1"/>
    <w:link w:val="27"/>
    <w:rsid w:val="00B64133"/>
    <w:rPr>
      <w:rFonts w:asciiTheme="minorHAnsi" w:hAnsiTheme="minorHAnsi" w:cstheme="minorBidi"/>
      <w:kern w:val="2"/>
      <w:sz w:val="21"/>
      <w:szCs w:val="21"/>
    </w:rPr>
  </w:style>
  <w:style w:type="paragraph" w:styleId="affff2">
    <w:name w:val="Normal Indent"/>
    <w:basedOn w:val="a1"/>
    <w:rsid w:val="00B64133"/>
    <w:pPr>
      <w:ind w:firstLineChars="200" w:firstLine="420"/>
    </w:pPr>
  </w:style>
  <w:style w:type="paragraph" w:styleId="29">
    <w:name w:val="Body Text 2"/>
    <w:basedOn w:val="a1"/>
    <w:link w:val="2a"/>
    <w:rsid w:val="00B64133"/>
    <w:pPr>
      <w:spacing w:after="120" w:line="480" w:lineRule="auto"/>
    </w:pPr>
  </w:style>
  <w:style w:type="character" w:customStyle="1" w:styleId="2a">
    <w:name w:val="正文文本 2 字符"/>
    <w:basedOn w:val="a2"/>
    <w:link w:val="29"/>
    <w:rsid w:val="00B64133"/>
    <w:rPr>
      <w:rFonts w:asciiTheme="minorHAnsi" w:hAnsiTheme="minorHAnsi" w:cstheme="minorBidi"/>
      <w:kern w:val="2"/>
      <w:sz w:val="21"/>
      <w:szCs w:val="21"/>
    </w:rPr>
  </w:style>
  <w:style w:type="paragraph" w:styleId="37">
    <w:name w:val="Body Text 3"/>
    <w:basedOn w:val="a1"/>
    <w:link w:val="38"/>
    <w:rsid w:val="00B64133"/>
    <w:pPr>
      <w:spacing w:after="120"/>
    </w:pPr>
    <w:rPr>
      <w:sz w:val="16"/>
      <w:szCs w:val="16"/>
    </w:rPr>
  </w:style>
  <w:style w:type="character" w:customStyle="1" w:styleId="38">
    <w:name w:val="正文文本 3 字符"/>
    <w:basedOn w:val="a2"/>
    <w:link w:val="37"/>
    <w:rsid w:val="00B64133"/>
    <w:rPr>
      <w:rFonts w:asciiTheme="minorHAnsi" w:hAnsiTheme="minorHAnsi" w:cstheme="minorBidi"/>
      <w:kern w:val="2"/>
      <w:sz w:val="16"/>
      <w:szCs w:val="16"/>
    </w:rPr>
  </w:style>
  <w:style w:type="paragraph" w:styleId="2b">
    <w:name w:val="Body Text Indent 2"/>
    <w:basedOn w:val="a1"/>
    <w:link w:val="2c"/>
    <w:rsid w:val="00B64133"/>
    <w:pPr>
      <w:spacing w:after="120" w:line="480" w:lineRule="auto"/>
      <w:ind w:leftChars="200" w:left="420"/>
    </w:pPr>
  </w:style>
  <w:style w:type="character" w:customStyle="1" w:styleId="2c">
    <w:name w:val="正文文本缩进 2 字符"/>
    <w:basedOn w:val="a2"/>
    <w:link w:val="2b"/>
    <w:rsid w:val="00B64133"/>
    <w:rPr>
      <w:rFonts w:asciiTheme="minorHAnsi" w:hAnsiTheme="minorHAnsi" w:cstheme="minorBidi"/>
      <w:kern w:val="2"/>
      <w:sz w:val="21"/>
      <w:szCs w:val="21"/>
    </w:rPr>
  </w:style>
  <w:style w:type="paragraph" w:styleId="39">
    <w:name w:val="Body Text Indent 3"/>
    <w:basedOn w:val="a1"/>
    <w:link w:val="3a"/>
    <w:rsid w:val="00B64133"/>
    <w:pPr>
      <w:spacing w:after="120"/>
      <w:ind w:leftChars="200" w:left="420"/>
    </w:pPr>
    <w:rPr>
      <w:sz w:val="16"/>
      <w:szCs w:val="16"/>
    </w:rPr>
  </w:style>
  <w:style w:type="character" w:customStyle="1" w:styleId="3a">
    <w:name w:val="正文文本缩进 3 字符"/>
    <w:basedOn w:val="a2"/>
    <w:link w:val="39"/>
    <w:rsid w:val="00B64133"/>
    <w:rPr>
      <w:rFonts w:asciiTheme="minorHAnsi" w:hAnsiTheme="minorHAnsi" w:cstheme="minorBidi"/>
      <w:kern w:val="2"/>
      <w:sz w:val="16"/>
      <w:szCs w:val="16"/>
    </w:rPr>
  </w:style>
  <w:style w:type="paragraph" w:styleId="affff3">
    <w:name w:val="Note Heading"/>
    <w:basedOn w:val="a1"/>
    <w:next w:val="a1"/>
    <w:link w:val="affff4"/>
    <w:rsid w:val="00B64133"/>
    <w:pPr>
      <w:jc w:val="center"/>
    </w:pPr>
  </w:style>
  <w:style w:type="character" w:customStyle="1" w:styleId="affff4">
    <w:name w:val="注释标题 字符"/>
    <w:basedOn w:val="a2"/>
    <w:link w:val="affff3"/>
    <w:rsid w:val="00B64133"/>
    <w:rPr>
      <w:rFonts w:asciiTheme="minorHAnsi" w:hAnsiTheme="minorHAnsi" w:cstheme="minorBid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BFDDA2-F725-4D3B-B09E-1B040B7CC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2773</TotalTime>
  <Pages>9</Pages>
  <Words>1521</Words>
  <Characters>8676</Characters>
  <Application>Microsoft Office Word</Application>
  <DocSecurity>0</DocSecurity>
  <Lines>72</Lines>
  <Paragraphs>20</Paragraphs>
  <ScaleCrop>false</ScaleCrop>
  <Company/>
  <LinksUpToDate>false</LinksUpToDate>
  <CharactersWithSpaces>10177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yanjiusuo</dc:creator>
  <cp:keywords/>
  <dc:description/>
  <cp:lastModifiedBy>杨嘉虹</cp:lastModifiedBy>
  <cp:revision>19</cp:revision>
  <cp:lastPrinted>2023-06-08T02:23:00Z</cp:lastPrinted>
  <dcterms:created xsi:type="dcterms:W3CDTF">2022-11-15T10:06:00Z</dcterms:created>
  <dcterms:modified xsi:type="dcterms:W3CDTF">2023-06-29T02:45:00Z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88F59B570830480FBD960522A6F97CC7</vt:lpwstr>
  </property>
</Properties>
</file>