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156FEB"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156FEB" w:rsidRPr="000A1F8A">
            <w:rPr>
              <w:rStyle w:val="a9"/>
              <w:noProof/>
            </w:rPr>
            <w:fldChar w:fldCharType="begin"/>
          </w:r>
          <w:r w:rsidR="00156FEB" w:rsidRPr="000A1F8A">
            <w:rPr>
              <w:rStyle w:val="a9"/>
              <w:noProof/>
            </w:rPr>
            <w:instrText xml:space="preserve"> </w:instrText>
          </w:r>
          <w:r w:rsidR="00156FEB">
            <w:rPr>
              <w:noProof/>
            </w:rPr>
            <w:instrText>HYPERLINK \l "_Toc138755657"</w:instrText>
          </w:r>
          <w:r w:rsidR="00156FEB" w:rsidRPr="000A1F8A">
            <w:rPr>
              <w:rStyle w:val="a9"/>
              <w:noProof/>
            </w:rPr>
            <w:instrText xml:space="preserve"> </w:instrText>
          </w:r>
          <w:r w:rsidR="00156FEB" w:rsidRPr="000A1F8A">
            <w:rPr>
              <w:rStyle w:val="a9"/>
              <w:noProof/>
            </w:rPr>
          </w:r>
          <w:r w:rsidR="00156FEB" w:rsidRPr="000A1F8A">
            <w:rPr>
              <w:rStyle w:val="a9"/>
              <w:noProof/>
            </w:rPr>
            <w:fldChar w:fldCharType="separate"/>
          </w:r>
          <w:r w:rsidR="00156FEB" w:rsidRPr="000A1F8A">
            <w:rPr>
              <w:rStyle w:val="a9"/>
              <w:rFonts w:ascii="Times New Roman" w:eastAsia="楷体" w:hAnsi="Times New Roman"/>
              <w:b/>
              <w:noProof/>
            </w:rPr>
            <w:t>[</w:t>
          </w:r>
          <w:r w:rsidR="00156FEB" w:rsidRPr="000A1F8A">
            <w:rPr>
              <w:rStyle w:val="a9"/>
              <w:rFonts w:ascii="Times New Roman" w:eastAsia="楷体" w:hAnsi="Times New Roman"/>
              <w:b/>
              <w:noProof/>
            </w:rPr>
            <w:t>金融</w:t>
          </w:r>
          <w:r w:rsidR="00156FEB" w:rsidRPr="000A1F8A">
            <w:rPr>
              <w:rStyle w:val="a9"/>
              <w:rFonts w:ascii="Times New Roman" w:eastAsia="楷体" w:hAnsi="Times New Roman"/>
              <w:b/>
              <w:noProof/>
            </w:rPr>
            <w:t>]</w:t>
          </w:r>
          <w:r w:rsidR="00156FEB" w:rsidRPr="000A1F8A">
            <w:rPr>
              <w:rStyle w:val="a9"/>
              <w:noProof/>
            </w:rPr>
            <w:fldChar w:fldCharType="end"/>
          </w:r>
        </w:p>
        <w:p w:rsidR="00156FEB" w:rsidRDefault="00156FEB">
          <w:pPr>
            <w:pStyle w:val="23"/>
            <w:tabs>
              <w:tab w:val="right" w:leader="dot" w:pos="8296"/>
            </w:tabs>
            <w:rPr>
              <w:rFonts w:eastAsiaTheme="minorEastAsia"/>
              <w:noProof/>
              <w:szCs w:val="22"/>
            </w:rPr>
          </w:pPr>
          <w:hyperlink w:anchor="_Toc138755658" w:history="1">
            <w:r w:rsidRPr="000A1F8A">
              <w:rPr>
                <w:rStyle w:val="a9"/>
                <w:rFonts w:ascii="Times New Roman" w:eastAsia="楷体" w:hAnsi="Times New Roman"/>
                <w:b/>
                <w:noProof/>
              </w:rPr>
              <w:t>股指：低多</w:t>
            </w:r>
            <w:r w:rsidRPr="000A1F8A">
              <w:rPr>
                <w:rStyle w:val="a9"/>
                <w:rFonts w:ascii="Times New Roman" w:eastAsia="楷体" w:hAnsi="Times New Roman"/>
                <w:b/>
                <w:noProof/>
              </w:rPr>
              <w:t>IM</w:t>
            </w:r>
          </w:hyperlink>
        </w:p>
        <w:p w:rsidR="00156FEB" w:rsidRDefault="00156FEB">
          <w:pPr>
            <w:pStyle w:val="11"/>
            <w:tabs>
              <w:tab w:val="right" w:leader="dot" w:pos="8296"/>
            </w:tabs>
            <w:rPr>
              <w:rFonts w:eastAsiaTheme="minorEastAsia"/>
              <w:noProof/>
              <w:szCs w:val="22"/>
            </w:rPr>
          </w:pPr>
          <w:hyperlink w:anchor="_Toc138755659" w:history="1">
            <w:r w:rsidRPr="000A1F8A">
              <w:rPr>
                <w:rStyle w:val="a9"/>
                <w:rFonts w:ascii="Times New Roman" w:eastAsia="楷体" w:hAnsi="Times New Roman"/>
                <w:b/>
                <w:noProof/>
              </w:rPr>
              <w:t>[</w:t>
            </w:r>
            <w:r w:rsidRPr="000A1F8A">
              <w:rPr>
                <w:rStyle w:val="a9"/>
                <w:rFonts w:ascii="Times New Roman" w:eastAsia="楷体" w:hAnsi="Times New Roman"/>
                <w:b/>
                <w:noProof/>
              </w:rPr>
              <w:t>贵金属</w:t>
            </w:r>
            <w:r w:rsidRPr="000A1F8A">
              <w:rPr>
                <w:rStyle w:val="a9"/>
                <w:rFonts w:ascii="Times New Roman" w:eastAsia="楷体" w:hAnsi="Times New Roman"/>
                <w:b/>
                <w:noProof/>
              </w:rPr>
              <w:t>]</w:t>
            </w:r>
          </w:hyperlink>
        </w:p>
        <w:p w:rsidR="00156FEB" w:rsidRDefault="00156FEB">
          <w:pPr>
            <w:pStyle w:val="23"/>
            <w:tabs>
              <w:tab w:val="right" w:leader="dot" w:pos="8296"/>
            </w:tabs>
            <w:rPr>
              <w:rFonts w:eastAsiaTheme="minorEastAsia"/>
              <w:noProof/>
              <w:szCs w:val="22"/>
            </w:rPr>
          </w:pPr>
          <w:hyperlink w:anchor="_Toc138755660" w:history="1">
            <w:r w:rsidRPr="000A1F8A">
              <w:rPr>
                <w:rStyle w:val="a9"/>
                <w:rFonts w:ascii="Times New Roman" w:eastAsia="楷体" w:hAnsi="Times New Roman"/>
                <w:b/>
                <w:noProof/>
              </w:rPr>
              <w:t>贵金属：美元指数横盘震荡，贵金属价格小幅反弹</w:t>
            </w:r>
          </w:hyperlink>
        </w:p>
        <w:p w:rsidR="00156FEB" w:rsidRDefault="00156FEB">
          <w:pPr>
            <w:pStyle w:val="11"/>
            <w:tabs>
              <w:tab w:val="right" w:leader="dot" w:pos="8296"/>
            </w:tabs>
            <w:rPr>
              <w:rFonts w:eastAsiaTheme="minorEastAsia"/>
              <w:noProof/>
              <w:szCs w:val="22"/>
            </w:rPr>
          </w:pPr>
          <w:hyperlink w:anchor="_Toc138755661" w:history="1">
            <w:r w:rsidRPr="000A1F8A">
              <w:rPr>
                <w:rStyle w:val="a9"/>
                <w:rFonts w:ascii="Times New Roman" w:eastAsia="楷体" w:hAnsi="Times New Roman"/>
                <w:b/>
                <w:noProof/>
              </w:rPr>
              <w:t>[</w:t>
            </w:r>
            <w:r w:rsidRPr="000A1F8A">
              <w:rPr>
                <w:rStyle w:val="a9"/>
                <w:rFonts w:ascii="Times New Roman" w:eastAsia="楷体" w:hAnsi="Times New Roman"/>
                <w:b/>
                <w:noProof/>
              </w:rPr>
              <w:t>金属</w:t>
            </w:r>
            <w:r w:rsidRPr="000A1F8A">
              <w:rPr>
                <w:rStyle w:val="a9"/>
                <w:rFonts w:ascii="Times New Roman" w:eastAsia="楷体" w:hAnsi="Times New Roman"/>
                <w:b/>
                <w:noProof/>
              </w:rPr>
              <w:t>]</w:t>
            </w:r>
          </w:hyperlink>
        </w:p>
        <w:p w:rsidR="00156FEB" w:rsidRDefault="00156FEB">
          <w:pPr>
            <w:pStyle w:val="23"/>
            <w:tabs>
              <w:tab w:val="right" w:leader="dot" w:pos="8296"/>
            </w:tabs>
            <w:rPr>
              <w:rFonts w:eastAsiaTheme="minorEastAsia"/>
              <w:noProof/>
              <w:szCs w:val="22"/>
            </w:rPr>
          </w:pPr>
          <w:hyperlink w:anchor="_Toc138755662" w:history="1">
            <w:r w:rsidRPr="000A1F8A">
              <w:rPr>
                <w:rStyle w:val="a9"/>
                <w:rFonts w:ascii="楷体" w:eastAsia="楷体" w:hAnsi="楷体"/>
                <w:b/>
                <w:noProof/>
              </w:rPr>
              <w:t>螺纹钢：现货成交仍具有仍性，情绪压力下偏弱震荡</w:t>
            </w:r>
          </w:hyperlink>
        </w:p>
        <w:p w:rsidR="00156FEB" w:rsidRDefault="00156FEB">
          <w:pPr>
            <w:pStyle w:val="23"/>
            <w:tabs>
              <w:tab w:val="right" w:leader="dot" w:pos="8296"/>
            </w:tabs>
            <w:rPr>
              <w:rFonts w:eastAsiaTheme="minorEastAsia"/>
              <w:noProof/>
              <w:szCs w:val="22"/>
            </w:rPr>
          </w:pPr>
          <w:hyperlink w:anchor="_Toc138755663" w:history="1">
            <w:r w:rsidRPr="000A1F8A">
              <w:rPr>
                <w:rStyle w:val="a9"/>
                <w:rFonts w:ascii="楷体" w:eastAsia="楷体" w:hAnsi="楷体"/>
                <w:b/>
                <w:noProof/>
              </w:rPr>
              <w:t>焦炭：现货价格平稳，盘面调整估值，基差波动</w:t>
            </w:r>
          </w:hyperlink>
        </w:p>
        <w:p w:rsidR="00156FEB" w:rsidRDefault="00156FEB">
          <w:pPr>
            <w:pStyle w:val="23"/>
            <w:tabs>
              <w:tab w:val="right" w:leader="dot" w:pos="8296"/>
            </w:tabs>
            <w:rPr>
              <w:rFonts w:eastAsiaTheme="minorEastAsia"/>
              <w:noProof/>
              <w:szCs w:val="22"/>
            </w:rPr>
          </w:pPr>
          <w:hyperlink w:anchor="_Toc138755664" w:history="1">
            <w:r w:rsidRPr="000A1F8A">
              <w:rPr>
                <w:rStyle w:val="a9"/>
                <w:rFonts w:ascii="楷体" w:eastAsia="楷体" w:hAnsi="楷体"/>
                <w:b/>
                <w:noProof/>
              </w:rPr>
              <w:t>焦煤：煤价有所回落，长协跌价传闻扰动，重回震荡区间</w:t>
            </w:r>
          </w:hyperlink>
        </w:p>
        <w:p w:rsidR="00156FEB" w:rsidRDefault="00156FEB">
          <w:pPr>
            <w:pStyle w:val="23"/>
            <w:tabs>
              <w:tab w:val="right" w:leader="dot" w:pos="8296"/>
            </w:tabs>
            <w:rPr>
              <w:rFonts w:eastAsiaTheme="minorEastAsia"/>
              <w:noProof/>
              <w:szCs w:val="22"/>
            </w:rPr>
          </w:pPr>
          <w:hyperlink w:anchor="_Toc138755665" w:history="1">
            <w:r w:rsidRPr="000A1F8A">
              <w:rPr>
                <w:rStyle w:val="a9"/>
                <w:rFonts w:ascii="楷体" w:eastAsia="楷体" w:hAnsi="楷体"/>
                <w:b/>
                <w:noProof/>
              </w:rPr>
              <w:t>铜：高位风险加大</w:t>
            </w:r>
          </w:hyperlink>
        </w:p>
        <w:p w:rsidR="00156FEB" w:rsidRDefault="00156FEB">
          <w:pPr>
            <w:pStyle w:val="23"/>
            <w:tabs>
              <w:tab w:val="right" w:leader="dot" w:pos="8296"/>
            </w:tabs>
            <w:rPr>
              <w:rFonts w:eastAsiaTheme="minorEastAsia"/>
              <w:noProof/>
              <w:szCs w:val="22"/>
            </w:rPr>
          </w:pPr>
          <w:hyperlink w:anchor="_Toc138755666" w:history="1">
            <w:r w:rsidRPr="000A1F8A">
              <w:rPr>
                <w:rStyle w:val="a9"/>
                <w:rFonts w:ascii="楷体" w:eastAsia="楷体" w:hAnsi="楷体"/>
                <w:b/>
                <w:noProof/>
              </w:rPr>
              <w:t>铝：库存拐入累库，铝价上方承压</w:t>
            </w:r>
          </w:hyperlink>
        </w:p>
        <w:p w:rsidR="00156FEB" w:rsidRDefault="00156FEB">
          <w:pPr>
            <w:pStyle w:val="23"/>
            <w:tabs>
              <w:tab w:val="right" w:leader="dot" w:pos="8296"/>
            </w:tabs>
            <w:rPr>
              <w:rFonts w:eastAsiaTheme="minorEastAsia"/>
              <w:noProof/>
              <w:szCs w:val="22"/>
            </w:rPr>
          </w:pPr>
          <w:hyperlink w:anchor="_Toc138755667" w:history="1">
            <w:r w:rsidRPr="000A1F8A">
              <w:rPr>
                <w:rStyle w:val="a9"/>
                <w:rFonts w:ascii="楷体" w:eastAsia="楷体" w:hAnsi="楷体"/>
                <w:b/>
                <w:noProof/>
              </w:rPr>
              <w:t>锌：供强需弱格局延续，锌价仍有下行驱动</w:t>
            </w:r>
          </w:hyperlink>
        </w:p>
        <w:p w:rsidR="00156FEB" w:rsidRDefault="00156FEB">
          <w:pPr>
            <w:pStyle w:val="23"/>
            <w:tabs>
              <w:tab w:val="right" w:leader="dot" w:pos="8296"/>
            </w:tabs>
            <w:rPr>
              <w:rFonts w:eastAsiaTheme="minorEastAsia"/>
              <w:noProof/>
              <w:szCs w:val="22"/>
            </w:rPr>
          </w:pPr>
          <w:hyperlink w:anchor="_Toc138755668" w:history="1">
            <w:r w:rsidRPr="000A1F8A">
              <w:rPr>
                <w:rStyle w:val="a9"/>
                <w:rFonts w:ascii="楷体" w:eastAsia="楷体" w:hAnsi="楷体"/>
                <w:b/>
                <w:noProof/>
              </w:rPr>
              <w:t>镍：镍价仍将承压运行，短线空单继续持有</w:t>
            </w:r>
          </w:hyperlink>
        </w:p>
        <w:p w:rsidR="00156FEB" w:rsidRDefault="00156FEB">
          <w:pPr>
            <w:pStyle w:val="23"/>
            <w:tabs>
              <w:tab w:val="right" w:leader="dot" w:pos="8296"/>
            </w:tabs>
            <w:rPr>
              <w:rFonts w:eastAsiaTheme="minorEastAsia"/>
              <w:noProof/>
              <w:szCs w:val="22"/>
            </w:rPr>
          </w:pPr>
          <w:hyperlink w:anchor="_Toc138755669" w:history="1">
            <w:r w:rsidRPr="000A1F8A">
              <w:rPr>
                <w:rStyle w:val="a9"/>
                <w:rFonts w:ascii="楷体" w:eastAsia="楷体" w:hAnsi="楷体"/>
                <w:b/>
                <w:noProof/>
              </w:rPr>
              <w:t>铅：铝价短期仍有下行压力，建议逢高布空</w:t>
            </w:r>
          </w:hyperlink>
        </w:p>
        <w:p w:rsidR="00156FEB" w:rsidRDefault="00156FEB">
          <w:pPr>
            <w:pStyle w:val="23"/>
            <w:tabs>
              <w:tab w:val="right" w:leader="dot" w:pos="8296"/>
            </w:tabs>
            <w:rPr>
              <w:rFonts w:eastAsiaTheme="minorEastAsia"/>
              <w:noProof/>
              <w:szCs w:val="22"/>
            </w:rPr>
          </w:pPr>
          <w:hyperlink w:anchor="_Toc138755670" w:history="1">
            <w:r w:rsidRPr="000A1F8A">
              <w:rPr>
                <w:rStyle w:val="a9"/>
                <w:rFonts w:ascii="楷体" w:eastAsia="楷体" w:hAnsi="楷体"/>
                <w:b/>
                <w:noProof/>
              </w:rPr>
              <w:t>不锈钢：需求淡季下社库转增，SS承压运行</w:t>
            </w:r>
          </w:hyperlink>
        </w:p>
        <w:p w:rsidR="00156FEB" w:rsidRDefault="00156FEB">
          <w:pPr>
            <w:pStyle w:val="23"/>
            <w:tabs>
              <w:tab w:val="right" w:leader="dot" w:pos="8296"/>
            </w:tabs>
            <w:rPr>
              <w:rFonts w:eastAsiaTheme="minorEastAsia"/>
              <w:noProof/>
              <w:szCs w:val="22"/>
            </w:rPr>
          </w:pPr>
          <w:hyperlink w:anchor="_Toc138755671" w:history="1">
            <w:r w:rsidRPr="000A1F8A">
              <w:rPr>
                <w:rStyle w:val="a9"/>
                <w:rFonts w:ascii="楷体" w:eastAsia="楷体" w:hAnsi="楷体"/>
                <w:b/>
                <w:noProof/>
              </w:rPr>
              <w:t>工业硅：需求延续偏弱，市场承压下行</w:t>
            </w:r>
          </w:hyperlink>
        </w:p>
        <w:p w:rsidR="00156FEB" w:rsidRDefault="00156FEB">
          <w:pPr>
            <w:pStyle w:val="11"/>
            <w:tabs>
              <w:tab w:val="right" w:leader="dot" w:pos="8296"/>
            </w:tabs>
            <w:rPr>
              <w:rFonts w:eastAsiaTheme="minorEastAsia"/>
              <w:noProof/>
              <w:szCs w:val="22"/>
            </w:rPr>
          </w:pPr>
          <w:hyperlink w:anchor="_Toc138755672" w:history="1">
            <w:r w:rsidRPr="000A1F8A">
              <w:rPr>
                <w:rStyle w:val="a9"/>
                <w:rFonts w:ascii="Times New Roman" w:eastAsia="楷体" w:hAnsi="Times New Roman"/>
                <w:b/>
                <w:noProof/>
              </w:rPr>
              <w:t>[</w:t>
            </w:r>
            <w:r w:rsidRPr="000A1F8A">
              <w:rPr>
                <w:rStyle w:val="a9"/>
                <w:rFonts w:ascii="Times New Roman" w:eastAsia="楷体" w:hAnsi="Times New Roman"/>
                <w:b/>
                <w:noProof/>
              </w:rPr>
              <w:t>化工</w:t>
            </w:r>
            <w:r w:rsidRPr="000A1F8A">
              <w:rPr>
                <w:rStyle w:val="a9"/>
                <w:rFonts w:ascii="Times New Roman" w:eastAsia="楷体" w:hAnsi="Times New Roman"/>
                <w:b/>
                <w:noProof/>
              </w:rPr>
              <w:t>]</w:t>
            </w:r>
          </w:hyperlink>
        </w:p>
        <w:p w:rsidR="00156FEB" w:rsidRDefault="00156FEB">
          <w:pPr>
            <w:pStyle w:val="23"/>
            <w:tabs>
              <w:tab w:val="right" w:leader="dot" w:pos="8296"/>
            </w:tabs>
            <w:rPr>
              <w:rFonts w:eastAsiaTheme="minorEastAsia"/>
              <w:noProof/>
              <w:szCs w:val="22"/>
            </w:rPr>
          </w:pPr>
          <w:hyperlink w:anchor="_Toc138755673" w:history="1">
            <w:r w:rsidRPr="000A1F8A">
              <w:rPr>
                <w:rStyle w:val="a9"/>
                <w:rFonts w:ascii="Times New Roman" w:eastAsia="楷体" w:hAnsi="Times New Roman"/>
                <w:b/>
                <w:noProof/>
              </w:rPr>
              <w:t>天然橡胶</w:t>
            </w:r>
            <w:r w:rsidRPr="000A1F8A">
              <w:rPr>
                <w:rStyle w:val="a9"/>
                <w:rFonts w:ascii="Times New Roman" w:eastAsia="楷体" w:hAnsi="Times New Roman"/>
                <w:b/>
                <w:noProof/>
              </w:rPr>
              <w:t>:</w:t>
            </w:r>
            <w:r w:rsidRPr="000A1F8A">
              <w:rPr>
                <w:rStyle w:val="a9"/>
                <w:rFonts w:ascii="楷体" w:eastAsia="楷体" w:hAnsi="楷体"/>
                <w:b/>
                <w:noProof/>
              </w:rPr>
              <w:t xml:space="preserve"> 天胶市场无明显利好，RU维持震荡走势为主</w:t>
            </w:r>
          </w:hyperlink>
        </w:p>
        <w:p w:rsidR="00156FEB" w:rsidRDefault="00156FEB">
          <w:pPr>
            <w:pStyle w:val="23"/>
            <w:tabs>
              <w:tab w:val="right" w:leader="dot" w:pos="8296"/>
            </w:tabs>
            <w:rPr>
              <w:rFonts w:eastAsiaTheme="minorEastAsia"/>
              <w:noProof/>
              <w:szCs w:val="22"/>
            </w:rPr>
          </w:pPr>
          <w:hyperlink w:anchor="_Toc138755674" w:history="1">
            <w:r w:rsidRPr="000A1F8A">
              <w:rPr>
                <w:rStyle w:val="a9"/>
                <w:rFonts w:ascii="楷体" w:eastAsia="楷体" w:hAnsi="楷体"/>
                <w:b/>
                <w:noProof/>
              </w:rPr>
              <w:t xml:space="preserve">PTA：供需矛盾不明显 </w:t>
            </w:r>
            <w:r w:rsidRPr="000A1F8A">
              <w:rPr>
                <w:rStyle w:val="a9"/>
                <w:rFonts w:ascii="Calibri" w:eastAsia="楷体" w:hAnsi="Calibri" w:cs="Calibri"/>
                <w:b/>
                <w:noProof/>
              </w:rPr>
              <w:t> </w:t>
            </w:r>
            <w:r w:rsidRPr="000A1F8A">
              <w:rPr>
                <w:rStyle w:val="a9"/>
                <w:rFonts w:ascii="楷体" w:eastAsia="楷体" w:hAnsi="楷体"/>
                <w:b/>
                <w:noProof/>
              </w:rPr>
              <w:t>走势由成本端主导</w:t>
            </w:r>
          </w:hyperlink>
        </w:p>
        <w:p w:rsidR="00156FEB" w:rsidRDefault="00156FEB">
          <w:pPr>
            <w:pStyle w:val="23"/>
            <w:tabs>
              <w:tab w:val="right" w:leader="dot" w:pos="8296"/>
            </w:tabs>
            <w:rPr>
              <w:rFonts w:eastAsiaTheme="minorEastAsia"/>
              <w:noProof/>
              <w:szCs w:val="22"/>
            </w:rPr>
          </w:pPr>
          <w:hyperlink w:anchor="_Toc138755675" w:history="1">
            <w:r w:rsidRPr="000A1F8A">
              <w:rPr>
                <w:rStyle w:val="a9"/>
                <w:rFonts w:ascii="楷体" w:eastAsia="楷体" w:hAnsi="楷体"/>
                <w:b/>
                <w:noProof/>
              </w:rPr>
              <w:t>PVC：高库存+弱复苏 驱动不足</w:t>
            </w:r>
          </w:hyperlink>
        </w:p>
        <w:p w:rsidR="00156FEB" w:rsidRDefault="00156FEB">
          <w:pPr>
            <w:pStyle w:val="23"/>
            <w:tabs>
              <w:tab w:val="right" w:leader="dot" w:pos="8296"/>
            </w:tabs>
            <w:rPr>
              <w:rFonts w:eastAsiaTheme="minorEastAsia"/>
              <w:noProof/>
              <w:szCs w:val="22"/>
            </w:rPr>
          </w:pPr>
          <w:hyperlink w:anchor="_Toc138755676" w:history="1">
            <w:r w:rsidRPr="000A1F8A">
              <w:rPr>
                <w:rStyle w:val="a9"/>
                <w:rFonts w:ascii="楷体" w:eastAsia="楷体" w:hAnsi="楷体"/>
                <w:b/>
                <w:noProof/>
              </w:rPr>
              <w:t>聚烯烃：基本面无明显提振，聚烯烃或震荡整理</w:t>
            </w:r>
          </w:hyperlink>
        </w:p>
        <w:p w:rsidR="00156FEB" w:rsidRDefault="00156FEB">
          <w:pPr>
            <w:pStyle w:val="23"/>
            <w:tabs>
              <w:tab w:val="right" w:leader="dot" w:pos="8296"/>
            </w:tabs>
            <w:rPr>
              <w:rFonts w:eastAsiaTheme="minorEastAsia"/>
              <w:noProof/>
              <w:szCs w:val="22"/>
            </w:rPr>
          </w:pPr>
          <w:hyperlink w:anchor="_Toc138755677" w:history="1">
            <w:r w:rsidRPr="000A1F8A">
              <w:rPr>
                <w:rStyle w:val="a9"/>
                <w:rFonts w:ascii="楷体" w:eastAsia="楷体" w:hAnsi="楷体"/>
                <w:b/>
                <w:noProof/>
              </w:rPr>
              <w:t>MEG：供应端压力增量明显 乙二醇上行驱动不足</w:t>
            </w:r>
          </w:hyperlink>
        </w:p>
        <w:p w:rsidR="00156FEB" w:rsidRDefault="00156FEB">
          <w:pPr>
            <w:pStyle w:val="23"/>
            <w:tabs>
              <w:tab w:val="right" w:leader="dot" w:pos="8296"/>
            </w:tabs>
            <w:rPr>
              <w:rFonts w:eastAsiaTheme="minorEastAsia"/>
              <w:noProof/>
              <w:szCs w:val="22"/>
            </w:rPr>
          </w:pPr>
          <w:hyperlink w:anchor="_Toc138755678" w:history="1">
            <w:r w:rsidRPr="000A1F8A">
              <w:rPr>
                <w:rStyle w:val="a9"/>
                <w:rFonts w:ascii="楷体" w:eastAsia="楷体" w:hAnsi="楷体"/>
                <w:b/>
                <w:noProof/>
              </w:rPr>
              <w:t>玻璃：淡季情绪弱势，市场震荡走弱</w:t>
            </w:r>
          </w:hyperlink>
        </w:p>
        <w:p w:rsidR="00156FEB" w:rsidRDefault="00156FEB">
          <w:pPr>
            <w:pStyle w:val="23"/>
            <w:tabs>
              <w:tab w:val="right" w:leader="dot" w:pos="8296"/>
            </w:tabs>
            <w:rPr>
              <w:rFonts w:eastAsiaTheme="minorEastAsia"/>
              <w:noProof/>
              <w:szCs w:val="22"/>
            </w:rPr>
          </w:pPr>
          <w:hyperlink w:anchor="_Toc138755679" w:history="1">
            <w:r w:rsidRPr="000A1F8A">
              <w:rPr>
                <w:rStyle w:val="a9"/>
                <w:rFonts w:ascii="楷体" w:eastAsia="楷体" w:hAnsi="楷体"/>
                <w:b/>
                <w:noProof/>
              </w:rPr>
              <w:t>纯碱：低库存现货价格坚挺，市场静待天然碱投产</w:t>
            </w:r>
          </w:hyperlink>
        </w:p>
        <w:p w:rsidR="00156FEB" w:rsidRDefault="00156FEB">
          <w:pPr>
            <w:pStyle w:val="11"/>
            <w:tabs>
              <w:tab w:val="right" w:leader="dot" w:pos="8296"/>
            </w:tabs>
            <w:rPr>
              <w:rFonts w:eastAsiaTheme="minorEastAsia"/>
              <w:noProof/>
              <w:szCs w:val="22"/>
            </w:rPr>
          </w:pPr>
          <w:hyperlink w:anchor="_Toc138755680" w:history="1">
            <w:r w:rsidRPr="000A1F8A">
              <w:rPr>
                <w:rStyle w:val="a9"/>
                <w:rFonts w:ascii="Times New Roman" w:eastAsia="楷体" w:hAnsi="Times New Roman"/>
                <w:b/>
                <w:noProof/>
              </w:rPr>
              <w:t>[</w:t>
            </w:r>
            <w:r w:rsidRPr="000A1F8A">
              <w:rPr>
                <w:rStyle w:val="a9"/>
                <w:rFonts w:ascii="Times New Roman" w:eastAsia="楷体" w:hAnsi="Times New Roman"/>
                <w:b/>
                <w:noProof/>
              </w:rPr>
              <w:t>农产品</w:t>
            </w:r>
            <w:r w:rsidRPr="000A1F8A">
              <w:rPr>
                <w:rStyle w:val="a9"/>
                <w:rFonts w:ascii="Times New Roman" w:eastAsia="楷体" w:hAnsi="Times New Roman"/>
                <w:b/>
                <w:noProof/>
              </w:rPr>
              <w:t>]</w:t>
            </w:r>
          </w:hyperlink>
        </w:p>
        <w:p w:rsidR="00156FEB" w:rsidRDefault="00156FEB">
          <w:pPr>
            <w:pStyle w:val="23"/>
            <w:tabs>
              <w:tab w:val="right" w:leader="dot" w:pos="8296"/>
            </w:tabs>
            <w:rPr>
              <w:rFonts w:eastAsiaTheme="minorEastAsia"/>
              <w:noProof/>
              <w:szCs w:val="22"/>
            </w:rPr>
          </w:pPr>
          <w:hyperlink w:anchor="_Toc138755681" w:history="1">
            <w:r w:rsidRPr="000A1F8A">
              <w:rPr>
                <w:rStyle w:val="a9"/>
                <w:rFonts w:ascii="楷体" w:eastAsia="楷体" w:hAnsi="楷体"/>
                <w:b/>
                <w:noProof/>
              </w:rPr>
              <w:t>豆粕/菜粕：短期偏强震荡</w:t>
            </w:r>
          </w:hyperlink>
        </w:p>
        <w:p w:rsidR="00156FEB" w:rsidRDefault="00156FEB">
          <w:pPr>
            <w:pStyle w:val="23"/>
            <w:tabs>
              <w:tab w:val="right" w:leader="dot" w:pos="8296"/>
            </w:tabs>
            <w:rPr>
              <w:rFonts w:eastAsiaTheme="minorEastAsia"/>
              <w:noProof/>
              <w:szCs w:val="22"/>
            </w:rPr>
          </w:pPr>
          <w:hyperlink w:anchor="_Toc138755682" w:history="1">
            <w:r w:rsidRPr="000A1F8A">
              <w:rPr>
                <w:rStyle w:val="a9"/>
                <w:rFonts w:ascii="楷体" w:eastAsia="楷体" w:hAnsi="楷体"/>
                <w:b/>
                <w:noProof/>
              </w:rPr>
              <w:t>油脂：预计延续偏强震荡</w:t>
            </w:r>
          </w:hyperlink>
        </w:p>
        <w:p w:rsidR="00156FEB" w:rsidRDefault="00156FEB">
          <w:pPr>
            <w:pStyle w:val="23"/>
            <w:tabs>
              <w:tab w:val="right" w:leader="dot" w:pos="8296"/>
            </w:tabs>
            <w:rPr>
              <w:rFonts w:eastAsiaTheme="minorEastAsia"/>
              <w:noProof/>
              <w:szCs w:val="22"/>
            </w:rPr>
          </w:pPr>
          <w:hyperlink w:anchor="_Toc138755683" w:history="1">
            <w:r w:rsidRPr="000A1F8A">
              <w:rPr>
                <w:rStyle w:val="a9"/>
                <w:rFonts w:ascii="楷体" w:eastAsia="楷体" w:hAnsi="楷体"/>
                <w:b/>
                <w:bCs/>
                <w:noProof/>
              </w:rPr>
              <w:t>玉米与淀粉：</w:t>
            </w:r>
            <w:r w:rsidRPr="000A1F8A">
              <w:rPr>
                <w:rStyle w:val="a9"/>
                <w:rFonts w:ascii="楷体" w:eastAsia="楷体" w:hAnsi="楷体"/>
                <w:b/>
                <w:noProof/>
              </w:rPr>
              <w:t>期价近强远弱</w:t>
            </w:r>
          </w:hyperlink>
        </w:p>
        <w:p w:rsidR="00156FEB" w:rsidRDefault="00156FEB">
          <w:pPr>
            <w:pStyle w:val="23"/>
            <w:tabs>
              <w:tab w:val="right" w:leader="dot" w:pos="8296"/>
            </w:tabs>
            <w:rPr>
              <w:rFonts w:eastAsiaTheme="minorEastAsia"/>
              <w:noProof/>
              <w:szCs w:val="22"/>
            </w:rPr>
          </w:pPr>
          <w:hyperlink w:anchor="_Toc138755684" w:history="1">
            <w:r w:rsidRPr="000A1F8A">
              <w:rPr>
                <w:rStyle w:val="a9"/>
                <w:rFonts w:ascii="楷体" w:eastAsia="楷体" w:hAnsi="楷体"/>
                <w:b/>
                <w:bCs/>
                <w:noProof/>
              </w:rPr>
              <w:t>畜禽养殖：现货带动生猪期价特别是近月再创新低</w:t>
            </w:r>
          </w:hyperlink>
        </w:p>
        <w:p w:rsidR="00156FEB" w:rsidRDefault="00156FEB">
          <w:pPr>
            <w:pStyle w:val="23"/>
            <w:tabs>
              <w:tab w:val="right" w:leader="dot" w:pos="8296"/>
            </w:tabs>
            <w:rPr>
              <w:rFonts w:eastAsiaTheme="minorEastAsia"/>
              <w:noProof/>
              <w:szCs w:val="22"/>
            </w:rPr>
          </w:pPr>
          <w:hyperlink w:anchor="_Toc138755685" w:history="1">
            <w:r w:rsidRPr="000A1F8A">
              <w:rPr>
                <w:rStyle w:val="a9"/>
                <w:rFonts w:ascii="楷体" w:eastAsia="楷体" w:hAnsi="楷体"/>
                <w:b/>
                <w:noProof/>
              </w:rPr>
              <w:t>郑棉：预计09合约震荡偏弱，等待卖出看跌期权机会</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3875565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38755658"/>
      <w:bookmarkEnd w:id="4"/>
      <w:r>
        <w:rPr>
          <w:rFonts w:ascii="Times New Roman" w:eastAsia="楷体" w:hAnsi="Times New Roman" w:hint="eastAsia"/>
          <w:b/>
          <w:color w:val="000000" w:themeColor="text1"/>
          <w:sz w:val="24"/>
          <w:szCs w:val="24"/>
        </w:rPr>
        <w:t>股指：</w:t>
      </w:r>
      <w:bookmarkEnd w:id="6"/>
      <w:bookmarkEnd w:id="7"/>
      <w:r w:rsidR="00093E40" w:rsidRPr="00093E40">
        <w:rPr>
          <w:rFonts w:ascii="Times New Roman" w:eastAsia="楷体" w:hAnsi="Times New Roman" w:hint="eastAsia"/>
          <w:b/>
          <w:color w:val="000000" w:themeColor="text1"/>
          <w:sz w:val="24"/>
          <w:szCs w:val="24"/>
        </w:rPr>
        <w:t>低多</w:t>
      </w:r>
      <w:r w:rsidR="00093E40" w:rsidRPr="00093E40">
        <w:rPr>
          <w:rFonts w:ascii="Times New Roman" w:eastAsia="楷体" w:hAnsi="Times New Roman" w:hint="eastAsia"/>
          <w:b/>
          <w:color w:val="000000" w:themeColor="text1"/>
          <w:sz w:val="24"/>
          <w:szCs w:val="24"/>
        </w:rPr>
        <w:t>IM</w:t>
      </w:r>
      <w:bookmarkEnd w:id="8"/>
    </w:p>
    <w:p w:rsidR="003F56A5" w:rsidRDefault="00093E40">
      <w:pPr>
        <w:ind w:leftChars="300" w:left="630"/>
        <w:rPr>
          <w:rFonts w:ascii="Times New Roman" w:eastAsia="楷体" w:hAnsi="Times New Roman"/>
          <w:color w:val="000000" w:themeColor="text1"/>
          <w:sz w:val="24"/>
          <w:szCs w:val="24"/>
        </w:rPr>
      </w:pPr>
      <w:r w:rsidRPr="00093E40">
        <w:rPr>
          <w:rFonts w:ascii="Times New Roman" w:eastAsia="楷体" w:hAnsi="Times New Roman" w:hint="eastAsia"/>
          <w:color w:val="000000" w:themeColor="text1"/>
          <w:sz w:val="24"/>
          <w:szCs w:val="24"/>
        </w:rPr>
        <w:t>海外宏观复杂性客观存在下，人民币汇率承压，</w:t>
      </w:r>
      <w:r w:rsidRPr="00093E40">
        <w:rPr>
          <w:rFonts w:ascii="Times New Roman" w:eastAsia="楷体" w:hAnsi="Times New Roman" w:hint="eastAsia"/>
          <w:color w:val="000000" w:themeColor="text1"/>
          <w:sz w:val="24"/>
          <w:szCs w:val="24"/>
        </w:rPr>
        <w:t>A</w:t>
      </w:r>
      <w:r w:rsidRPr="00093E40">
        <w:rPr>
          <w:rFonts w:ascii="Times New Roman" w:eastAsia="楷体" w:hAnsi="Times New Roman" w:hint="eastAsia"/>
          <w:color w:val="000000" w:themeColor="text1"/>
          <w:sz w:val="24"/>
          <w:szCs w:val="24"/>
        </w:rPr>
        <w:t>股市场短期波动或加大，但市场信心的恢复更多依赖国内稳增长政策出台的速度、力度。昨日悲观情绪集中释放，午后北水逆势净买入，</w:t>
      </w:r>
      <w:r w:rsidRPr="00093E40">
        <w:rPr>
          <w:rFonts w:ascii="Times New Roman" w:eastAsia="楷体" w:hAnsi="Times New Roman" w:hint="eastAsia"/>
          <w:color w:val="000000" w:themeColor="text1"/>
          <w:sz w:val="24"/>
          <w:szCs w:val="24"/>
        </w:rPr>
        <w:t>IC</w:t>
      </w:r>
      <w:r w:rsidRPr="00093E40">
        <w:rPr>
          <w:rFonts w:ascii="Times New Roman" w:eastAsia="楷体" w:hAnsi="Times New Roman" w:hint="eastAsia"/>
          <w:color w:val="000000" w:themeColor="text1"/>
          <w:sz w:val="24"/>
          <w:szCs w:val="24"/>
        </w:rPr>
        <w:t>、</w:t>
      </w:r>
      <w:r w:rsidRPr="00093E40">
        <w:rPr>
          <w:rFonts w:ascii="Times New Roman" w:eastAsia="楷体" w:hAnsi="Times New Roman" w:hint="eastAsia"/>
          <w:color w:val="000000" w:themeColor="text1"/>
          <w:sz w:val="24"/>
          <w:szCs w:val="24"/>
        </w:rPr>
        <w:t>IM</w:t>
      </w:r>
      <w:r w:rsidRPr="00093E40">
        <w:rPr>
          <w:rFonts w:ascii="Times New Roman" w:eastAsia="楷体" w:hAnsi="Times New Roman" w:hint="eastAsia"/>
          <w:color w:val="000000" w:themeColor="text1"/>
          <w:sz w:val="24"/>
          <w:szCs w:val="24"/>
        </w:rPr>
        <w:t>基差升水，各指数估值较低，下行空间有限，关注大盘</w:t>
      </w:r>
      <w:r w:rsidRPr="00093E40">
        <w:rPr>
          <w:rFonts w:ascii="Times New Roman" w:eastAsia="楷体" w:hAnsi="Times New Roman" w:hint="eastAsia"/>
          <w:color w:val="000000" w:themeColor="text1"/>
          <w:sz w:val="24"/>
          <w:szCs w:val="24"/>
        </w:rPr>
        <w:t>3130</w:t>
      </w:r>
      <w:r w:rsidRPr="00093E40">
        <w:rPr>
          <w:rFonts w:ascii="Times New Roman" w:eastAsia="楷体" w:hAnsi="Times New Roman" w:hint="eastAsia"/>
          <w:color w:val="000000" w:themeColor="text1"/>
          <w:sz w:val="24"/>
          <w:szCs w:val="24"/>
        </w:rPr>
        <w:t>缺口回补</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3875565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38755660"/>
      <w:r>
        <w:rPr>
          <w:rFonts w:ascii="Times New Roman" w:eastAsia="楷体" w:hAnsi="Times New Roman" w:hint="eastAsia"/>
          <w:b/>
          <w:color w:val="000000" w:themeColor="text1"/>
          <w:sz w:val="24"/>
          <w:szCs w:val="24"/>
        </w:rPr>
        <w:t>贵金属：</w:t>
      </w:r>
      <w:r w:rsidR="00093E40" w:rsidRPr="00093E40">
        <w:rPr>
          <w:rFonts w:ascii="Times New Roman" w:eastAsia="楷体" w:hAnsi="Times New Roman" w:hint="eastAsia"/>
          <w:b/>
          <w:color w:val="000000" w:themeColor="text1"/>
          <w:sz w:val="24"/>
          <w:szCs w:val="24"/>
        </w:rPr>
        <w:t>美元指数横盘震荡，贵金属价格小幅反弹</w:t>
      </w:r>
      <w:bookmarkEnd w:id="10"/>
    </w:p>
    <w:p w:rsidR="003F56A5" w:rsidRDefault="00093E40">
      <w:pPr>
        <w:ind w:leftChars="300" w:left="630"/>
        <w:rPr>
          <w:rFonts w:ascii="Times New Roman" w:eastAsia="楷体" w:hAnsi="Times New Roman"/>
          <w:sz w:val="24"/>
          <w:szCs w:val="24"/>
        </w:rPr>
      </w:pPr>
      <w:r w:rsidRPr="00093E40">
        <w:rPr>
          <w:rFonts w:ascii="Times New Roman" w:eastAsia="楷体" w:hAnsi="Times New Roman" w:hint="eastAsia"/>
          <w:color w:val="000000" w:themeColor="text1"/>
          <w:sz w:val="24"/>
          <w:szCs w:val="24"/>
        </w:rPr>
        <w:t>美元指数于</w:t>
      </w:r>
      <w:r w:rsidRPr="00093E40">
        <w:rPr>
          <w:rFonts w:ascii="Times New Roman" w:eastAsia="楷体" w:hAnsi="Times New Roman" w:hint="eastAsia"/>
          <w:color w:val="000000" w:themeColor="text1"/>
          <w:sz w:val="24"/>
          <w:szCs w:val="24"/>
        </w:rPr>
        <w:t>102.7</w:t>
      </w:r>
      <w:r w:rsidRPr="00093E40">
        <w:rPr>
          <w:rFonts w:ascii="Times New Roman" w:eastAsia="楷体" w:hAnsi="Times New Roman" w:hint="eastAsia"/>
          <w:color w:val="000000" w:themeColor="text1"/>
          <w:sz w:val="24"/>
          <w:szCs w:val="24"/>
        </w:rPr>
        <w:t>附近横盘运行，昨夜沪金、沪银小幅反弹。</w:t>
      </w:r>
      <w:r w:rsidRPr="00093E40">
        <w:rPr>
          <w:rFonts w:ascii="Times New Roman" w:eastAsia="楷体" w:hAnsi="Times New Roman" w:hint="eastAsia"/>
          <w:color w:val="000000" w:themeColor="text1"/>
          <w:sz w:val="24"/>
          <w:szCs w:val="24"/>
        </w:rPr>
        <w:t>CME FedWatch</w:t>
      </w:r>
      <w:r w:rsidRPr="00093E40">
        <w:rPr>
          <w:rFonts w:ascii="Times New Roman" w:eastAsia="楷体" w:hAnsi="Times New Roman" w:hint="eastAsia"/>
          <w:color w:val="000000" w:themeColor="text1"/>
          <w:sz w:val="24"/>
          <w:szCs w:val="24"/>
        </w:rPr>
        <w:t>模型根据联邦基金利率期货价格反推的美联储利率预测显示，美联储</w:t>
      </w:r>
      <w:r w:rsidRPr="00093E40">
        <w:rPr>
          <w:rFonts w:ascii="Times New Roman" w:eastAsia="楷体" w:hAnsi="Times New Roman" w:hint="eastAsia"/>
          <w:color w:val="000000" w:themeColor="text1"/>
          <w:sz w:val="24"/>
          <w:szCs w:val="24"/>
        </w:rPr>
        <w:t>7</w:t>
      </w:r>
      <w:r w:rsidRPr="00093E40">
        <w:rPr>
          <w:rFonts w:ascii="Times New Roman" w:eastAsia="楷体" w:hAnsi="Times New Roman" w:hint="eastAsia"/>
          <w:color w:val="000000" w:themeColor="text1"/>
          <w:sz w:val="24"/>
          <w:szCs w:val="24"/>
        </w:rPr>
        <w:t>月加息</w:t>
      </w:r>
      <w:r w:rsidRPr="00093E40">
        <w:rPr>
          <w:rFonts w:ascii="Times New Roman" w:eastAsia="楷体" w:hAnsi="Times New Roman" w:hint="eastAsia"/>
          <w:color w:val="000000" w:themeColor="text1"/>
          <w:sz w:val="24"/>
          <w:szCs w:val="24"/>
        </w:rPr>
        <w:t>25bp</w:t>
      </w:r>
      <w:r w:rsidRPr="00093E40">
        <w:rPr>
          <w:rFonts w:ascii="Times New Roman" w:eastAsia="楷体" w:hAnsi="Times New Roman" w:hint="eastAsia"/>
          <w:color w:val="000000" w:themeColor="text1"/>
          <w:sz w:val="24"/>
          <w:szCs w:val="24"/>
        </w:rPr>
        <w:t>的几率为</w:t>
      </w:r>
      <w:r w:rsidRPr="00093E40">
        <w:rPr>
          <w:rFonts w:ascii="Times New Roman" w:eastAsia="楷体" w:hAnsi="Times New Roman" w:hint="eastAsia"/>
          <w:color w:val="000000" w:themeColor="text1"/>
          <w:sz w:val="24"/>
          <w:szCs w:val="24"/>
        </w:rPr>
        <w:t>74.4%</w:t>
      </w:r>
      <w:r w:rsidRPr="00093E40">
        <w:rPr>
          <w:rFonts w:ascii="Times New Roman" w:eastAsia="楷体" w:hAnsi="Times New Roman" w:hint="eastAsia"/>
          <w:color w:val="000000" w:themeColor="text1"/>
          <w:sz w:val="24"/>
          <w:szCs w:val="24"/>
        </w:rPr>
        <w:t>，维持利率水平不变的几率为</w:t>
      </w:r>
      <w:r w:rsidRPr="00093E40">
        <w:rPr>
          <w:rFonts w:ascii="Times New Roman" w:eastAsia="楷体" w:hAnsi="Times New Roman" w:hint="eastAsia"/>
          <w:color w:val="000000" w:themeColor="text1"/>
          <w:sz w:val="24"/>
          <w:szCs w:val="24"/>
        </w:rPr>
        <w:t>25.6%</w:t>
      </w:r>
      <w:r w:rsidRPr="00093E40">
        <w:rPr>
          <w:rFonts w:ascii="Times New Roman" w:eastAsia="楷体" w:hAnsi="Times New Roman" w:hint="eastAsia"/>
          <w:color w:val="000000" w:themeColor="text1"/>
          <w:sz w:val="24"/>
          <w:szCs w:val="24"/>
        </w:rPr>
        <w:t>。美国</w:t>
      </w:r>
      <w:r w:rsidRPr="00093E40">
        <w:rPr>
          <w:rFonts w:ascii="Times New Roman" w:eastAsia="楷体" w:hAnsi="Times New Roman" w:hint="eastAsia"/>
          <w:color w:val="000000" w:themeColor="text1"/>
          <w:sz w:val="24"/>
          <w:szCs w:val="24"/>
        </w:rPr>
        <w:t>6</w:t>
      </w:r>
      <w:r w:rsidRPr="00093E40">
        <w:rPr>
          <w:rFonts w:ascii="Times New Roman" w:eastAsia="楷体" w:hAnsi="Times New Roman" w:hint="eastAsia"/>
          <w:color w:val="000000" w:themeColor="text1"/>
          <w:sz w:val="24"/>
          <w:szCs w:val="24"/>
        </w:rPr>
        <w:t>月达拉斯联储商业活动指数略微回升至</w:t>
      </w:r>
      <w:r w:rsidRPr="00093E40">
        <w:rPr>
          <w:rFonts w:ascii="Times New Roman" w:eastAsia="楷体" w:hAnsi="Times New Roman" w:hint="eastAsia"/>
          <w:color w:val="000000" w:themeColor="text1"/>
          <w:sz w:val="24"/>
          <w:szCs w:val="24"/>
        </w:rPr>
        <w:t>-23.2</w:t>
      </w:r>
      <w:r w:rsidRPr="00093E40">
        <w:rPr>
          <w:rFonts w:ascii="Times New Roman" w:eastAsia="楷体" w:hAnsi="Times New Roman" w:hint="eastAsia"/>
          <w:color w:val="000000" w:themeColor="text1"/>
          <w:sz w:val="24"/>
          <w:szCs w:val="24"/>
        </w:rPr>
        <w:t>，不及此前预期。下半年海外市场或逐步转向围绕美国基本面走弱的衰退逻辑交易，避险情绪将对贵金属价格形成支撑。随近期美联储鹰派利空兑现，内盘贵金属可择机逢低做多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3875566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3F56A5" w:rsidRDefault="00CC3FFA">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38755662"/>
      <w:r>
        <w:rPr>
          <w:rFonts w:ascii="楷体" w:eastAsia="楷体" w:hAnsi="楷体" w:hint="eastAsia"/>
          <w:b/>
          <w:color w:val="000000" w:themeColor="text1"/>
          <w:sz w:val="24"/>
          <w:szCs w:val="24"/>
        </w:rPr>
        <w:t>螺纹钢：</w:t>
      </w:r>
      <w:bookmarkEnd w:id="16"/>
      <w:bookmarkEnd w:id="17"/>
      <w:r w:rsidR="00093E40" w:rsidRPr="00093E40">
        <w:rPr>
          <w:rFonts w:ascii="楷体" w:eastAsia="楷体" w:hAnsi="楷体" w:hint="eastAsia"/>
          <w:b/>
          <w:color w:val="000000" w:themeColor="text1"/>
          <w:sz w:val="24"/>
          <w:szCs w:val="24"/>
        </w:rPr>
        <w:t>现货成交仍具有仍性，情绪压力下偏弱震荡</w:t>
      </w:r>
      <w:bookmarkEnd w:id="18"/>
    </w:p>
    <w:p w:rsidR="003F56A5" w:rsidRDefault="00093E40">
      <w:pPr>
        <w:ind w:leftChars="300" w:left="630"/>
        <w:rPr>
          <w:rFonts w:ascii="楷体" w:eastAsia="楷体" w:hAnsi="楷体"/>
          <w:color w:val="000000" w:themeColor="text1"/>
          <w:sz w:val="24"/>
          <w:szCs w:val="24"/>
        </w:rPr>
      </w:pPr>
      <w:r w:rsidRPr="00093E40">
        <w:rPr>
          <w:rFonts w:ascii="楷体" w:eastAsia="楷体" w:hAnsi="楷体" w:hint="eastAsia"/>
          <w:color w:val="000000" w:themeColor="text1"/>
          <w:sz w:val="24"/>
          <w:szCs w:val="24"/>
        </w:rPr>
        <w:t>昨日跌价下现货成交尚可，供需缺口收敛，情绪拐点下价格回落，短期需求、成本仍具有一定韧性，价格或持续震荡偏弱运行。预计本周钢价中枢回归（3580,3750）区间，短期或在（3570,3690）区间的震荡</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4790"/>
      <w:bookmarkStart w:id="20" w:name="_Toc11356"/>
      <w:bookmarkStart w:id="21" w:name="_Toc138755663"/>
      <w:r>
        <w:rPr>
          <w:rFonts w:ascii="楷体" w:eastAsia="楷体" w:hAnsi="楷体" w:hint="eastAsia"/>
          <w:b/>
          <w:color w:val="000000" w:themeColor="text1"/>
          <w:sz w:val="24"/>
          <w:szCs w:val="24"/>
        </w:rPr>
        <w:t>焦炭：</w:t>
      </w:r>
      <w:bookmarkEnd w:id="19"/>
      <w:bookmarkEnd w:id="20"/>
      <w:r w:rsidR="00093E40" w:rsidRPr="00093E40">
        <w:rPr>
          <w:rFonts w:ascii="楷体" w:eastAsia="楷体" w:hAnsi="楷体" w:hint="eastAsia"/>
          <w:b/>
          <w:color w:val="000000" w:themeColor="text1"/>
          <w:sz w:val="24"/>
          <w:szCs w:val="24"/>
        </w:rPr>
        <w:t>现货价格平稳，盘面调整估值，基差波动</w:t>
      </w:r>
      <w:bookmarkEnd w:id="21"/>
    </w:p>
    <w:p w:rsidR="003F56A5" w:rsidRDefault="00093E40" w:rsidP="00572E35">
      <w:pPr>
        <w:ind w:leftChars="300" w:left="630"/>
        <w:rPr>
          <w:rFonts w:ascii="楷体" w:eastAsia="楷体" w:hAnsi="楷体"/>
          <w:color w:val="000000" w:themeColor="text1"/>
          <w:sz w:val="24"/>
          <w:szCs w:val="24"/>
        </w:rPr>
      </w:pPr>
      <w:r w:rsidRPr="00093E40">
        <w:rPr>
          <w:rFonts w:ascii="楷体" w:eastAsia="楷体" w:hAnsi="楷体" w:hint="eastAsia"/>
          <w:color w:val="000000" w:themeColor="text1"/>
          <w:sz w:val="24"/>
          <w:szCs w:val="24"/>
        </w:rPr>
        <w:t>港口现货价格保持平稳，前期现货跟涨成材，但情绪回落后现货提涨不畅，短期投机需求释放后，高铁水带来的产销缺口仍给与现货较大支撑，预计在（2000,2100）区间震荡</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2" w:name="_Toc138755664"/>
      <w:r>
        <w:rPr>
          <w:rFonts w:ascii="楷体" w:eastAsia="楷体" w:hAnsi="楷体" w:hint="eastAsia"/>
          <w:b/>
          <w:color w:val="000000" w:themeColor="text1"/>
          <w:sz w:val="24"/>
          <w:szCs w:val="24"/>
        </w:rPr>
        <w:t>焦煤：</w:t>
      </w:r>
      <w:r w:rsidR="00093E40" w:rsidRPr="00093E40">
        <w:rPr>
          <w:rFonts w:ascii="楷体" w:eastAsia="楷体" w:hAnsi="楷体" w:hint="eastAsia"/>
          <w:b/>
          <w:sz w:val="24"/>
          <w:szCs w:val="24"/>
        </w:rPr>
        <w:t>煤价有所回落，长协跌价传闻扰动，重回震荡区间</w:t>
      </w:r>
      <w:bookmarkEnd w:id="22"/>
    </w:p>
    <w:p w:rsidR="003F56A5" w:rsidRDefault="00093E40">
      <w:pPr>
        <w:ind w:leftChars="300" w:left="630"/>
        <w:rPr>
          <w:rFonts w:ascii="楷体" w:eastAsia="楷体" w:hAnsi="楷体"/>
          <w:bCs/>
          <w:sz w:val="24"/>
          <w:szCs w:val="24"/>
        </w:rPr>
      </w:pPr>
      <w:r w:rsidRPr="00093E40">
        <w:rPr>
          <w:rFonts w:ascii="楷体" w:eastAsia="楷体" w:hAnsi="楷体" w:hint="eastAsia"/>
          <w:sz w:val="24"/>
          <w:szCs w:val="24"/>
        </w:rPr>
        <w:t>现货前期超涨下，价格有所回落，叠加今日传闻蒙煤大矿长协下调幅度超市场预期约10美金/吨，价格回落幅度或有所放大，整体或回到（1250,1320）区间震荡</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3" w:name="_Toc9719"/>
      <w:bookmarkStart w:id="24" w:name="_Toc25617"/>
      <w:bookmarkStart w:id="25" w:name="_Toc138755665"/>
      <w:r>
        <w:rPr>
          <w:rFonts w:ascii="楷体" w:eastAsia="楷体" w:hAnsi="楷体" w:hint="eastAsia"/>
          <w:b/>
          <w:color w:val="000000" w:themeColor="text1"/>
          <w:sz w:val="24"/>
          <w:szCs w:val="24"/>
        </w:rPr>
        <w:t>铜：</w:t>
      </w:r>
      <w:bookmarkEnd w:id="23"/>
      <w:bookmarkEnd w:id="24"/>
      <w:r w:rsidR="00320AB1" w:rsidRPr="00320AB1">
        <w:rPr>
          <w:rFonts w:ascii="楷体" w:eastAsia="楷体" w:hAnsi="楷体" w:hint="eastAsia"/>
          <w:b/>
          <w:color w:val="000000" w:themeColor="text1"/>
          <w:sz w:val="24"/>
          <w:szCs w:val="24"/>
        </w:rPr>
        <w:t>高位风险加大</w:t>
      </w:r>
      <w:bookmarkEnd w:id="25"/>
    </w:p>
    <w:p w:rsidR="00320AB1" w:rsidRPr="00320AB1" w:rsidRDefault="00320AB1" w:rsidP="00320AB1">
      <w:pPr>
        <w:ind w:leftChars="300" w:left="630"/>
        <w:rPr>
          <w:rFonts w:ascii="楷体" w:eastAsia="楷体" w:hAnsi="楷体" w:hint="eastAsia"/>
          <w:color w:val="000000" w:themeColor="text1"/>
          <w:sz w:val="24"/>
          <w:szCs w:val="24"/>
        </w:rPr>
      </w:pPr>
      <w:r w:rsidRPr="00320AB1">
        <w:rPr>
          <w:rFonts w:ascii="楷体" w:eastAsia="楷体" w:hAnsi="楷体" w:hint="eastAsia"/>
          <w:color w:val="000000" w:themeColor="text1"/>
          <w:sz w:val="24"/>
          <w:szCs w:val="24"/>
        </w:rPr>
        <w:t>(1)库存：6月26日，SHFE仓单库存20229吨，减2049吨；LME仓单库存80100吨，增800吨。</w:t>
      </w:r>
    </w:p>
    <w:p w:rsidR="00320AB1" w:rsidRPr="00320AB1" w:rsidRDefault="00320AB1" w:rsidP="00320AB1">
      <w:pPr>
        <w:ind w:leftChars="300" w:left="630"/>
        <w:rPr>
          <w:rFonts w:ascii="楷体" w:eastAsia="楷体" w:hAnsi="楷体" w:hint="eastAsia"/>
          <w:color w:val="000000" w:themeColor="text1"/>
          <w:sz w:val="24"/>
          <w:szCs w:val="24"/>
        </w:rPr>
      </w:pPr>
      <w:r w:rsidRPr="00320AB1">
        <w:rPr>
          <w:rFonts w:ascii="楷体" w:eastAsia="楷体" w:hAnsi="楷体" w:hint="eastAsia"/>
          <w:color w:val="000000" w:themeColor="text1"/>
          <w:sz w:val="24"/>
          <w:szCs w:val="24"/>
        </w:rPr>
        <w:t>(2)精废价差：6月26日，Mysteel精废价差2394，收窄272。目前价差在合理价差1388之上。</w:t>
      </w:r>
    </w:p>
    <w:p w:rsidR="00320AB1" w:rsidRPr="00320AB1" w:rsidRDefault="00320AB1" w:rsidP="00320AB1">
      <w:pPr>
        <w:ind w:leftChars="300" w:left="630"/>
        <w:rPr>
          <w:rFonts w:ascii="楷体" w:eastAsia="楷体" w:hAnsi="楷体"/>
          <w:color w:val="000000" w:themeColor="text1"/>
          <w:sz w:val="24"/>
          <w:szCs w:val="24"/>
        </w:rPr>
      </w:pPr>
    </w:p>
    <w:p w:rsidR="00127803" w:rsidRPr="00127803" w:rsidRDefault="00320AB1" w:rsidP="00320AB1">
      <w:pPr>
        <w:ind w:leftChars="300" w:left="630"/>
        <w:rPr>
          <w:rFonts w:ascii="楷体" w:eastAsia="楷体" w:hAnsi="楷体"/>
          <w:color w:val="000000" w:themeColor="text1"/>
          <w:sz w:val="24"/>
          <w:szCs w:val="24"/>
        </w:rPr>
      </w:pPr>
      <w:r w:rsidRPr="00320AB1">
        <w:rPr>
          <w:rFonts w:ascii="楷体" w:eastAsia="楷体" w:hAnsi="楷体" w:hint="eastAsia"/>
          <w:color w:val="000000" w:themeColor="text1"/>
          <w:sz w:val="24"/>
          <w:szCs w:val="24"/>
        </w:rPr>
        <w:lastRenderedPageBreak/>
        <w:t>综述：近期欧美数据弱于预期，美国6月Markit制造业PMI创六个月新低，欧元区6月制造业PMI初值处于荣枯线以下，创37个月新低，经济数据疲软打击市场情绪。美联储主席鲍威尔在国会两院都发表了鹰派讲话，美元指数止跌反弹对铜价形成压制。基本面，内外库存低位，国内现货升水节后下调但仍居偏高位，对铜消费带来负反馈效应，预计铜价短期弱势运行，高位风险逐步加大</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2C73FE" w:rsidRDefault="00CC3FFA" w:rsidP="002C73FE">
      <w:pPr>
        <w:ind w:leftChars="200" w:left="420"/>
        <w:outlineLvl w:val="1"/>
        <w:rPr>
          <w:rFonts w:ascii="楷体" w:eastAsia="楷体" w:hAnsi="楷体"/>
          <w:b/>
          <w:color w:val="000000" w:themeColor="text1"/>
          <w:sz w:val="24"/>
          <w:szCs w:val="24"/>
        </w:rPr>
      </w:pPr>
      <w:bookmarkStart w:id="26" w:name="_Toc8897"/>
      <w:bookmarkStart w:id="27" w:name="_Toc6247"/>
      <w:bookmarkStart w:id="28" w:name="_Toc138755666"/>
      <w:r>
        <w:rPr>
          <w:rFonts w:ascii="楷体" w:eastAsia="楷体" w:hAnsi="楷体" w:hint="eastAsia"/>
          <w:b/>
          <w:color w:val="000000" w:themeColor="text1"/>
          <w:sz w:val="24"/>
          <w:szCs w:val="24"/>
        </w:rPr>
        <w:t>铝：</w:t>
      </w:r>
      <w:bookmarkEnd w:id="26"/>
      <w:bookmarkEnd w:id="27"/>
      <w:r w:rsidR="00A223D3" w:rsidRPr="00A223D3">
        <w:rPr>
          <w:rFonts w:ascii="楷体" w:eastAsia="楷体" w:hAnsi="楷体" w:hint="eastAsia"/>
          <w:b/>
          <w:color w:val="000000" w:themeColor="text1"/>
          <w:sz w:val="24"/>
          <w:szCs w:val="24"/>
        </w:rPr>
        <w:t>库存拐入累库，铝价上方承压</w:t>
      </w:r>
      <w:bookmarkEnd w:id="28"/>
    </w:p>
    <w:p w:rsidR="003F56A5" w:rsidRDefault="00A223D3" w:rsidP="00127803">
      <w:pPr>
        <w:ind w:leftChars="300" w:left="630"/>
        <w:rPr>
          <w:rFonts w:ascii="楷体" w:eastAsia="楷体" w:hAnsi="楷体"/>
          <w:color w:val="000000" w:themeColor="text1"/>
          <w:sz w:val="24"/>
          <w:szCs w:val="24"/>
        </w:rPr>
      </w:pPr>
      <w:r w:rsidRPr="00A223D3">
        <w:rPr>
          <w:rFonts w:ascii="楷体" w:eastAsia="楷体" w:hAnsi="楷体" w:hint="eastAsia"/>
          <w:color w:val="000000" w:themeColor="text1"/>
          <w:sz w:val="24"/>
          <w:szCs w:val="24"/>
        </w:rPr>
        <w:t>海外宏观在美国通胀改善叠加联储加息暂停的事件影响下，整体市场情绪支撑偏强，国内市场在博弈7月的政策窗口期，宏观表现偏乐观。电解铝5月产量季度偏高位，铝棒加工费持续震荡走低，铝水比例下降，部分厂家铝水长单违约，云南地区大幅降水补充水电，预期当地部分产能进入复产，6月后进入消费淡季，需求驱动较弱，交易所库存累库，社库库存拐向累库，铝价上方空间仍有压力，预计沪铝期价宽浮波动在17500-19000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9" w:name="_Toc138755667"/>
      <w:r>
        <w:rPr>
          <w:rFonts w:ascii="楷体" w:eastAsia="楷体" w:hAnsi="楷体" w:hint="eastAsia"/>
          <w:b/>
          <w:color w:val="000000" w:themeColor="text1"/>
          <w:sz w:val="24"/>
          <w:szCs w:val="24"/>
        </w:rPr>
        <w:t>锌：</w:t>
      </w:r>
      <w:r w:rsidR="00550252" w:rsidRPr="00550252">
        <w:rPr>
          <w:rFonts w:ascii="楷体" w:eastAsia="楷体" w:hAnsi="楷体" w:hint="eastAsia"/>
          <w:b/>
          <w:color w:val="000000" w:themeColor="text1"/>
          <w:sz w:val="24"/>
          <w:szCs w:val="24"/>
        </w:rPr>
        <w:t>供强需弱格局延续，锌价仍有下行驱动</w:t>
      </w:r>
      <w:bookmarkEnd w:id="29"/>
    </w:p>
    <w:p w:rsidR="003F56A5" w:rsidRDefault="00550252" w:rsidP="000B0648">
      <w:pPr>
        <w:ind w:leftChars="300" w:left="630"/>
        <w:rPr>
          <w:rFonts w:ascii="楷体" w:eastAsia="楷体" w:hAnsi="楷体"/>
          <w:color w:val="000000" w:themeColor="text1"/>
          <w:sz w:val="24"/>
          <w:szCs w:val="24"/>
        </w:rPr>
      </w:pPr>
      <w:r w:rsidRPr="00550252">
        <w:rPr>
          <w:rFonts w:ascii="楷体" w:eastAsia="楷体" w:hAnsi="楷体" w:hint="eastAsia"/>
          <w:color w:val="000000" w:themeColor="text1"/>
          <w:sz w:val="24"/>
          <w:szCs w:val="24"/>
        </w:rPr>
        <w:t>端午假期LME锌价下行，欧元区综合PMI数据低于前值，联储加息预期升温，国内市场持续交易政策利多预期，宏观情绪多变风险仍存。瑞典矿业公司Boliden表示将暂停欧洲最大的爱尔兰锌矿Tara的生产，前期锌价走跌使得矿山及冶炼厂利润快速挤出，利润承压使得海外高成本矿山减产，国内冶炼厂检修比例上升，海内外锌产供应增量预期弱化，国内精炼锌产量环比走弱但仍在季度相对高位。下游需求在消费淡季，显性库存偏低，社会库存持续去库，2023年1-5月我国累计出口镀锌板(带)约451万吨，同比增长23.83%，海外消费表现仍有韧性，国内镀锌板卷周度开工率维持高位，氧化锌、锌合金月度开工率环比下行，国内地产投资、销售、新开工同比或仍为负增长，后续国内利好政策刺激或带动地产、基建锌市消费走增，基础消费尤在但超预期表现难以期待。整体来看，锌市供强需弱，价格下行驱动偏强，库存低位去库支撑价格，18500附近为下方支撑</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38755668"/>
      <w:r>
        <w:rPr>
          <w:rFonts w:ascii="楷体" w:eastAsia="楷体" w:hAnsi="楷体" w:hint="eastAsia"/>
          <w:b/>
          <w:color w:val="000000" w:themeColor="text1"/>
          <w:sz w:val="24"/>
          <w:szCs w:val="24"/>
        </w:rPr>
        <w:t>镍：</w:t>
      </w:r>
      <w:r w:rsidR="00550252" w:rsidRPr="00550252">
        <w:rPr>
          <w:rFonts w:ascii="楷体" w:eastAsia="楷体" w:hAnsi="楷体" w:hint="eastAsia"/>
          <w:b/>
          <w:color w:val="000000" w:themeColor="text1"/>
          <w:sz w:val="24"/>
          <w:szCs w:val="24"/>
        </w:rPr>
        <w:t>镍价仍将承压运行，短线空单继续持有</w:t>
      </w:r>
      <w:bookmarkEnd w:id="30"/>
    </w:p>
    <w:p w:rsidR="003F56A5" w:rsidRDefault="00550252">
      <w:pPr>
        <w:ind w:leftChars="300" w:left="630"/>
        <w:rPr>
          <w:rFonts w:ascii="楷体" w:eastAsia="楷体" w:hAnsi="楷体"/>
          <w:color w:val="000000" w:themeColor="text1"/>
          <w:sz w:val="24"/>
          <w:szCs w:val="24"/>
        </w:rPr>
      </w:pPr>
      <w:r w:rsidRPr="00550252">
        <w:rPr>
          <w:rFonts w:ascii="楷体" w:eastAsia="楷体" w:hAnsi="楷体" w:hint="eastAsia"/>
          <w:color w:val="000000" w:themeColor="text1"/>
          <w:sz w:val="24"/>
          <w:szCs w:val="24"/>
        </w:rPr>
        <w:t>端午假期LME镍价呈震荡下跌走势。鲍威尔强调，在未来几个月内可能会再次提高利率，且美联储内部绝大多数成员都认为利率仍有上调空间，美元指数止跌反弹对整体有色形成压制。基本面，在6月20日至21日LME镍库存合计突增2346吨至39156吨，低库存支撑较弱，且供应端仍呈宽松预期，预计后期镍价仍将承压运行，短线空单继续持有</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1" w:name="_Toc138755669"/>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550252" w:rsidRPr="00550252">
        <w:rPr>
          <w:rFonts w:ascii="楷体" w:eastAsia="楷体" w:hAnsi="楷体" w:hint="eastAsia"/>
          <w:b/>
          <w:color w:val="000000" w:themeColor="text1"/>
          <w:sz w:val="24"/>
          <w:szCs w:val="24"/>
        </w:rPr>
        <w:t>铝价短期仍有下行压力，建议逢高布空</w:t>
      </w:r>
      <w:bookmarkEnd w:id="31"/>
    </w:p>
    <w:p w:rsidR="008B13D2" w:rsidRPr="008B13D2" w:rsidRDefault="00550252" w:rsidP="008B13D2">
      <w:pPr>
        <w:ind w:leftChars="300" w:left="630"/>
        <w:rPr>
          <w:rFonts w:ascii="楷体" w:eastAsia="楷体" w:hAnsi="楷体"/>
          <w:color w:val="000000" w:themeColor="text1"/>
          <w:sz w:val="24"/>
          <w:szCs w:val="24"/>
        </w:rPr>
      </w:pPr>
      <w:r w:rsidRPr="00550252">
        <w:rPr>
          <w:rFonts w:ascii="楷体" w:eastAsia="楷体" w:hAnsi="楷体" w:hint="eastAsia"/>
          <w:color w:val="000000" w:themeColor="text1"/>
          <w:sz w:val="24"/>
          <w:szCs w:val="24"/>
        </w:rPr>
        <w:t>端午假期LME铝价走跌，联储官员加息态度偏鹰，FOMC对23年政策利率仍有上调预期，美元指数走势上行，欧洲公布PMI数据不及预期。国内市场仍在交易后续的利好政策预期，市场信心提振，超预期政策可期待性不强，待政策落地后效果证伪。国内电解铝5月产量季度偏高位，电解铝生产成本塌陷，冶炼利润修复刺激企业生产，铝水比例下降，部分厂家铝水长单违约，铝棒加工亏损，铝棒库存拐入累库，铝棒产能后续可能缩减或</w:t>
      </w:r>
      <w:r w:rsidRPr="00550252">
        <w:rPr>
          <w:rFonts w:ascii="楷体" w:eastAsia="楷体" w:hAnsi="楷体" w:hint="eastAsia"/>
          <w:color w:val="000000" w:themeColor="text1"/>
          <w:sz w:val="24"/>
          <w:szCs w:val="24"/>
        </w:rPr>
        <w:lastRenderedPageBreak/>
        <w:t>调整为铸锭产能，云南地区大幅降水补充水电，当地部分产能进入复产，后续铝锭供应预期走增。6月后进入消费淡季，需求驱动较弱，交易所库存累库，社库库存去库增速放缓。整体来看，宏观情绪仍有压力，基本面供增需减，短期来看铝价上方空间有限或再度向下探底，下方17500附近为下方支撑位</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2" w:name="_Toc138755670"/>
      <w:r>
        <w:rPr>
          <w:rFonts w:ascii="楷体" w:eastAsia="楷体" w:hAnsi="楷体" w:hint="eastAsia"/>
          <w:b/>
          <w:color w:val="000000" w:themeColor="text1"/>
          <w:sz w:val="24"/>
          <w:szCs w:val="24"/>
        </w:rPr>
        <w:t>不锈钢：</w:t>
      </w:r>
      <w:r w:rsidR="00320AB1" w:rsidRPr="00320AB1">
        <w:rPr>
          <w:rFonts w:ascii="楷体" w:eastAsia="楷体" w:hAnsi="楷体" w:hint="eastAsia"/>
          <w:b/>
          <w:color w:val="000000" w:themeColor="text1"/>
          <w:sz w:val="24"/>
          <w:szCs w:val="24"/>
        </w:rPr>
        <w:t>需求淡季下社库转增，SS承压运行</w:t>
      </w:r>
      <w:bookmarkEnd w:id="32"/>
    </w:p>
    <w:p w:rsidR="003F56A5" w:rsidRDefault="00320AB1">
      <w:pPr>
        <w:ind w:leftChars="300" w:left="630"/>
        <w:rPr>
          <w:rFonts w:ascii="楷体" w:eastAsia="楷体" w:hAnsi="楷体"/>
          <w:color w:val="000000" w:themeColor="text1"/>
          <w:sz w:val="24"/>
          <w:szCs w:val="24"/>
        </w:rPr>
      </w:pPr>
      <w:r w:rsidRPr="00320AB1">
        <w:rPr>
          <w:rFonts w:ascii="楷体" w:eastAsia="楷体" w:hAnsi="楷体" w:hint="eastAsia"/>
          <w:color w:val="000000" w:themeColor="text1"/>
          <w:sz w:val="24"/>
          <w:szCs w:val="24"/>
        </w:rPr>
        <w:t>需求淡季下不锈钢社会库存结束下滑态势，转为小幅增长，对价格支撑边际转弱，当前不锈钢厂利润在盈亏平衡附近，价格继续向下的空间取决于钢厂是否减产，镍铁价格保持弱稳运行，短期成本端对价格影响中性。预计不锈钢价格维持区间震荡运行，SS2308参考14200-15200。操作上，暂时观望</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3" w:name="_Toc138755671"/>
      <w:r>
        <w:rPr>
          <w:rFonts w:ascii="楷体" w:eastAsia="楷体" w:hAnsi="楷体" w:hint="eastAsia"/>
          <w:b/>
          <w:color w:val="000000" w:themeColor="text1"/>
          <w:sz w:val="24"/>
          <w:szCs w:val="24"/>
        </w:rPr>
        <w:t>工业硅：</w:t>
      </w:r>
      <w:r w:rsidR="00320AB1" w:rsidRPr="00320AB1">
        <w:rPr>
          <w:rFonts w:ascii="楷体" w:eastAsia="楷体" w:hAnsi="楷体" w:hint="eastAsia"/>
          <w:b/>
          <w:sz w:val="24"/>
          <w:szCs w:val="24"/>
        </w:rPr>
        <w:t>需求延续偏弱，市场承压下行</w:t>
      </w:r>
      <w:bookmarkEnd w:id="33"/>
    </w:p>
    <w:p w:rsidR="003F56A5" w:rsidRDefault="00093E40" w:rsidP="007103A5">
      <w:pPr>
        <w:ind w:leftChars="300" w:left="630"/>
        <w:rPr>
          <w:rFonts w:ascii="楷体" w:eastAsia="楷体" w:hAnsi="楷体"/>
          <w:sz w:val="24"/>
          <w:szCs w:val="24"/>
        </w:rPr>
      </w:pPr>
      <w:r w:rsidRPr="00093E40">
        <w:rPr>
          <w:rFonts w:ascii="楷体" w:eastAsia="楷体" w:hAnsi="楷体" w:hint="eastAsia"/>
          <w:sz w:val="24"/>
          <w:szCs w:val="24"/>
        </w:rPr>
        <w:t>6月26日，Si2308主力合约呈下行走势，收盘价13065元/吨，较上一收盘价涨跌幅-2.35%。当前下游需求整体延续偏弱，具体而言:（1）有机硅开工维持低位，其终端需求疲软，对金属硅采购较为谨慎；（2）多晶硅市场价格持续下跌，生产利润不断压缩，整体开工有所下滑，以及规划项目延期投产，导致对工业硅需求不及预期;（3）铝合金进入消费淡季，铝棒企业开工率已有所下降，对工业硅需求减少。综合而言，当前需求无改善，市场或仍将承压运行，但新疆大厂正逐步减产预期下，预计持续下跌空间相对有限</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4" w:name="化工"/>
      <w:r>
        <w:rPr>
          <w:rFonts w:ascii="Times New Roman" w:eastAsia="楷体" w:hAnsi="Times New Roman" w:hint="eastAsia"/>
          <w:b/>
          <w:color w:val="823C0B"/>
          <w:sz w:val="30"/>
          <w:szCs w:val="30"/>
        </w:rPr>
        <w:t xml:space="preserve"> </w:t>
      </w:r>
      <w:bookmarkStart w:id="35" w:name="_Toc13875567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4"/>
      <w:bookmarkEnd w:id="35"/>
    </w:p>
    <w:p w:rsidR="003F56A5" w:rsidRPr="005B790A" w:rsidRDefault="00CC3FFA" w:rsidP="005B790A">
      <w:pPr>
        <w:ind w:firstLineChars="200" w:firstLine="482"/>
        <w:outlineLvl w:val="1"/>
        <w:rPr>
          <w:rFonts w:ascii="楷体" w:eastAsia="楷体" w:hAnsi="楷体"/>
          <w:b/>
          <w:sz w:val="24"/>
          <w:szCs w:val="24"/>
        </w:rPr>
      </w:pPr>
      <w:bookmarkStart w:id="36" w:name="_Toc138755673"/>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093E40" w:rsidRPr="00093E40">
        <w:rPr>
          <w:rFonts w:ascii="楷体" w:eastAsia="楷体" w:hAnsi="楷体" w:hint="eastAsia"/>
          <w:b/>
          <w:sz w:val="24"/>
          <w:szCs w:val="24"/>
        </w:rPr>
        <w:t>天胶市场无明显利好，RU维持震荡走势为主</w:t>
      </w:r>
      <w:bookmarkEnd w:id="36"/>
    </w:p>
    <w:p w:rsidR="003F56A5" w:rsidRDefault="00093E40">
      <w:pPr>
        <w:ind w:leftChars="300" w:left="630"/>
        <w:rPr>
          <w:rFonts w:ascii="楷体" w:eastAsia="楷体" w:hAnsi="楷体"/>
          <w:sz w:val="24"/>
          <w:szCs w:val="24"/>
        </w:rPr>
      </w:pPr>
      <w:r w:rsidRPr="00093E40">
        <w:rPr>
          <w:rFonts w:ascii="楷体" w:eastAsia="楷体" w:hAnsi="楷体" w:hint="eastAsia"/>
          <w:sz w:val="24"/>
          <w:szCs w:val="24"/>
        </w:rPr>
        <w:t>点评：橡胶昨日弱势下跌。外围宏观因素影响下，商品市场情绪走弱，市场普跌为主，橡胶打破前期震荡格局破位下行。当前制约RU价格上行的主要矛盾还是偏高的港口库存。高库存对行情形成较大压制。橡胶基本面来看，供应端，随着产区物候条件恢复正常，供给端上量将逐步回归正常。橡胶下游轮胎方面，端午节前后消费需求有限，市场逐步进入库存消化期，企业出货压力将逐步加大，目前半钢胎在外贸订单支撑下开工率尚可，而全钢胎受国内经济恢复缓慢和放假影响开工大幅下滑。终端汽车方面，5月份乘用车终端销量在175万辆左右，环比继续小幅上升。从分项指数来看，汽车市场需求、平均日销量、经营状况指数环比上升，车市整体温和回暖；重卡方面，5月我国重卡市场大约7.74万辆左右，环比下滑16%，全行业仅仅处于弱复苏阶段，还未完全进入恢复期间。综合来看，近期收储、刺激房地产等题材轮番上演，但都缺乏实质行动。国家“降息”举措利多近期胶市，但还需关注消费端能否显著转好。对于热度最高的轮储传闻，目前市场暂无定论，而从盘面1-9价差缩窄来看，市场相关预期或已弱化。目前期现价差仍处于历史同期较高位置，同时随着09合约交割期的临近，对多头的压力会逐步增大。综合来看，短期橡胶大概率继续维持偏弱表现。操作上，建议多NR空RU，期现套利降低仓位持有正套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8755674"/>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320AB1" w:rsidRPr="00320AB1">
        <w:rPr>
          <w:rFonts w:ascii="楷体" w:eastAsia="楷体" w:hAnsi="楷体" w:hint="eastAsia"/>
          <w:b/>
          <w:color w:val="000000" w:themeColor="text1"/>
          <w:sz w:val="24"/>
          <w:szCs w:val="24"/>
        </w:rPr>
        <w:t xml:space="preserve">供需矛盾不明显 </w:t>
      </w:r>
      <w:r w:rsidR="00320AB1" w:rsidRPr="00320AB1">
        <w:rPr>
          <w:rFonts w:ascii="Calibri" w:eastAsia="楷体" w:hAnsi="Calibri" w:cs="Calibri"/>
          <w:b/>
          <w:color w:val="000000" w:themeColor="text1"/>
          <w:sz w:val="24"/>
          <w:szCs w:val="24"/>
        </w:rPr>
        <w:t> </w:t>
      </w:r>
      <w:r w:rsidR="00320AB1" w:rsidRPr="00320AB1">
        <w:rPr>
          <w:rFonts w:ascii="楷体" w:eastAsia="楷体" w:hAnsi="楷体" w:hint="eastAsia"/>
          <w:b/>
          <w:color w:val="000000" w:themeColor="text1"/>
          <w:sz w:val="24"/>
          <w:szCs w:val="24"/>
        </w:rPr>
        <w:t>走势由成本端主导</w:t>
      </w:r>
      <w:bookmarkEnd w:id="37"/>
      <w:r>
        <w:rPr>
          <w:rFonts w:ascii="楷体" w:eastAsia="楷体" w:hAnsi="楷体" w:hint="eastAsia"/>
          <w:b/>
          <w:color w:val="000000" w:themeColor="text1"/>
          <w:sz w:val="24"/>
          <w:szCs w:val="24"/>
        </w:rPr>
        <w:t xml:space="preserve"> </w:t>
      </w:r>
    </w:p>
    <w:p w:rsidR="003F56A5" w:rsidRDefault="00320AB1" w:rsidP="002C73FE">
      <w:pPr>
        <w:ind w:leftChars="300" w:left="630"/>
        <w:rPr>
          <w:rFonts w:ascii="楷体" w:eastAsia="楷体" w:hAnsi="楷体"/>
          <w:color w:val="000000" w:themeColor="text1"/>
          <w:sz w:val="24"/>
          <w:szCs w:val="24"/>
        </w:rPr>
      </w:pPr>
      <w:r w:rsidRPr="00320AB1">
        <w:rPr>
          <w:rFonts w:ascii="楷体" w:eastAsia="楷体" w:hAnsi="楷体" w:hint="eastAsia"/>
          <w:color w:val="000000" w:themeColor="text1"/>
          <w:sz w:val="24"/>
          <w:szCs w:val="24"/>
        </w:rPr>
        <w:t>PTA供给方面，威联化学负荷提升至7~8成，至上周日PTA负荷上涨至81.4%。前期检修装置重启，近期TA开工回到8成以上，后期检修减少及新产能投产，供应偏宽松预期。PX方面增加宁波大榭160万吨装置，前期装置检修带动的供给端扰动减弱，但石脑油难有起色的背景下，短期看PXN还将偏强，PTA成本端支撑依然较强。需求方面，近期聚酯开工维持在93%附近，节后江浙终端开工率有所恢复，预计月内聚酯负荷将持续维持高位运行。展望后市，短期PTA产业链整体矛盾尚未凸显，刚需韧性良好，走势更多跟随成本波动，关注后续低加工费下计划外的减产情况。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8755675"/>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8"/>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39" w:name="_Toc138755676"/>
      <w:r>
        <w:rPr>
          <w:rFonts w:ascii="楷体" w:eastAsia="楷体" w:hAnsi="楷体" w:hint="eastAsia"/>
          <w:b/>
          <w:color w:val="000000" w:themeColor="text1"/>
          <w:sz w:val="24"/>
          <w:szCs w:val="24"/>
        </w:rPr>
        <w:t>聚烯烃：</w:t>
      </w:r>
      <w:r w:rsidR="00093E40" w:rsidRPr="00093E40">
        <w:rPr>
          <w:rFonts w:ascii="楷体" w:eastAsia="楷体" w:hAnsi="楷体" w:hint="eastAsia"/>
          <w:b/>
          <w:color w:val="000000" w:themeColor="text1"/>
          <w:sz w:val="24"/>
          <w:szCs w:val="24"/>
        </w:rPr>
        <w:t>基本面无明显提振，聚烯烃或震荡整理</w:t>
      </w:r>
      <w:bookmarkEnd w:id="39"/>
    </w:p>
    <w:p w:rsidR="003F56A5" w:rsidRDefault="00093E40">
      <w:pPr>
        <w:ind w:leftChars="300" w:left="630"/>
        <w:rPr>
          <w:rFonts w:ascii="楷体" w:eastAsia="楷体" w:hAnsi="楷体"/>
          <w:bCs/>
          <w:sz w:val="24"/>
          <w:szCs w:val="24"/>
        </w:rPr>
      </w:pPr>
      <w:r w:rsidRPr="00093E40">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俄罗斯局势短暂不稳定引发了市场人士对俄罗斯这个全球主要产油国之一的生产前景质疑，欧美原油期货盘中波动后小幅收涨；需求方面，PE下游方面，农膜整体需求平平，工厂生产清淡。棚膜工厂多停机检修；PP下游方面，BOPP市场成交刚需有量，整体量较上一交易日增加，BOPP企业未交付订单多数在一周以内，个别可至七月初。综合来看，PE方面，成本端国际原油价格上涨，聚乙烯成本面得到支撑，供应端近期国内计划检修装置变化不大。而终端处于需求淡季，多持观望心态，按订单刚需补库，预计今日PE价格维持震荡走势。PP方面， 原油价格上涨，成本端支撑暂稳，贸易商积极出货为主，但传统需求淡季影响下，终端采购偏刚需，短期来看PP价格震荡整理为主</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40" w:name="_Toc138755677"/>
      <w:r>
        <w:rPr>
          <w:rFonts w:ascii="楷体" w:eastAsia="楷体" w:hAnsi="楷体" w:hint="eastAsia"/>
          <w:b/>
          <w:color w:val="000000" w:themeColor="text1"/>
          <w:sz w:val="24"/>
          <w:szCs w:val="24"/>
        </w:rPr>
        <w:t>MEG：</w:t>
      </w:r>
      <w:r w:rsidR="00320AB1" w:rsidRPr="00320AB1">
        <w:rPr>
          <w:rFonts w:ascii="楷体" w:eastAsia="楷体" w:hAnsi="楷体" w:hint="eastAsia"/>
          <w:b/>
          <w:color w:val="000000" w:themeColor="text1"/>
          <w:sz w:val="24"/>
          <w:szCs w:val="24"/>
        </w:rPr>
        <w:t>供应端压力增量明显 乙二醇上行驱动不足</w:t>
      </w:r>
      <w:bookmarkEnd w:id="40"/>
    </w:p>
    <w:p w:rsidR="003F56A5" w:rsidRDefault="00320AB1" w:rsidP="00115EEA">
      <w:pPr>
        <w:ind w:leftChars="300" w:left="630"/>
        <w:rPr>
          <w:rFonts w:ascii="楷体" w:eastAsia="楷体" w:hAnsi="楷体"/>
          <w:color w:val="000000" w:themeColor="text1"/>
          <w:sz w:val="24"/>
          <w:szCs w:val="24"/>
        </w:rPr>
      </w:pPr>
      <w:r w:rsidRPr="00320AB1">
        <w:rPr>
          <w:rFonts w:ascii="楷体" w:eastAsia="楷体" w:hAnsi="楷体" w:hint="eastAsia"/>
          <w:color w:val="000000" w:themeColor="text1"/>
          <w:sz w:val="24"/>
          <w:szCs w:val="24"/>
        </w:rPr>
        <w:t>供需情况，6.19华东主港地区MEG港口库存约97.2万吨附近，环比上期减少1.4万吨。截至6月25日，中国大陆地区乙二醇整体开工负荷在57.87%</w:t>
      </w:r>
      <w:r w:rsidRPr="00320AB1">
        <w:rPr>
          <w:rFonts w:ascii="楷体" w:eastAsia="楷体" w:hAnsi="楷体" w:hint="eastAsia"/>
          <w:color w:val="000000" w:themeColor="text1"/>
          <w:sz w:val="24"/>
          <w:szCs w:val="24"/>
        </w:rPr>
        <w:lastRenderedPageBreak/>
        <w:t>（+0.84%），其中煤制乙二醇开工负荷在65.72%（+4.93%）。   近期乙二醇开工率回升至57%偏上，后续仍有浙江石化（75+80)、海南炼化7月提前回归，煤化工新疆天业、广西华谊等装置计划重启，新装置三江石化新装置投产较为顺利。聚酯需求端来看，截至上周日，初步核算国内大陆地区聚酯负荷在92.6%附近。节后江浙终端开工率有所恢复，江浙加弹综合开工率82%，江浙织机综合开工率69%，江浙印染综合开工率77%。展望后市，但供应环节增量较为明显，7月国产供应压力较大。且乙二醇海外供应逐步增量中，预计6-7月乙二醇进口增量8-10万吨左右。市场普遍关注的转产EO的问题，后续实际转产落地较为困难。近期受聚酯高开工带动下，乙二醇仍能驱动小幅去库。但乙二醇后续供应端增量较为明显，终端新订单偏弱及常规货库存高企，09合约上行驱动不足，择机高位布空为主，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8755678"/>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093E40" w:rsidRPr="00093E40">
        <w:rPr>
          <w:rFonts w:ascii="楷体" w:eastAsia="楷体" w:hAnsi="楷体" w:hint="eastAsia"/>
          <w:b/>
          <w:color w:val="000000" w:themeColor="text1"/>
          <w:sz w:val="24"/>
          <w:szCs w:val="24"/>
        </w:rPr>
        <w:t>淡季情绪弱势，市场震荡走弱</w:t>
      </w:r>
      <w:bookmarkEnd w:id="41"/>
    </w:p>
    <w:p w:rsidR="00A71A7E" w:rsidRDefault="00093E40" w:rsidP="0079299D">
      <w:pPr>
        <w:ind w:leftChars="300" w:left="630"/>
        <w:rPr>
          <w:rFonts w:ascii="楷体" w:eastAsia="楷体" w:hAnsi="楷体"/>
          <w:color w:val="000000" w:themeColor="text1"/>
          <w:sz w:val="24"/>
          <w:szCs w:val="24"/>
        </w:rPr>
      </w:pPr>
      <w:r w:rsidRPr="00093E40">
        <w:rPr>
          <w:rFonts w:ascii="楷体" w:eastAsia="楷体" w:hAnsi="楷体" w:hint="eastAsia"/>
          <w:color w:val="000000" w:themeColor="text1"/>
          <w:sz w:val="24"/>
          <w:szCs w:val="24"/>
        </w:rPr>
        <w:t>隆众资讯6月26日报道：今日浮法玻璃现货价格1921，较上一交易日-8。端午期间，玻璃现货再度走跌。沙河市场多家企业价格下调，华南，西南普遍下调40-160元吨，华东小幅下调20-30元不等，华中市场暂稳。假期美联储再次鹰派发言打击市场信心，工业品整体下跌，且玻璃处在淡季，高温雨季下游需求放缓，短期市场情绪偏空</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38755679"/>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093E40" w:rsidRPr="00093E40">
        <w:rPr>
          <w:rFonts w:ascii="楷体" w:eastAsia="楷体" w:hAnsi="楷体" w:hint="eastAsia"/>
          <w:b/>
          <w:color w:val="000000" w:themeColor="text1"/>
          <w:sz w:val="24"/>
          <w:szCs w:val="24"/>
        </w:rPr>
        <w:t>低库存现货价格坚挺，市场静待天然碱投产</w:t>
      </w:r>
      <w:bookmarkEnd w:id="42"/>
    </w:p>
    <w:p w:rsidR="00A71A7E" w:rsidRDefault="00093E40" w:rsidP="00A71A7E">
      <w:pPr>
        <w:ind w:leftChars="300" w:left="630"/>
        <w:rPr>
          <w:rFonts w:ascii="楷体" w:eastAsia="楷体" w:hAnsi="楷体"/>
          <w:bCs/>
          <w:sz w:val="24"/>
          <w:szCs w:val="24"/>
        </w:rPr>
      </w:pPr>
      <w:r w:rsidRPr="00093E40">
        <w:rPr>
          <w:rFonts w:ascii="楷体" w:eastAsia="楷体" w:hAnsi="楷体" w:hint="eastAsia"/>
          <w:color w:val="000000" w:themeColor="text1"/>
          <w:sz w:val="24"/>
          <w:szCs w:val="24"/>
        </w:rPr>
        <w:t>据隆众消息报道：今日国内纯碱市场价格无变化。供给端，徐州丰成检修，预计一个月时间，山东海化计划月底检修。下游需求波动不大，静待远兴出产品后市场反应。预计短期纯碱市场稳中震荡。近月07，08合约由于夏检和低库存原因，价格较为坚挺，可逢低做多。09合约等待天然碱投产后现货市场反应，短期涨跌有限，无强驱动。中长线仍建议逢高沽空</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3875568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38755681"/>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093E40" w:rsidRPr="00093E40">
        <w:rPr>
          <w:rFonts w:ascii="楷体" w:eastAsia="楷体" w:hAnsi="楷体" w:hint="eastAsia"/>
          <w:b/>
          <w:sz w:val="24"/>
          <w:szCs w:val="24"/>
        </w:rPr>
        <w:t>短期偏强震荡</w:t>
      </w:r>
      <w:bookmarkEnd w:id="44"/>
    </w:p>
    <w:p w:rsidR="003F56A5" w:rsidRDefault="00093E40">
      <w:pPr>
        <w:ind w:leftChars="300" w:left="630"/>
        <w:rPr>
          <w:rFonts w:ascii="楷体" w:eastAsia="楷体" w:hAnsi="楷体"/>
          <w:sz w:val="24"/>
          <w:szCs w:val="24"/>
        </w:rPr>
      </w:pPr>
      <w:r w:rsidRPr="00093E40">
        <w:rPr>
          <w:rFonts w:ascii="楷体" w:eastAsia="楷体" w:hAnsi="楷体" w:hint="eastAsia"/>
          <w:sz w:val="24"/>
          <w:szCs w:val="24"/>
        </w:rPr>
        <w:t>国际方面，产区干旱担忧仍存，支撑隔夜CBOT大豆收涨。虽美国中西部和平原的部分地区将迎来充沛的降雨，在部分产区干旱仍在持续，降雨的持续性以及能否有效缓解干旱仍待继续关注。当前美豆优良率持续走低，截至6月25日当周，美国大豆优良率为51%，符合市场预期前一周为54%，去年同期为65%，创下1988年以来同期最低。巴西当前基本完成收割，大豆销售量达到预期产量的60%以上，6月出口预计达1430万吨。国内市场，随着当前大豆到港量增加，油厂已基本恢复开机压榨，但压榨节奏表现有差异，华南地区部分停机检修油厂将在端午后恢复，当前主流油厂豆粕现货报价3930-4000元/吨，后续仍有回落压力。大豆4-6月到港量较大，5月进口到港1202万吨，环比增66%，到港仍较充裕。下游养殖利润表现仍不佳，且在杂粕替代下饲企和养殖企业等对豆粕饲用需求增量有限，在后续供应宽松下，现货基差仍面临着下行压力。菜粕当前供给相对偏紧，虽油厂开机及压榨维持较高水平，但菜籽二季度后到港预计减少。而需求方</w:t>
      </w:r>
      <w:r w:rsidRPr="00093E40">
        <w:rPr>
          <w:rFonts w:ascii="楷体" w:eastAsia="楷体" w:hAnsi="楷体" w:hint="eastAsia"/>
          <w:sz w:val="24"/>
          <w:szCs w:val="24"/>
        </w:rPr>
        <w:lastRenderedPageBreak/>
        <w:t>面在近期天气逐步回暖后，为华南水产需求旺季，替代需求方面，豆粕价格上涨，菜粕性价比仍存，整体供需表现紧张。策略方面，短期预计维持高位，建议顺势操作，回调持有多单</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38755682"/>
      <w:r>
        <w:rPr>
          <w:rFonts w:ascii="楷体" w:eastAsia="楷体" w:hAnsi="楷体" w:hint="eastAsia"/>
          <w:b/>
          <w:color w:val="000000" w:themeColor="text1"/>
          <w:sz w:val="24"/>
          <w:szCs w:val="24"/>
        </w:rPr>
        <w:t>油脂：</w:t>
      </w:r>
      <w:r w:rsidR="00093E40" w:rsidRPr="00093E40">
        <w:rPr>
          <w:rFonts w:ascii="楷体" w:eastAsia="楷体" w:hAnsi="楷体" w:hint="eastAsia"/>
          <w:b/>
          <w:sz w:val="24"/>
          <w:szCs w:val="24"/>
        </w:rPr>
        <w:t>预计延续偏强震荡</w:t>
      </w:r>
      <w:bookmarkEnd w:id="45"/>
    </w:p>
    <w:p w:rsidR="003F56A5" w:rsidRDefault="00093E40" w:rsidP="00792D31">
      <w:pPr>
        <w:ind w:leftChars="300" w:left="630"/>
        <w:rPr>
          <w:rFonts w:ascii="楷体" w:eastAsia="楷体" w:hAnsi="楷体"/>
          <w:sz w:val="24"/>
          <w:szCs w:val="24"/>
        </w:rPr>
      </w:pPr>
      <w:r w:rsidRPr="00093E40">
        <w:rPr>
          <w:rFonts w:ascii="楷体" w:eastAsia="楷体" w:hAnsi="楷体" w:hint="eastAsia"/>
          <w:sz w:val="24"/>
          <w:szCs w:val="24"/>
        </w:rPr>
        <w:t>国际市场，美国豆油生柴掺混不及此前预期，但在厄尔尼诺带来的干旱天气影响及人民币持续贬值下，油脂仍有支撑。棕榈油，马来产区在近期干旱天气影响下，MPOA数据显示马来西亚6月1-20日棕榈油产量预估减少3.64%；但在出口环比下滑，需求疲软下，仍限制涨幅。虽市场开始炒作厄尔尼诺现象，但中期无法改变产地棕榈油累库的趋势。国内棕榈油在需求增加及进口下滑下，库存稳步去化。但在近期产地报价下滑，国内进口利润有所修复，6-7月船期买船增加，去库速度逐步放缓或会停止。需求端，随着气温回升虽利好棕榈油消费，且近期豆棕价差走阔替代需求或重回棕榈。豆油在供应修复预期下，压力仍存。虽5月初在大豆入关问题下，油厂开机不及预期，豆油供给修复缓慢。但随着5月下旬进口大豆到港增加，豆油供应存边际修复预期。需求，近一周豆棕价差走阔，或不利于豆油替代需求，在后续供应增加下，价格上方仍存压。菜油处于供强需弱格局，但后续供应压力边际减轻。随着进口加籽到港量维持高位，菜籽供应较稳定，5月菜籽进口68.6万吨，菜油进口17万吨，均较同期增加，且近期菜油进口利润打开，有新增买船，菜油供应较宽松。需求方面，在国产菜籽上市后，浓香菜油偏好增加，进口菜油去库仍需通过对竞争油脂替代来消耗。短期油脂或延续偏强震荡，做多菜豆价差继续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38755683"/>
      <w:r>
        <w:rPr>
          <w:rFonts w:ascii="楷体" w:eastAsia="楷体" w:hAnsi="楷体" w:hint="eastAsia"/>
          <w:b/>
          <w:bCs/>
          <w:color w:val="000000" w:themeColor="text1"/>
        </w:rPr>
        <w:t>玉米与淀粉：</w:t>
      </w:r>
      <w:r w:rsidR="00093E40" w:rsidRPr="00093E40">
        <w:rPr>
          <w:rFonts w:ascii="楷体" w:eastAsia="楷体" w:hAnsi="楷体" w:hint="eastAsia"/>
          <w:b/>
        </w:rPr>
        <w:t>期价近强远弱</w:t>
      </w:r>
      <w:bookmarkEnd w:id="46"/>
    </w:p>
    <w:p w:rsidR="00093E40" w:rsidRPr="00093E40" w:rsidRDefault="00093E40" w:rsidP="00093E40">
      <w:pPr>
        <w:pStyle w:val="paragraph"/>
        <w:spacing w:before="60" w:after="60"/>
        <w:ind w:leftChars="300" w:left="630"/>
        <w:rPr>
          <w:rFonts w:ascii="楷体" w:eastAsia="楷体" w:hAnsi="楷体" w:hint="eastAsia"/>
        </w:rPr>
      </w:pPr>
      <w:r w:rsidRPr="00093E40">
        <w:rPr>
          <w:rFonts w:ascii="楷体" w:eastAsia="楷体" w:hAnsi="楷体" w:hint="eastAsia"/>
        </w:rPr>
        <w:t>对于玉米而言，在前期报告中，我们建议关注两个方面的上涨驱动，在新作产区天气方面，端午节期间受美国中西部地区降雨预报带动，外盘大幅下跌，接下来需要继续跟踪。后期或需要转向旧作被动补库存方面，因市场传言称临储陈化水稻抛储底价上调影响其饲用替代性价比，而当前下游需求企业如饲料养殖企业与华北深加工企业原料库存偏低，而渠道库存已经历去化，这有望带动通过现货推高期价特别是近月合约期价。在这种情况下，我们维持谨慎看多，建议投资者持有前期多单。</w:t>
      </w:r>
    </w:p>
    <w:p w:rsidR="003F56A5" w:rsidRDefault="00093E40" w:rsidP="00093E40">
      <w:pPr>
        <w:pStyle w:val="paragraph"/>
        <w:spacing w:before="60" w:beforeAutospacing="0" w:after="60" w:afterAutospacing="0"/>
        <w:ind w:leftChars="300" w:left="630"/>
        <w:rPr>
          <w:rFonts w:ascii="楷体" w:eastAsia="楷体" w:hAnsi="楷体"/>
        </w:rPr>
      </w:pPr>
      <w:r w:rsidRPr="00093E40">
        <w:rPr>
          <w:rFonts w:ascii="楷体" w:eastAsia="楷体" w:hAnsi="楷体" w:hint="eastAsia"/>
        </w:rPr>
        <w:t>对于淀粉而言，近期淀粉-玉米价差近弱远强表现分化，这主要源于近月仓单压力。考虑到外盘天气炒作通过蛋白粕对淀粉副产品的影响，结合淀粉基差和原料成本（华北-东北玉米价差）来看，淀粉-玉米价差有望继续走扩，短期或需要等待行业供需端的改善即行业库存的持续去化。在这种情况下，我们建议持有前期价差走扩套利，激进投资者可以考虑持有单边多单</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38755684"/>
      <w:r>
        <w:rPr>
          <w:rFonts w:ascii="楷体" w:eastAsia="楷体" w:hAnsi="楷体" w:hint="eastAsia"/>
          <w:b/>
          <w:bCs/>
          <w:color w:val="000000" w:themeColor="text1"/>
        </w:rPr>
        <w:t>畜禽养殖：</w:t>
      </w:r>
      <w:r w:rsidR="00093E40" w:rsidRPr="00093E40">
        <w:rPr>
          <w:rFonts w:ascii="楷体" w:eastAsia="楷体" w:hAnsi="楷体" w:hint="eastAsia"/>
          <w:b/>
          <w:bCs/>
          <w:color w:val="000000" w:themeColor="text1"/>
        </w:rPr>
        <w:t>现货带动生猪期价特别是近月再创新低</w:t>
      </w:r>
      <w:bookmarkEnd w:id="47"/>
    </w:p>
    <w:p w:rsidR="00093E40" w:rsidRPr="00093E40" w:rsidRDefault="00093E40" w:rsidP="00093E40">
      <w:pPr>
        <w:pStyle w:val="paragraph"/>
        <w:spacing w:before="60" w:after="60"/>
        <w:ind w:leftChars="300" w:left="630"/>
        <w:rPr>
          <w:rFonts w:ascii="楷体" w:eastAsia="楷体" w:hAnsi="楷体" w:hint="eastAsia"/>
        </w:rPr>
      </w:pPr>
      <w:r w:rsidRPr="00093E40">
        <w:rPr>
          <w:rFonts w:ascii="楷体" w:eastAsia="楷体" w:hAnsi="楷体" w:hint="eastAsia"/>
        </w:rPr>
        <w:t>对于生猪而言，3月以来现货低迷使得生猪养殖行业持续处于亏损状态，一方面导致市场消化前期供应，这体现在生猪出栏体重和宰后均重的持</w:t>
      </w:r>
      <w:r w:rsidRPr="00093E40">
        <w:rPr>
          <w:rFonts w:ascii="楷体" w:eastAsia="楷体" w:hAnsi="楷体" w:hint="eastAsia"/>
        </w:rPr>
        <w:lastRenderedPageBreak/>
        <w:t>续下滑上；另一方面导致行业产能逐步去化，自6月以来仔猪价格持续大幅下跌，或表明产能去化有望加速。在这种情况下，生猪市场等待两个方面的交易机会，就短期而言，更多关注阶段性反弹机会，这主要源于去年四季度以来生猪价格下跌和春季前后非瘟疫情导致的仔猪供应下滑，对应后期生猪供应有望阶段性下滑；就中期而言，更多等待周期见底，这需要留意产能去化进度。纵观年后以来，期价持续表现为近弱远强分化运行，可以理解为，现货持续低迷市场下，各个合约逐步挤出期价升水的过程，但考虑到成本和收储等因素，各合约下方空间亦存在一定支撑。在这种情况下，观点转为中性，建议投资者观望为宜。</w:t>
      </w:r>
    </w:p>
    <w:p w:rsidR="003F56A5" w:rsidRDefault="00093E40" w:rsidP="00093E40">
      <w:pPr>
        <w:pStyle w:val="paragraph"/>
        <w:spacing w:before="60" w:beforeAutospacing="0" w:after="60" w:afterAutospacing="0"/>
        <w:ind w:leftChars="300" w:left="630"/>
        <w:rPr>
          <w:rFonts w:ascii="楷体" w:eastAsia="楷体" w:hAnsi="楷体"/>
        </w:rPr>
      </w:pPr>
      <w:r w:rsidRPr="00093E40">
        <w:rPr>
          <w:rFonts w:ascii="楷体" w:eastAsia="楷体" w:hAnsi="楷体" w:hint="eastAsia"/>
        </w:rPr>
        <w:t>对于鸡蛋而言，当前市场的主要矛盾体现在高基差上，之前市场的预期存在合理性，因节后以来鸡蛋价格和蛋鸡养殖利润处于同期高位水平，带动养殖户补栏积极性上涨，市场据此预计远期供需有望趋于改善，使得远月期价持续下跌。但5月以来，随着鸡蛋现货价格的下跌，蛋鸡养殖利润亦有显著下滑，带动养殖户补栏积极性下滑，与此同时，养殖户淘汰积极性上升，这会导致市场之前的供需改善预期存在较大变数。此外，9月合约一度跌至博亚和讯测算的鸡蛋养殖成本线，考虑到9月处于季节性旺季，供需之外还有季节性规律。我们倾向于鸡蛋期价下方空间或有限，维持谨慎看多观点，建议谨慎投资者观望，激进投资者可以考虑轻仓做多，以去年8月低点作为止损</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38755685"/>
      <w:r>
        <w:rPr>
          <w:rFonts w:ascii="楷体" w:eastAsia="楷体" w:hAnsi="楷体" w:hint="eastAsia"/>
          <w:b/>
          <w:sz w:val="24"/>
          <w:szCs w:val="24"/>
        </w:rPr>
        <w:t>郑棉：</w:t>
      </w:r>
      <w:r w:rsidR="00093E40" w:rsidRPr="00093E40">
        <w:rPr>
          <w:rFonts w:ascii="楷体" w:eastAsia="楷体" w:hAnsi="楷体" w:hint="eastAsia"/>
          <w:b/>
          <w:sz w:val="24"/>
          <w:szCs w:val="24"/>
        </w:rPr>
        <w:t>预计09合约震荡偏弱，等待卖出看跌期权机会</w:t>
      </w:r>
      <w:bookmarkEnd w:id="48"/>
    </w:p>
    <w:p w:rsidR="003F56A5" w:rsidRDefault="00093E40" w:rsidP="007B3290">
      <w:pPr>
        <w:ind w:leftChars="300" w:left="630"/>
        <w:rPr>
          <w:rFonts w:ascii="楷体" w:eastAsia="楷体" w:hAnsi="楷体"/>
          <w:sz w:val="24"/>
          <w:szCs w:val="24"/>
        </w:rPr>
      </w:pPr>
      <w:r w:rsidRPr="00093E40">
        <w:rPr>
          <w:rFonts w:ascii="楷体" w:eastAsia="楷体" w:hAnsi="楷体" w:hint="eastAsia"/>
          <w:sz w:val="24"/>
          <w:szCs w:val="24"/>
        </w:rPr>
        <w:t>国际加息国内降息，商品内强外弱，但进出口利润变化部分被汇率的变动抵消。供应方面，5月新出的商业库存确实有较大降幅，但叠加工业库存，整体数量并未像此前市场传闻般非常紧张。新疆种植天气尚可，据市场调研表示，当前苗情不错，单产有望和前几年持平。供应端的故事有暂告一段的迹象。从中下游产业的角度来看，纺织企业开机率仍维持在相对较高水平。但根据数据显示，大部分纺织企业当前的即期利润处于亏损状态，部分企业的开机率已较前期明显降低，后续也有降开机的预期。预计郑棉09合约震荡偏弱，或回踩试探1.6万关口支撑</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9" w:name="_Toc71212556"/>
      <w:bookmarkStart w:id="50" w:name="_Toc19667"/>
      <w:bookmarkStart w:id="51" w:name="_Toc98426751"/>
      <w:bookmarkStart w:id="52" w:name="_Toc12779"/>
      <w:bookmarkStart w:id="53" w:name="_Toc72481108"/>
      <w:r>
        <w:rPr>
          <w:rFonts w:ascii="Times New Roman" w:eastAsia="楷体" w:hAnsi="Times New Roman"/>
          <w:b/>
          <w:color w:val="411D05"/>
          <w:sz w:val="30"/>
          <w:szCs w:val="30"/>
        </w:rPr>
        <w:lastRenderedPageBreak/>
        <w:t>免责声明</w:t>
      </w:r>
      <w:bookmarkEnd w:id="49"/>
      <w:bookmarkEnd w:id="50"/>
      <w:bookmarkEnd w:id="51"/>
      <w:bookmarkEnd w:id="52"/>
      <w:bookmarkEnd w:id="53"/>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733" w:rsidRDefault="00F91733">
      <w:r>
        <w:separator/>
      </w:r>
    </w:p>
  </w:endnote>
  <w:endnote w:type="continuationSeparator" w:id="0">
    <w:p w:rsidR="00F91733" w:rsidRDefault="00F9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416508AA" wp14:editId="5C0A26C4">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156FEB">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156FEB">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733" w:rsidRDefault="00F91733">
      <w:r>
        <w:separator/>
      </w:r>
    </w:p>
  </w:footnote>
  <w:footnote w:type="continuationSeparator" w:id="0">
    <w:p w:rsidR="00F91733" w:rsidRDefault="00F917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6A17C2AA" wp14:editId="2C93E92C">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0C7E1236" wp14:editId="5B8D4F66">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320AB1">
      <w:rPr>
        <w:rFonts w:ascii="Times New Roman" w:eastAsia="楷体" w:hAnsi="Times New Roman" w:hint="eastAsia"/>
        <w:b/>
        <w:bCs/>
        <w:noProof/>
        <w:color w:val="833C0B"/>
        <w:sz w:val="21"/>
      </w:rPr>
      <w:t>2023</w:t>
    </w:r>
    <w:r w:rsidR="00320AB1">
      <w:rPr>
        <w:rFonts w:ascii="Times New Roman" w:eastAsia="楷体" w:hAnsi="Times New Roman" w:hint="eastAsia"/>
        <w:b/>
        <w:bCs/>
        <w:noProof/>
        <w:color w:val="833C0B"/>
        <w:sz w:val="21"/>
      </w:rPr>
      <w:t>年</w:t>
    </w:r>
    <w:r w:rsidR="00320AB1">
      <w:rPr>
        <w:rFonts w:ascii="Times New Roman" w:eastAsia="楷体" w:hAnsi="Times New Roman" w:hint="eastAsia"/>
        <w:b/>
        <w:bCs/>
        <w:noProof/>
        <w:color w:val="833C0B"/>
        <w:sz w:val="21"/>
      </w:rPr>
      <w:t>6</w:t>
    </w:r>
    <w:r w:rsidR="00320AB1">
      <w:rPr>
        <w:rFonts w:ascii="Times New Roman" w:eastAsia="楷体" w:hAnsi="Times New Roman" w:hint="eastAsia"/>
        <w:b/>
        <w:bCs/>
        <w:noProof/>
        <w:color w:val="833C0B"/>
        <w:sz w:val="21"/>
      </w:rPr>
      <w:t>月</w:t>
    </w:r>
    <w:r w:rsidR="00320AB1">
      <w:rPr>
        <w:rFonts w:ascii="Times New Roman" w:eastAsia="楷体" w:hAnsi="Times New Roman" w:hint="eastAsia"/>
        <w:b/>
        <w:bCs/>
        <w:noProof/>
        <w:color w:val="833C0B"/>
        <w:sz w:val="21"/>
      </w:rPr>
      <w:t>27</w:t>
    </w:r>
    <w:r w:rsidR="00320AB1">
      <w:rPr>
        <w:rFonts w:ascii="Times New Roman" w:eastAsia="楷体" w:hAnsi="Times New Roman" w:hint="eastAsia"/>
        <w:b/>
        <w:bCs/>
        <w:noProof/>
        <w:color w:val="833C0B"/>
        <w:sz w:val="21"/>
      </w:rPr>
      <w:t>日星期二</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20E82"/>
    <w:rsid w:val="00035EB2"/>
    <w:rsid w:val="000417D7"/>
    <w:rsid w:val="00050B6C"/>
    <w:rsid w:val="0005286B"/>
    <w:rsid w:val="0005726F"/>
    <w:rsid w:val="00072EAA"/>
    <w:rsid w:val="00076420"/>
    <w:rsid w:val="000820C6"/>
    <w:rsid w:val="00093E40"/>
    <w:rsid w:val="00096258"/>
    <w:rsid w:val="000A413E"/>
    <w:rsid w:val="000B0648"/>
    <w:rsid w:val="000B4E70"/>
    <w:rsid w:val="000C102A"/>
    <w:rsid w:val="000D36DC"/>
    <w:rsid w:val="000D42E2"/>
    <w:rsid w:val="000D7CF0"/>
    <w:rsid w:val="000E03FC"/>
    <w:rsid w:val="000E0C15"/>
    <w:rsid w:val="000E4EEB"/>
    <w:rsid w:val="00115EEA"/>
    <w:rsid w:val="00117470"/>
    <w:rsid w:val="00120B1F"/>
    <w:rsid w:val="00127803"/>
    <w:rsid w:val="00127FF1"/>
    <w:rsid w:val="00147668"/>
    <w:rsid w:val="00147B03"/>
    <w:rsid w:val="0015047B"/>
    <w:rsid w:val="00156FEB"/>
    <w:rsid w:val="001801C4"/>
    <w:rsid w:val="001942CB"/>
    <w:rsid w:val="001945E9"/>
    <w:rsid w:val="001A3E49"/>
    <w:rsid w:val="001B179D"/>
    <w:rsid w:val="001B1904"/>
    <w:rsid w:val="001B25C9"/>
    <w:rsid w:val="001B2D4C"/>
    <w:rsid w:val="001B6043"/>
    <w:rsid w:val="001B6394"/>
    <w:rsid w:val="001C2E87"/>
    <w:rsid w:val="001C77D0"/>
    <w:rsid w:val="001D1F0A"/>
    <w:rsid w:val="001D40EA"/>
    <w:rsid w:val="001D4474"/>
    <w:rsid w:val="001F5438"/>
    <w:rsid w:val="002074A1"/>
    <w:rsid w:val="00216C1E"/>
    <w:rsid w:val="00226406"/>
    <w:rsid w:val="0023093E"/>
    <w:rsid w:val="00230DB7"/>
    <w:rsid w:val="00235529"/>
    <w:rsid w:val="00244CA3"/>
    <w:rsid w:val="0025590B"/>
    <w:rsid w:val="00267FFD"/>
    <w:rsid w:val="00282262"/>
    <w:rsid w:val="00285297"/>
    <w:rsid w:val="00291461"/>
    <w:rsid w:val="00292AE8"/>
    <w:rsid w:val="002951EB"/>
    <w:rsid w:val="00297A1B"/>
    <w:rsid w:val="002A0670"/>
    <w:rsid w:val="002A6C89"/>
    <w:rsid w:val="002B2257"/>
    <w:rsid w:val="002B32AE"/>
    <w:rsid w:val="002C73FE"/>
    <w:rsid w:val="002F075C"/>
    <w:rsid w:val="002F545E"/>
    <w:rsid w:val="002F6AD1"/>
    <w:rsid w:val="002F7810"/>
    <w:rsid w:val="0031065A"/>
    <w:rsid w:val="00320AB1"/>
    <w:rsid w:val="00321629"/>
    <w:rsid w:val="003230A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A5DDB"/>
    <w:rsid w:val="003C54F5"/>
    <w:rsid w:val="003C5F91"/>
    <w:rsid w:val="003D3A9E"/>
    <w:rsid w:val="003F2424"/>
    <w:rsid w:val="003F56A5"/>
    <w:rsid w:val="004201F5"/>
    <w:rsid w:val="004230AC"/>
    <w:rsid w:val="00426AB5"/>
    <w:rsid w:val="00433C64"/>
    <w:rsid w:val="00440FBE"/>
    <w:rsid w:val="004427D1"/>
    <w:rsid w:val="00452F14"/>
    <w:rsid w:val="004567BD"/>
    <w:rsid w:val="00461147"/>
    <w:rsid w:val="00484C53"/>
    <w:rsid w:val="00485A3F"/>
    <w:rsid w:val="00487F77"/>
    <w:rsid w:val="00491DD7"/>
    <w:rsid w:val="004977A9"/>
    <w:rsid w:val="004A382D"/>
    <w:rsid w:val="004A3F85"/>
    <w:rsid w:val="004A65B5"/>
    <w:rsid w:val="004B4D4D"/>
    <w:rsid w:val="004C11A7"/>
    <w:rsid w:val="004C5F3F"/>
    <w:rsid w:val="004D6F74"/>
    <w:rsid w:val="004E58A5"/>
    <w:rsid w:val="004E6093"/>
    <w:rsid w:val="005145ED"/>
    <w:rsid w:val="005245A4"/>
    <w:rsid w:val="00533D1C"/>
    <w:rsid w:val="00535DC9"/>
    <w:rsid w:val="00540298"/>
    <w:rsid w:val="00541F3F"/>
    <w:rsid w:val="00547DD7"/>
    <w:rsid w:val="00550252"/>
    <w:rsid w:val="00551A8D"/>
    <w:rsid w:val="005523A5"/>
    <w:rsid w:val="00553DEC"/>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606E2B"/>
    <w:rsid w:val="00610C41"/>
    <w:rsid w:val="00612D79"/>
    <w:rsid w:val="0061390B"/>
    <w:rsid w:val="00615F78"/>
    <w:rsid w:val="00637F19"/>
    <w:rsid w:val="00641752"/>
    <w:rsid w:val="00650F05"/>
    <w:rsid w:val="0065454E"/>
    <w:rsid w:val="00657B01"/>
    <w:rsid w:val="00661BB3"/>
    <w:rsid w:val="00666DE4"/>
    <w:rsid w:val="006911F3"/>
    <w:rsid w:val="006A135D"/>
    <w:rsid w:val="006A5214"/>
    <w:rsid w:val="006A7A79"/>
    <w:rsid w:val="006B4A5D"/>
    <w:rsid w:val="006D21ED"/>
    <w:rsid w:val="006F6553"/>
    <w:rsid w:val="00710028"/>
    <w:rsid w:val="007103A5"/>
    <w:rsid w:val="0072164F"/>
    <w:rsid w:val="007253E7"/>
    <w:rsid w:val="0072736C"/>
    <w:rsid w:val="007315D8"/>
    <w:rsid w:val="00743CFD"/>
    <w:rsid w:val="007664C1"/>
    <w:rsid w:val="00772382"/>
    <w:rsid w:val="00785519"/>
    <w:rsid w:val="007866A5"/>
    <w:rsid w:val="0079299D"/>
    <w:rsid w:val="00792D31"/>
    <w:rsid w:val="00794D36"/>
    <w:rsid w:val="007952E9"/>
    <w:rsid w:val="007A410D"/>
    <w:rsid w:val="007A66FE"/>
    <w:rsid w:val="007B3290"/>
    <w:rsid w:val="007B4FCE"/>
    <w:rsid w:val="007C2FD2"/>
    <w:rsid w:val="007D29EC"/>
    <w:rsid w:val="007D4BBD"/>
    <w:rsid w:val="007F09BE"/>
    <w:rsid w:val="007F1327"/>
    <w:rsid w:val="007F140C"/>
    <w:rsid w:val="007F186E"/>
    <w:rsid w:val="0080612D"/>
    <w:rsid w:val="00806354"/>
    <w:rsid w:val="0080692E"/>
    <w:rsid w:val="00806F4A"/>
    <w:rsid w:val="0080753A"/>
    <w:rsid w:val="00815011"/>
    <w:rsid w:val="00815817"/>
    <w:rsid w:val="00820D28"/>
    <w:rsid w:val="00822591"/>
    <w:rsid w:val="0083605E"/>
    <w:rsid w:val="00840F4E"/>
    <w:rsid w:val="00853880"/>
    <w:rsid w:val="00856132"/>
    <w:rsid w:val="008649BB"/>
    <w:rsid w:val="00867CA5"/>
    <w:rsid w:val="00873ECE"/>
    <w:rsid w:val="008740D4"/>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229B"/>
    <w:rsid w:val="008F2A6E"/>
    <w:rsid w:val="00906E0C"/>
    <w:rsid w:val="00907943"/>
    <w:rsid w:val="00916E97"/>
    <w:rsid w:val="00920372"/>
    <w:rsid w:val="009260D3"/>
    <w:rsid w:val="009316EC"/>
    <w:rsid w:val="009317CD"/>
    <w:rsid w:val="00934728"/>
    <w:rsid w:val="009644D9"/>
    <w:rsid w:val="0097131C"/>
    <w:rsid w:val="009870E4"/>
    <w:rsid w:val="009A12FA"/>
    <w:rsid w:val="009A564D"/>
    <w:rsid w:val="009B3801"/>
    <w:rsid w:val="009B534D"/>
    <w:rsid w:val="009B591A"/>
    <w:rsid w:val="009C3E56"/>
    <w:rsid w:val="009C483C"/>
    <w:rsid w:val="009D2477"/>
    <w:rsid w:val="009D4A74"/>
    <w:rsid w:val="009D5253"/>
    <w:rsid w:val="009D5D79"/>
    <w:rsid w:val="009D64FE"/>
    <w:rsid w:val="009E0994"/>
    <w:rsid w:val="009E4452"/>
    <w:rsid w:val="009E7578"/>
    <w:rsid w:val="009F5C7B"/>
    <w:rsid w:val="00A031CE"/>
    <w:rsid w:val="00A04421"/>
    <w:rsid w:val="00A11A0D"/>
    <w:rsid w:val="00A22080"/>
    <w:rsid w:val="00A223D3"/>
    <w:rsid w:val="00A42079"/>
    <w:rsid w:val="00A60F08"/>
    <w:rsid w:val="00A63022"/>
    <w:rsid w:val="00A71A7E"/>
    <w:rsid w:val="00A776D7"/>
    <w:rsid w:val="00A91E48"/>
    <w:rsid w:val="00A96E37"/>
    <w:rsid w:val="00A97444"/>
    <w:rsid w:val="00AA186F"/>
    <w:rsid w:val="00AA29E5"/>
    <w:rsid w:val="00AB0678"/>
    <w:rsid w:val="00AC00CF"/>
    <w:rsid w:val="00AC52CB"/>
    <w:rsid w:val="00AC7794"/>
    <w:rsid w:val="00AC7ECD"/>
    <w:rsid w:val="00AD009F"/>
    <w:rsid w:val="00AF56FD"/>
    <w:rsid w:val="00AF5EA0"/>
    <w:rsid w:val="00B066DA"/>
    <w:rsid w:val="00B072C0"/>
    <w:rsid w:val="00B10135"/>
    <w:rsid w:val="00B118A2"/>
    <w:rsid w:val="00B133D0"/>
    <w:rsid w:val="00B15418"/>
    <w:rsid w:val="00B17165"/>
    <w:rsid w:val="00B1737C"/>
    <w:rsid w:val="00B1758C"/>
    <w:rsid w:val="00B17639"/>
    <w:rsid w:val="00B443CE"/>
    <w:rsid w:val="00B4555A"/>
    <w:rsid w:val="00B53C56"/>
    <w:rsid w:val="00B60464"/>
    <w:rsid w:val="00B606EF"/>
    <w:rsid w:val="00B618F8"/>
    <w:rsid w:val="00B64133"/>
    <w:rsid w:val="00B72E2D"/>
    <w:rsid w:val="00B745CB"/>
    <w:rsid w:val="00B805BD"/>
    <w:rsid w:val="00B91D3D"/>
    <w:rsid w:val="00B94E7D"/>
    <w:rsid w:val="00B97F08"/>
    <w:rsid w:val="00BA4663"/>
    <w:rsid w:val="00BA696B"/>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43DDB"/>
    <w:rsid w:val="00C575E9"/>
    <w:rsid w:val="00C62202"/>
    <w:rsid w:val="00C6240E"/>
    <w:rsid w:val="00C66C6C"/>
    <w:rsid w:val="00C70FDD"/>
    <w:rsid w:val="00C82E4D"/>
    <w:rsid w:val="00C91234"/>
    <w:rsid w:val="00C93E36"/>
    <w:rsid w:val="00CA1C01"/>
    <w:rsid w:val="00CB0962"/>
    <w:rsid w:val="00CB1AC3"/>
    <w:rsid w:val="00CB1F18"/>
    <w:rsid w:val="00CB2FD2"/>
    <w:rsid w:val="00CB3015"/>
    <w:rsid w:val="00CC03C4"/>
    <w:rsid w:val="00CC3E40"/>
    <w:rsid w:val="00CC3FFA"/>
    <w:rsid w:val="00CC6C03"/>
    <w:rsid w:val="00CD5884"/>
    <w:rsid w:val="00CD5DE8"/>
    <w:rsid w:val="00CD70A0"/>
    <w:rsid w:val="00CE7903"/>
    <w:rsid w:val="00CF6C71"/>
    <w:rsid w:val="00CF7A9A"/>
    <w:rsid w:val="00D00D60"/>
    <w:rsid w:val="00D017E5"/>
    <w:rsid w:val="00D01A19"/>
    <w:rsid w:val="00D04FF1"/>
    <w:rsid w:val="00D1582A"/>
    <w:rsid w:val="00D17FB1"/>
    <w:rsid w:val="00D309C4"/>
    <w:rsid w:val="00D45E53"/>
    <w:rsid w:val="00D47039"/>
    <w:rsid w:val="00D55EAF"/>
    <w:rsid w:val="00D63655"/>
    <w:rsid w:val="00D75630"/>
    <w:rsid w:val="00D762B2"/>
    <w:rsid w:val="00D842AA"/>
    <w:rsid w:val="00D86D76"/>
    <w:rsid w:val="00D87130"/>
    <w:rsid w:val="00D93E0B"/>
    <w:rsid w:val="00DA7546"/>
    <w:rsid w:val="00DD334E"/>
    <w:rsid w:val="00DE02C4"/>
    <w:rsid w:val="00DF1796"/>
    <w:rsid w:val="00DF270D"/>
    <w:rsid w:val="00DF3B28"/>
    <w:rsid w:val="00DF56EC"/>
    <w:rsid w:val="00E020F2"/>
    <w:rsid w:val="00E12059"/>
    <w:rsid w:val="00E25D21"/>
    <w:rsid w:val="00E31716"/>
    <w:rsid w:val="00E32B95"/>
    <w:rsid w:val="00E34551"/>
    <w:rsid w:val="00E34EAB"/>
    <w:rsid w:val="00E373B2"/>
    <w:rsid w:val="00E40036"/>
    <w:rsid w:val="00E45000"/>
    <w:rsid w:val="00E451FD"/>
    <w:rsid w:val="00E4667F"/>
    <w:rsid w:val="00E556EC"/>
    <w:rsid w:val="00E55B22"/>
    <w:rsid w:val="00E60D44"/>
    <w:rsid w:val="00E64502"/>
    <w:rsid w:val="00E771D2"/>
    <w:rsid w:val="00E80EDB"/>
    <w:rsid w:val="00E84794"/>
    <w:rsid w:val="00E847DF"/>
    <w:rsid w:val="00E90013"/>
    <w:rsid w:val="00E928BB"/>
    <w:rsid w:val="00EA0CCD"/>
    <w:rsid w:val="00EA28CA"/>
    <w:rsid w:val="00EB4C04"/>
    <w:rsid w:val="00EB56F2"/>
    <w:rsid w:val="00EC2B12"/>
    <w:rsid w:val="00EC4D59"/>
    <w:rsid w:val="00ED06A6"/>
    <w:rsid w:val="00ED2A64"/>
    <w:rsid w:val="00ED451D"/>
    <w:rsid w:val="00ED7C55"/>
    <w:rsid w:val="00F07C02"/>
    <w:rsid w:val="00F157C6"/>
    <w:rsid w:val="00F234BF"/>
    <w:rsid w:val="00F268B3"/>
    <w:rsid w:val="00F31CCA"/>
    <w:rsid w:val="00F43E0E"/>
    <w:rsid w:val="00F473F0"/>
    <w:rsid w:val="00F622ED"/>
    <w:rsid w:val="00F65EEA"/>
    <w:rsid w:val="00F776D3"/>
    <w:rsid w:val="00F91733"/>
    <w:rsid w:val="00F95209"/>
    <w:rsid w:val="00FB3956"/>
    <w:rsid w:val="00FC0F8B"/>
    <w:rsid w:val="00FD6B0E"/>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BB9659-36FB-4935-9B73-D9B4A47B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2755</TotalTime>
  <Pages>9</Pages>
  <Words>1501</Words>
  <Characters>8557</Characters>
  <Application>Microsoft Office Word</Application>
  <DocSecurity>0</DocSecurity>
  <Lines>71</Lines>
  <Paragraphs>20</Paragraphs>
  <ScaleCrop>false</ScaleCrop>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17</cp:revision>
  <cp:lastPrinted>2023-06-08T02:23:00Z</cp:lastPrinted>
  <dcterms:created xsi:type="dcterms:W3CDTF">2022-11-15T10:06:00Z</dcterms:created>
  <dcterms:modified xsi:type="dcterms:W3CDTF">2023-06-27T02:53:00Z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