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D2A6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ED2A64" w:rsidRPr="00822E8E">
            <w:rPr>
              <w:rStyle w:val="a9"/>
              <w:noProof/>
            </w:rPr>
            <w:fldChar w:fldCharType="begin"/>
          </w:r>
          <w:r w:rsidR="00ED2A64" w:rsidRPr="00822E8E">
            <w:rPr>
              <w:rStyle w:val="a9"/>
              <w:noProof/>
            </w:rPr>
            <w:instrText xml:space="preserve"> </w:instrText>
          </w:r>
          <w:r w:rsidR="00ED2A64">
            <w:rPr>
              <w:noProof/>
            </w:rPr>
            <w:instrText>HYPERLINK \l "_Toc138152844"</w:instrText>
          </w:r>
          <w:r w:rsidR="00ED2A64" w:rsidRPr="00822E8E">
            <w:rPr>
              <w:rStyle w:val="a9"/>
              <w:noProof/>
            </w:rPr>
            <w:instrText xml:space="preserve"> </w:instrText>
          </w:r>
          <w:r w:rsidR="00ED2A64" w:rsidRPr="00822E8E">
            <w:rPr>
              <w:rStyle w:val="a9"/>
              <w:noProof/>
            </w:rPr>
          </w:r>
          <w:r w:rsidR="00ED2A64" w:rsidRPr="00822E8E">
            <w:rPr>
              <w:rStyle w:val="a9"/>
              <w:noProof/>
            </w:rPr>
            <w:fldChar w:fldCharType="separate"/>
          </w:r>
          <w:r w:rsidR="00ED2A64" w:rsidRPr="00822E8E">
            <w:rPr>
              <w:rStyle w:val="a9"/>
              <w:rFonts w:ascii="Times New Roman" w:eastAsia="楷体" w:hAnsi="Times New Roman"/>
              <w:b/>
              <w:noProof/>
            </w:rPr>
            <w:t>[</w:t>
          </w:r>
          <w:r w:rsidR="00ED2A64" w:rsidRPr="00822E8E">
            <w:rPr>
              <w:rStyle w:val="a9"/>
              <w:rFonts w:ascii="Times New Roman" w:eastAsia="楷体" w:hAnsi="Times New Roman"/>
              <w:b/>
              <w:noProof/>
            </w:rPr>
            <w:t>金融</w:t>
          </w:r>
          <w:r w:rsidR="00ED2A64" w:rsidRPr="00822E8E">
            <w:rPr>
              <w:rStyle w:val="a9"/>
              <w:rFonts w:ascii="Times New Roman" w:eastAsia="楷体" w:hAnsi="Times New Roman"/>
              <w:b/>
              <w:noProof/>
            </w:rPr>
            <w:t>]</w:t>
          </w:r>
          <w:r w:rsidR="00ED2A64" w:rsidRPr="00822E8E">
            <w:rPr>
              <w:rStyle w:val="a9"/>
              <w:noProof/>
            </w:rPr>
            <w:fldChar w:fldCharType="end"/>
          </w:r>
        </w:p>
        <w:p w:rsidR="00ED2A64" w:rsidRDefault="00ED2A64">
          <w:pPr>
            <w:pStyle w:val="23"/>
            <w:tabs>
              <w:tab w:val="right" w:leader="dot" w:pos="8296"/>
            </w:tabs>
            <w:rPr>
              <w:rFonts w:eastAsiaTheme="minorEastAsia"/>
              <w:noProof/>
              <w:szCs w:val="22"/>
            </w:rPr>
          </w:pPr>
          <w:hyperlink w:anchor="_Toc138152845" w:history="1">
            <w:r w:rsidRPr="00822E8E">
              <w:rPr>
                <w:rStyle w:val="a9"/>
                <w:rFonts w:ascii="Times New Roman" w:eastAsia="楷体" w:hAnsi="Times New Roman"/>
                <w:b/>
                <w:noProof/>
              </w:rPr>
              <w:t>股指：</w:t>
            </w:r>
            <w:r w:rsidRPr="00822E8E">
              <w:rPr>
                <w:rStyle w:val="a9"/>
                <w:rFonts w:ascii="Times New Roman" w:eastAsia="楷体" w:hAnsi="Times New Roman"/>
                <w:b/>
                <w:noProof/>
              </w:rPr>
              <w:t>IM</w:t>
            </w:r>
            <w:r w:rsidRPr="00822E8E">
              <w:rPr>
                <w:rStyle w:val="a9"/>
                <w:rFonts w:ascii="Times New Roman" w:eastAsia="楷体" w:hAnsi="Times New Roman"/>
                <w:b/>
                <w:noProof/>
              </w:rPr>
              <w:t>多单持有，同时关注</w:t>
            </w:r>
            <w:r w:rsidRPr="00822E8E">
              <w:rPr>
                <w:rStyle w:val="a9"/>
                <w:rFonts w:ascii="Times New Roman" w:eastAsia="楷体" w:hAnsi="Times New Roman"/>
                <w:b/>
                <w:noProof/>
              </w:rPr>
              <w:t>IM</w:t>
            </w:r>
            <w:r w:rsidRPr="00822E8E">
              <w:rPr>
                <w:rStyle w:val="a9"/>
                <w:rFonts w:ascii="Times New Roman" w:eastAsia="楷体" w:hAnsi="Times New Roman"/>
                <w:b/>
                <w:noProof/>
              </w:rPr>
              <w:t>、</w:t>
            </w:r>
            <w:r w:rsidRPr="00822E8E">
              <w:rPr>
                <w:rStyle w:val="a9"/>
                <w:rFonts w:ascii="Times New Roman" w:eastAsia="楷体" w:hAnsi="Times New Roman"/>
                <w:b/>
                <w:noProof/>
              </w:rPr>
              <w:t>IF</w:t>
            </w:r>
            <w:r w:rsidRPr="00822E8E">
              <w:rPr>
                <w:rStyle w:val="a9"/>
                <w:rFonts w:ascii="Times New Roman" w:eastAsia="楷体" w:hAnsi="Times New Roman"/>
                <w:b/>
                <w:noProof/>
              </w:rPr>
              <w:t>低多机会</w:t>
            </w:r>
          </w:hyperlink>
        </w:p>
        <w:p w:rsidR="00ED2A64" w:rsidRDefault="00ED2A64">
          <w:pPr>
            <w:pStyle w:val="11"/>
            <w:tabs>
              <w:tab w:val="right" w:leader="dot" w:pos="8296"/>
            </w:tabs>
            <w:rPr>
              <w:rFonts w:eastAsiaTheme="minorEastAsia"/>
              <w:noProof/>
              <w:szCs w:val="22"/>
            </w:rPr>
          </w:pPr>
          <w:hyperlink w:anchor="_Toc138152846" w:history="1">
            <w:r w:rsidRPr="00822E8E">
              <w:rPr>
                <w:rStyle w:val="a9"/>
                <w:rFonts w:ascii="Times New Roman" w:eastAsia="楷体" w:hAnsi="Times New Roman"/>
                <w:b/>
                <w:noProof/>
              </w:rPr>
              <w:t>[</w:t>
            </w:r>
            <w:r w:rsidRPr="00822E8E">
              <w:rPr>
                <w:rStyle w:val="a9"/>
                <w:rFonts w:ascii="Times New Roman" w:eastAsia="楷体" w:hAnsi="Times New Roman"/>
                <w:b/>
                <w:noProof/>
              </w:rPr>
              <w:t>贵金属</w:t>
            </w:r>
            <w:r w:rsidRPr="00822E8E">
              <w:rPr>
                <w:rStyle w:val="a9"/>
                <w:rFonts w:ascii="Times New Roman" w:eastAsia="楷体" w:hAnsi="Times New Roman"/>
                <w:b/>
                <w:noProof/>
              </w:rPr>
              <w:t>]</w:t>
            </w:r>
          </w:hyperlink>
        </w:p>
        <w:p w:rsidR="00ED2A64" w:rsidRDefault="00ED2A64">
          <w:pPr>
            <w:pStyle w:val="23"/>
            <w:tabs>
              <w:tab w:val="right" w:leader="dot" w:pos="8296"/>
            </w:tabs>
            <w:rPr>
              <w:rFonts w:eastAsiaTheme="minorEastAsia"/>
              <w:noProof/>
              <w:szCs w:val="22"/>
            </w:rPr>
          </w:pPr>
          <w:hyperlink w:anchor="_Toc138152847" w:history="1">
            <w:r w:rsidRPr="00822E8E">
              <w:rPr>
                <w:rStyle w:val="a9"/>
                <w:rFonts w:ascii="Times New Roman" w:eastAsia="楷体" w:hAnsi="Times New Roman"/>
                <w:b/>
                <w:noProof/>
              </w:rPr>
              <w:t>贵金属：美元指数反弹，贵金属价格窄幅震荡</w:t>
            </w:r>
          </w:hyperlink>
        </w:p>
        <w:p w:rsidR="00ED2A64" w:rsidRDefault="00ED2A64">
          <w:pPr>
            <w:pStyle w:val="11"/>
            <w:tabs>
              <w:tab w:val="right" w:leader="dot" w:pos="8296"/>
            </w:tabs>
            <w:rPr>
              <w:rFonts w:eastAsiaTheme="minorEastAsia"/>
              <w:noProof/>
              <w:szCs w:val="22"/>
            </w:rPr>
          </w:pPr>
          <w:hyperlink w:anchor="_Toc138152848" w:history="1">
            <w:r w:rsidRPr="00822E8E">
              <w:rPr>
                <w:rStyle w:val="a9"/>
                <w:rFonts w:ascii="Times New Roman" w:eastAsia="楷体" w:hAnsi="Times New Roman"/>
                <w:b/>
                <w:noProof/>
              </w:rPr>
              <w:t>[</w:t>
            </w:r>
            <w:r w:rsidRPr="00822E8E">
              <w:rPr>
                <w:rStyle w:val="a9"/>
                <w:rFonts w:ascii="Times New Roman" w:eastAsia="楷体" w:hAnsi="Times New Roman"/>
                <w:b/>
                <w:noProof/>
              </w:rPr>
              <w:t>金属</w:t>
            </w:r>
            <w:r w:rsidRPr="00822E8E">
              <w:rPr>
                <w:rStyle w:val="a9"/>
                <w:rFonts w:ascii="Times New Roman" w:eastAsia="楷体" w:hAnsi="Times New Roman"/>
                <w:b/>
                <w:noProof/>
              </w:rPr>
              <w:t>]</w:t>
            </w:r>
          </w:hyperlink>
        </w:p>
        <w:p w:rsidR="00ED2A64" w:rsidRDefault="00ED2A64">
          <w:pPr>
            <w:pStyle w:val="23"/>
            <w:tabs>
              <w:tab w:val="right" w:leader="dot" w:pos="8296"/>
            </w:tabs>
            <w:rPr>
              <w:rFonts w:eastAsiaTheme="minorEastAsia"/>
              <w:noProof/>
              <w:szCs w:val="22"/>
            </w:rPr>
          </w:pPr>
          <w:hyperlink w:anchor="_Toc138152849" w:history="1">
            <w:r w:rsidRPr="00822E8E">
              <w:rPr>
                <w:rStyle w:val="a9"/>
                <w:rFonts w:ascii="楷体" w:eastAsia="楷体" w:hAnsi="楷体"/>
                <w:b/>
                <w:noProof/>
              </w:rPr>
              <w:t>螺纹钢：情绪波动下，高位震荡运行</w:t>
            </w:r>
          </w:hyperlink>
        </w:p>
        <w:p w:rsidR="00ED2A64" w:rsidRDefault="00ED2A64">
          <w:pPr>
            <w:pStyle w:val="23"/>
            <w:tabs>
              <w:tab w:val="right" w:leader="dot" w:pos="8296"/>
            </w:tabs>
            <w:rPr>
              <w:rFonts w:eastAsiaTheme="minorEastAsia"/>
              <w:noProof/>
              <w:szCs w:val="22"/>
            </w:rPr>
          </w:pPr>
          <w:hyperlink w:anchor="_Toc138152850" w:history="1">
            <w:r w:rsidRPr="00822E8E">
              <w:rPr>
                <w:rStyle w:val="a9"/>
                <w:rFonts w:ascii="楷体" w:eastAsia="楷体" w:hAnsi="楷体"/>
                <w:b/>
                <w:noProof/>
              </w:rPr>
              <w:t>焦炭：升水较多下套保情绪浓重，回踩后仍有支撑</w:t>
            </w:r>
          </w:hyperlink>
        </w:p>
        <w:p w:rsidR="00ED2A64" w:rsidRDefault="00ED2A64">
          <w:pPr>
            <w:pStyle w:val="23"/>
            <w:tabs>
              <w:tab w:val="right" w:leader="dot" w:pos="8296"/>
            </w:tabs>
            <w:rPr>
              <w:rFonts w:eastAsiaTheme="minorEastAsia"/>
              <w:noProof/>
              <w:szCs w:val="22"/>
            </w:rPr>
          </w:pPr>
          <w:hyperlink w:anchor="_Toc138152851" w:history="1">
            <w:r w:rsidRPr="00822E8E">
              <w:rPr>
                <w:rStyle w:val="a9"/>
                <w:rFonts w:ascii="楷体" w:eastAsia="楷体" w:hAnsi="楷体"/>
                <w:b/>
                <w:noProof/>
              </w:rPr>
              <w:t>焦煤：现货偏强运行，盘面或继续偏强震荡</w:t>
            </w:r>
          </w:hyperlink>
        </w:p>
        <w:p w:rsidR="00ED2A64" w:rsidRDefault="00ED2A64">
          <w:pPr>
            <w:pStyle w:val="23"/>
            <w:tabs>
              <w:tab w:val="right" w:leader="dot" w:pos="8296"/>
            </w:tabs>
            <w:rPr>
              <w:rFonts w:eastAsiaTheme="minorEastAsia"/>
              <w:noProof/>
              <w:szCs w:val="22"/>
            </w:rPr>
          </w:pPr>
          <w:hyperlink w:anchor="_Toc138152852" w:history="1">
            <w:r w:rsidRPr="00822E8E">
              <w:rPr>
                <w:rStyle w:val="a9"/>
                <w:rFonts w:ascii="楷体" w:eastAsia="楷体" w:hAnsi="楷体"/>
                <w:b/>
                <w:noProof/>
              </w:rPr>
              <w:t>铜：维持高位震荡</w:t>
            </w:r>
          </w:hyperlink>
        </w:p>
        <w:p w:rsidR="00ED2A64" w:rsidRDefault="00ED2A64">
          <w:pPr>
            <w:pStyle w:val="23"/>
            <w:tabs>
              <w:tab w:val="right" w:leader="dot" w:pos="8296"/>
            </w:tabs>
            <w:rPr>
              <w:rFonts w:eastAsiaTheme="minorEastAsia"/>
              <w:noProof/>
              <w:szCs w:val="22"/>
            </w:rPr>
          </w:pPr>
          <w:hyperlink w:anchor="_Toc138152853" w:history="1">
            <w:r w:rsidRPr="00822E8E">
              <w:rPr>
                <w:rStyle w:val="a9"/>
                <w:rFonts w:ascii="楷体" w:eastAsia="楷体" w:hAnsi="楷体"/>
                <w:b/>
                <w:noProof/>
              </w:rPr>
              <w:t>铝：铝价上方压力仍存，可尝试短空</w:t>
            </w:r>
          </w:hyperlink>
        </w:p>
        <w:p w:rsidR="00ED2A64" w:rsidRDefault="00ED2A64">
          <w:pPr>
            <w:pStyle w:val="23"/>
            <w:tabs>
              <w:tab w:val="right" w:leader="dot" w:pos="8296"/>
            </w:tabs>
            <w:rPr>
              <w:rFonts w:eastAsiaTheme="minorEastAsia"/>
              <w:noProof/>
              <w:szCs w:val="22"/>
            </w:rPr>
          </w:pPr>
          <w:hyperlink w:anchor="_Toc138152854" w:history="1">
            <w:r w:rsidRPr="00822E8E">
              <w:rPr>
                <w:rStyle w:val="a9"/>
                <w:rFonts w:ascii="楷体" w:eastAsia="楷体" w:hAnsi="楷体"/>
                <w:b/>
                <w:noProof/>
              </w:rPr>
              <w:t>锌：减产+宏观推动锌价上升，实际价格上方空间有限</w:t>
            </w:r>
          </w:hyperlink>
        </w:p>
        <w:p w:rsidR="00ED2A64" w:rsidRDefault="00ED2A64">
          <w:pPr>
            <w:pStyle w:val="23"/>
            <w:tabs>
              <w:tab w:val="right" w:leader="dot" w:pos="8296"/>
            </w:tabs>
            <w:rPr>
              <w:rFonts w:eastAsiaTheme="minorEastAsia"/>
              <w:noProof/>
              <w:szCs w:val="22"/>
            </w:rPr>
          </w:pPr>
          <w:hyperlink w:anchor="_Toc138152855" w:history="1">
            <w:r w:rsidRPr="00822E8E">
              <w:rPr>
                <w:rStyle w:val="a9"/>
                <w:rFonts w:ascii="楷体" w:eastAsia="楷体" w:hAnsi="楷体"/>
                <w:b/>
                <w:noProof/>
              </w:rPr>
              <w:t>镍：下行趋势未变，维持反弹后逢高空思路</w:t>
            </w:r>
          </w:hyperlink>
        </w:p>
        <w:p w:rsidR="00ED2A64" w:rsidRDefault="00ED2A64">
          <w:pPr>
            <w:pStyle w:val="23"/>
            <w:tabs>
              <w:tab w:val="right" w:leader="dot" w:pos="8296"/>
            </w:tabs>
            <w:rPr>
              <w:rFonts w:eastAsiaTheme="minorEastAsia"/>
              <w:noProof/>
              <w:szCs w:val="22"/>
            </w:rPr>
          </w:pPr>
          <w:hyperlink w:anchor="_Toc138152856" w:history="1">
            <w:r w:rsidRPr="00822E8E">
              <w:rPr>
                <w:rStyle w:val="a9"/>
                <w:rFonts w:ascii="楷体" w:eastAsia="楷体" w:hAnsi="楷体"/>
                <w:b/>
                <w:noProof/>
              </w:rPr>
              <w:t>铅：宏观情绪利好叠加出口增量预期提振价格</w:t>
            </w:r>
          </w:hyperlink>
        </w:p>
        <w:p w:rsidR="00ED2A64" w:rsidRDefault="00ED2A64">
          <w:pPr>
            <w:pStyle w:val="23"/>
            <w:tabs>
              <w:tab w:val="right" w:leader="dot" w:pos="8296"/>
            </w:tabs>
            <w:rPr>
              <w:rFonts w:eastAsiaTheme="minorEastAsia"/>
              <w:noProof/>
              <w:szCs w:val="22"/>
            </w:rPr>
          </w:pPr>
          <w:hyperlink w:anchor="_Toc138152857" w:history="1">
            <w:r w:rsidRPr="00822E8E">
              <w:rPr>
                <w:rStyle w:val="a9"/>
                <w:rFonts w:ascii="楷体" w:eastAsia="楷体" w:hAnsi="楷体"/>
                <w:b/>
                <w:noProof/>
              </w:rPr>
              <w:t>不锈钢：社会库存转增，价格支撑边际转弱</w:t>
            </w:r>
          </w:hyperlink>
        </w:p>
        <w:p w:rsidR="00ED2A64" w:rsidRDefault="00ED2A64">
          <w:pPr>
            <w:pStyle w:val="23"/>
            <w:tabs>
              <w:tab w:val="right" w:leader="dot" w:pos="8296"/>
            </w:tabs>
            <w:rPr>
              <w:rFonts w:eastAsiaTheme="minorEastAsia"/>
              <w:noProof/>
              <w:szCs w:val="22"/>
            </w:rPr>
          </w:pPr>
          <w:hyperlink w:anchor="_Toc138152858" w:history="1">
            <w:r w:rsidRPr="00822E8E">
              <w:rPr>
                <w:rStyle w:val="a9"/>
                <w:rFonts w:ascii="楷体" w:eastAsia="楷体" w:hAnsi="楷体"/>
                <w:b/>
                <w:noProof/>
              </w:rPr>
              <w:t>工业硅：供应减产无实际落地，短期谨慎追高</w:t>
            </w:r>
          </w:hyperlink>
        </w:p>
        <w:p w:rsidR="00ED2A64" w:rsidRDefault="00ED2A64">
          <w:pPr>
            <w:pStyle w:val="11"/>
            <w:tabs>
              <w:tab w:val="right" w:leader="dot" w:pos="8296"/>
            </w:tabs>
            <w:rPr>
              <w:rFonts w:eastAsiaTheme="minorEastAsia"/>
              <w:noProof/>
              <w:szCs w:val="22"/>
            </w:rPr>
          </w:pPr>
          <w:hyperlink w:anchor="_Toc138152859" w:history="1">
            <w:r w:rsidRPr="00822E8E">
              <w:rPr>
                <w:rStyle w:val="a9"/>
                <w:rFonts w:ascii="Times New Roman" w:eastAsia="楷体" w:hAnsi="Times New Roman"/>
                <w:b/>
                <w:noProof/>
              </w:rPr>
              <w:t>[</w:t>
            </w:r>
            <w:r w:rsidRPr="00822E8E">
              <w:rPr>
                <w:rStyle w:val="a9"/>
                <w:rFonts w:ascii="Times New Roman" w:eastAsia="楷体" w:hAnsi="Times New Roman"/>
                <w:b/>
                <w:noProof/>
              </w:rPr>
              <w:t>化工</w:t>
            </w:r>
            <w:r w:rsidRPr="00822E8E">
              <w:rPr>
                <w:rStyle w:val="a9"/>
                <w:rFonts w:ascii="Times New Roman" w:eastAsia="楷体" w:hAnsi="Times New Roman"/>
                <w:b/>
                <w:noProof/>
              </w:rPr>
              <w:t>]</w:t>
            </w:r>
          </w:hyperlink>
        </w:p>
        <w:p w:rsidR="00ED2A64" w:rsidRDefault="00ED2A64">
          <w:pPr>
            <w:pStyle w:val="23"/>
            <w:tabs>
              <w:tab w:val="right" w:leader="dot" w:pos="8296"/>
            </w:tabs>
            <w:rPr>
              <w:rFonts w:eastAsiaTheme="minorEastAsia"/>
              <w:noProof/>
              <w:szCs w:val="22"/>
            </w:rPr>
          </w:pPr>
          <w:hyperlink w:anchor="_Toc138152860" w:history="1">
            <w:r w:rsidRPr="00822E8E">
              <w:rPr>
                <w:rStyle w:val="a9"/>
                <w:rFonts w:ascii="Times New Roman" w:eastAsia="楷体" w:hAnsi="Times New Roman"/>
                <w:b/>
                <w:noProof/>
              </w:rPr>
              <w:t>天然橡胶</w:t>
            </w:r>
            <w:r w:rsidRPr="00822E8E">
              <w:rPr>
                <w:rStyle w:val="a9"/>
                <w:rFonts w:ascii="Times New Roman" w:eastAsia="楷体" w:hAnsi="Times New Roman"/>
                <w:b/>
                <w:noProof/>
              </w:rPr>
              <w:t>:</w:t>
            </w:r>
            <w:r w:rsidRPr="00822E8E">
              <w:rPr>
                <w:rStyle w:val="a9"/>
                <w:rFonts w:ascii="楷体" w:eastAsia="楷体" w:hAnsi="楷体"/>
                <w:b/>
                <w:noProof/>
              </w:rPr>
              <w:t xml:space="preserve"> 端午节前轮胎消费有限，RU维持震荡走势为主</w:t>
            </w:r>
          </w:hyperlink>
        </w:p>
        <w:p w:rsidR="00ED2A64" w:rsidRDefault="00ED2A64">
          <w:pPr>
            <w:pStyle w:val="23"/>
            <w:tabs>
              <w:tab w:val="right" w:leader="dot" w:pos="8296"/>
            </w:tabs>
            <w:rPr>
              <w:rFonts w:eastAsiaTheme="minorEastAsia"/>
              <w:noProof/>
              <w:szCs w:val="22"/>
            </w:rPr>
          </w:pPr>
          <w:hyperlink w:anchor="_Toc138152861" w:history="1">
            <w:r w:rsidRPr="00822E8E">
              <w:rPr>
                <w:rStyle w:val="a9"/>
                <w:rFonts w:ascii="楷体" w:eastAsia="楷体" w:hAnsi="楷体"/>
                <w:b/>
                <w:noProof/>
              </w:rPr>
              <w:t>PTA：成本支撑及聚酯开工韧性尚可， 关注负反馈预期强化</w:t>
            </w:r>
          </w:hyperlink>
        </w:p>
        <w:p w:rsidR="00ED2A64" w:rsidRDefault="00ED2A64">
          <w:pPr>
            <w:pStyle w:val="23"/>
            <w:tabs>
              <w:tab w:val="right" w:leader="dot" w:pos="8296"/>
            </w:tabs>
            <w:rPr>
              <w:rFonts w:eastAsiaTheme="minorEastAsia"/>
              <w:noProof/>
              <w:szCs w:val="22"/>
            </w:rPr>
          </w:pPr>
          <w:hyperlink w:anchor="_Toc138152862" w:history="1">
            <w:r w:rsidRPr="00822E8E">
              <w:rPr>
                <w:rStyle w:val="a9"/>
                <w:rFonts w:ascii="楷体" w:eastAsia="楷体" w:hAnsi="楷体"/>
                <w:b/>
                <w:noProof/>
              </w:rPr>
              <w:t>PVC：高库存+弱复苏 驱动不足</w:t>
            </w:r>
          </w:hyperlink>
        </w:p>
        <w:p w:rsidR="00ED2A64" w:rsidRDefault="00ED2A64">
          <w:pPr>
            <w:pStyle w:val="23"/>
            <w:tabs>
              <w:tab w:val="right" w:leader="dot" w:pos="8296"/>
            </w:tabs>
            <w:rPr>
              <w:rFonts w:eastAsiaTheme="minorEastAsia"/>
              <w:noProof/>
              <w:szCs w:val="22"/>
            </w:rPr>
          </w:pPr>
          <w:hyperlink w:anchor="_Toc138152863" w:history="1">
            <w:r w:rsidRPr="00822E8E">
              <w:rPr>
                <w:rStyle w:val="a9"/>
                <w:rFonts w:ascii="楷体" w:eastAsia="楷体" w:hAnsi="楷体"/>
                <w:b/>
                <w:noProof/>
              </w:rPr>
              <w:t>聚烯烃：需求无明显提振，聚烯烃或窄幅整理</w:t>
            </w:r>
          </w:hyperlink>
        </w:p>
        <w:p w:rsidR="00ED2A64" w:rsidRDefault="00ED2A64">
          <w:pPr>
            <w:pStyle w:val="23"/>
            <w:tabs>
              <w:tab w:val="right" w:leader="dot" w:pos="8296"/>
            </w:tabs>
            <w:rPr>
              <w:rFonts w:eastAsiaTheme="minorEastAsia"/>
              <w:noProof/>
              <w:szCs w:val="22"/>
            </w:rPr>
          </w:pPr>
          <w:hyperlink w:anchor="_Toc138152864" w:history="1">
            <w:r w:rsidRPr="00822E8E">
              <w:rPr>
                <w:rStyle w:val="a9"/>
                <w:rFonts w:ascii="楷体" w:eastAsia="楷体" w:hAnsi="楷体"/>
                <w:b/>
                <w:noProof/>
              </w:rPr>
              <w:t>MEG：成本下行供应增加 09合约上行驱动不足</w:t>
            </w:r>
          </w:hyperlink>
        </w:p>
        <w:p w:rsidR="00ED2A64" w:rsidRDefault="00ED2A64">
          <w:pPr>
            <w:pStyle w:val="23"/>
            <w:tabs>
              <w:tab w:val="right" w:leader="dot" w:pos="8296"/>
            </w:tabs>
            <w:rPr>
              <w:rFonts w:eastAsiaTheme="minorEastAsia"/>
              <w:noProof/>
              <w:szCs w:val="22"/>
            </w:rPr>
          </w:pPr>
          <w:hyperlink w:anchor="_Toc138152865" w:history="1">
            <w:r w:rsidRPr="00822E8E">
              <w:rPr>
                <w:rStyle w:val="a9"/>
                <w:rFonts w:ascii="楷体" w:eastAsia="楷体" w:hAnsi="楷体"/>
                <w:b/>
                <w:noProof/>
              </w:rPr>
              <w:t>玻璃：产销快速回落，建议反弹做空</w:t>
            </w:r>
          </w:hyperlink>
        </w:p>
        <w:p w:rsidR="00ED2A64" w:rsidRDefault="00ED2A64">
          <w:pPr>
            <w:pStyle w:val="23"/>
            <w:tabs>
              <w:tab w:val="right" w:leader="dot" w:pos="8296"/>
            </w:tabs>
            <w:rPr>
              <w:rFonts w:eastAsiaTheme="minorEastAsia"/>
              <w:noProof/>
              <w:szCs w:val="22"/>
            </w:rPr>
          </w:pPr>
          <w:hyperlink w:anchor="_Toc138152866" w:history="1">
            <w:r w:rsidRPr="00822E8E">
              <w:rPr>
                <w:rStyle w:val="a9"/>
                <w:rFonts w:ascii="楷体" w:eastAsia="楷体" w:hAnsi="楷体"/>
                <w:b/>
                <w:noProof/>
              </w:rPr>
              <w:t>纯碱：不确定性较多，日内宽幅震荡</w:t>
            </w:r>
          </w:hyperlink>
        </w:p>
        <w:p w:rsidR="00ED2A64" w:rsidRDefault="00ED2A64">
          <w:pPr>
            <w:pStyle w:val="11"/>
            <w:tabs>
              <w:tab w:val="right" w:leader="dot" w:pos="8296"/>
            </w:tabs>
            <w:rPr>
              <w:rFonts w:eastAsiaTheme="minorEastAsia"/>
              <w:noProof/>
              <w:szCs w:val="22"/>
            </w:rPr>
          </w:pPr>
          <w:hyperlink w:anchor="_Toc138152867" w:history="1">
            <w:r w:rsidRPr="00822E8E">
              <w:rPr>
                <w:rStyle w:val="a9"/>
                <w:rFonts w:ascii="Times New Roman" w:eastAsia="楷体" w:hAnsi="Times New Roman"/>
                <w:b/>
                <w:noProof/>
              </w:rPr>
              <w:t>[</w:t>
            </w:r>
            <w:r w:rsidRPr="00822E8E">
              <w:rPr>
                <w:rStyle w:val="a9"/>
                <w:rFonts w:ascii="Times New Roman" w:eastAsia="楷体" w:hAnsi="Times New Roman"/>
                <w:b/>
                <w:noProof/>
              </w:rPr>
              <w:t>农产品</w:t>
            </w:r>
            <w:r w:rsidRPr="00822E8E">
              <w:rPr>
                <w:rStyle w:val="a9"/>
                <w:rFonts w:ascii="Times New Roman" w:eastAsia="楷体" w:hAnsi="Times New Roman"/>
                <w:b/>
                <w:noProof/>
              </w:rPr>
              <w:t>]</w:t>
            </w:r>
          </w:hyperlink>
        </w:p>
        <w:p w:rsidR="00ED2A64" w:rsidRDefault="00ED2A64">
          <w:pPr>
            <w:pStyle w:val="23"/>
            <w:tabs>
              <w:tab w:val="right" w:leader="dot" w:pos="8296"/>
            </w:tabs>
            <w:rPr>
              <w:rFonts w:eastAsiaTheme="minorEastAsia"/>
              <w:noProof/>
              <w:szCs w:val="22"/>
            </w:rPr>
          </w:pPr>
          <w:hyperlink w:anchor="_Toc138152868" w:history="1">
            <w:r w:rsidRPr="00822E8E">
              <w:rPr>
                <w:rStyle w:val="a9"/>
                <w:rFonts w:ascii="楷体" w:eastAsia="楷体" w:hAnsi="楷体"/>
                <w:b/>
                <w:noProof/>
              </w:rPr>
              <w:t>豆粕/菜粕：震荡偏强运行，建议观望</w:t>
            </w:r>
          </w:hyperlink>
        </w:p>
        <w:p w:rsidR="00ED2A64" w:rsidRDefault="00ED2A64">
          <w:pPr>
            <w:pStyle w:val="23"/>
            <w:tabs>
              <w:tab w:val="right" w:leader="dot" w:pos="8296"/>
            </w:tabs>
            <w:rPr>
              <w:rFonts w:eastAsiaTheme="minorEastAsia"/>
              <w:noProof/>
              <w:szCs w:val="22"/>
            </w:rPr>
          </w:pPr>
          <w:hyperlink w:anchor="_Toc138152869" w:history="1">
            <w:r w:rsidRPr="00822E8E">
              <w:rPr>
                <w:rStyle w:val="a9"/>
                <w:rFonts w:ascii="楷体" w:eastAsia="楷体" w:hAnsi="楷体"/>
                <w:b/>
                <w:noProof/>
              </w:rPr>
              <w:t>油脂：偏强震荡，短期建议观望</w:t>
            </w:r>
          </w:hyperlink>
        </w:p>
        <w:p w:rsidR="00ED2A64" w:rsidRDefault="00ED2A64">
          <w:pPr>
            <w:pStyle w:val="23"/>
            <w:tabs>
              <w:tab w:val="right" w:leader="dot" w:pos="8296"/>
            </w:tabs>
            <w:rPr>
              <w:rFonts w:eastAsiaTheme="minorEastAsia"/>
              <w:noProof/>
              <w:szCs w:val="22"/>
            </w:rPr>
          </w:pPr>
          <w:hyperlink w:anchor="_Toc138152870" w:history="1">
            <w:r w:rsidRPr="00822E8E">
              <w:rPr>
                <w:rStyle w:val="a9"/>
                <w:rFonts w:ascii="楷体" w:eastAsia="楷体" w:hAnsi="楷体"/>
                <w:b/>
                <w:bCs/>
                <w:noProof/>
              </w:rPr>
              <w:t>玉米与淀粉：</w:t>
            </w:r>
            <w:r w:rsidRPr="00822E8E">
              <w:rPr>
                <w:rStyle w:val="a9"/>
                <w:rFonts w:ascii="楷体" w:eastAsia="楷体" w:hAnsi="楷体"/>
                <w:b/>
                <w:noProof/>
              </w:rPr>
              <w:t>国内期价短期调整</w:t>
            </w:r>
          </w:hyperlink>
        </w:p>
        <w:p w:rsidR="00ED2A64" w:rsidRDefault="00ED2A64">
          <w:pPr>
            <w:pStyle w:val="23"/>
            <w:tabs>
              <w:tab w:val="right" w:leader="dot" w:pos="8296"/>
            </w:tabs>
            <w:rPr>
              <w:rFonts w:eastAsiaTheme="minorEastAsia"/>
              <w:noProof/>
              <w:szCs w:val="22"/>
            </w:rPr>
          </w:pPr>
          <w:hyperlink w:anchor="_Toc138152871" w:history="1">
            <w:r w:rsidRPr="00822E8E">
              <w:rPr>
                <w:rStyle w:val="a9"/>
                <w:rFonts w:ascii="楷体" w:eastAsia="楷体" w:hAnsi="楷体"/>
                <w:b/>
                <w:bCs/>
                <w:noProof/>
              </w:rPr>
              <w:t>畜禽养殖：鸡蛋期价继续反弹</w:t>
            </w:r>
          </w:hyperlink>
        </w:p>
        <w:p w:rsidR="00ED2A64" w:rsidRDefault="00ED2A64">
          <w:pPr>
            <w:pStyle w:val="23"/>
            <w:tabs>
              <w:tab w:val="right" w:leader="dot" w:pos="8296"/>
            </w:tabs>
            <w:rPr>
              <w:rFonts w:eastAsiaTheme="minorEastAsia"/>
              <w:noProof/>
              <w:szCs w:val="22"/>
            </w:rPr>
          </w:pPr>
          <w:hyperlink w:anchor="_Toc138152872" w:history="1">
            <w:r w:rsidRPr="00822E8E">
              <w:rPr>
                <w:rStyle w:val="a9"/>
                <w:rFonts w:ascii="楷体" w:eastAsia="楷体" w:hAnsi="楷体"/>
                <w:b/>
                <w:noProof/>
              </w:rPr>
              <w:t>郑棉：预计09合约围绕16500震荡，观望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815284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8152845"/>
      <w:bookmarkEnd w:id="4"/>
      <w:r>
        <w:rPr>
          <w:rFonts w:ascii="Times New Roman" w:eastAsia="楷体" w:hAnsi="Times New Roman" w:hint="eastAsia"/>
          <w:b/>
          <w:color w:val="000000" w:themeColor="text1"/>
          <w:sz w:val="24"/>
          <w:szCs w:val="24"/>
        </w:rPr>
        <w:t>股指：</w:t>
      </w:r>
      <w:bookmarkEnd w:id="6"/>
      <w:bookmarkEnd w:id="7"/>
      <w:r w:rsidR="00ED2A64" w:rsidRPr="00ED2A64">
        <w:rPr>
          <w:rFonts w:ascii="Times New Roman" w:eastAsia="楷体" w:hAnsi="Times New Roman" w:hint="eastAsia"/>
          <w:b/>
          <w:color w:val="000000" w:themeColor="text1"/>
          <w:sz w:val="24"/>
          <w:szCs w:val="24"/>
        </w:rPr>
        <w:t>IM</w:t>
      </w:r>
      <w:r w:rsidR="00ED2A64" w:rsidRPr="00ED2A64">
        <w:rPr>
          <w:rFonts w:ascii="Times New Roman" w:eastAsia="楷体" w:hAnsi="Times New Roman" w:hint="eastAsia"/>
          <w:b/>
          <w:color w:val="000000" w:themeColor="text1"/>
          <w:sz w:val="24"/>
          <w:szCs w:val="24"/>
        </w:rPr>
        <w:t>多单持有，同时关注</w:t>
      </w:r>
      <w:r w:rsidR="00ED2A64" w:rsidRPr="00ED2A64">
        <w:rPr>
          <w:rFonts w:ascii="Times New Roman" w:eastAsia="楷体" w:hAnsi="Times New Roman" w:hint="eastAsia"/>
          <w:b/>
          <w:color w:val="000000" w:themeColor="text1"/>
          <w:sz w:val="24"/>
          <w:szCs w:val="24"/>
        </w:rPr>
        <w:t>IM</w:t>
      </w:r>
      <w:r w:rsidR="00ED2A64" w:rsidRPr="00ED2A64">
        <w:rPr>
          <w:rFonts w:ascii="Times New Roman" w:eastAsia="楷体" w:hAnsi="Times New Roman" w:hint="eastAsia"/>
          <w:b/>
          <w:color w:val="000000" w:themeColor="text1"/>
          <w:sz w:val="24"/>
          <w:szCs w:val="24"/>
        </w:rPr>
        <w:t>、</w:t>
      </w:r>
      <w:r w:rsidR="00ED2A64" w:rsidRPr="00ED2A64">
        <w:rPr>
          <w:rFonts w:ascii="Times New Roman" w:eastAsia="楷体" w:hAnsi="Times New Roman" w:hint="eastAsia"/>
          <w:b/>
          <w:color w:val="000000" w:themeColor="text1"/>
          <w:sz w:val="24"/>
          <w:szCs w:val="24"/>
        </w:rPr>
        <w:t>IF</w:t>
      </w:r>
      <w:r w:rsidR="00ED2A64" w:rsidRPr="00ED2A64">
        <w:rPr>
          <w:rFonts w:ascii="Times New Roman" w:eastAsia="楷体" w:hAnsi="Times New Roman" w:hint="eastAsia"/>
          <w:b/>
          <w:color w:val="000000" w:themeColor="text1"/>
          <w:sz w:val="24"/>
          <w:szCs w:val="24"/>
        </w:rPr>
        <w:t>低多机会</w:t>
      </w:r>
      <w:bookmarkEnd w:id="8"/>
    </w:p>
    <w:p w:rsidR="003F56A5" w:rsidRDefault="00ED2A64">
      <w:pPr>
        <w:ind w:leftChars="300" w:left="630"/>
        <w:rPr>
          <w:rFonts w:ascii="Times New Roman" w:eastAsia="楷体" w:hAnsi="Times New Roman"/>
          <w:color w:val="000000" w:themeColor="text1"/>
          <w:sz w:val="24"/>
          <w:szCs w:val="24"/>
        </w:rPr>
      </w:pPr>
      <w:r w:rsidRPr="00ED2A64">
        <w:rPr>
          <w:rFonts w:ascii="Times New Roman" w:eastAsia="楷体" w:hAnsi="Times New Roman" w:hint="eastAsia"/>
          <w:color w:val="000000" w:themeColor="text1"/>
          <w:sz w:val="24"/>
          <w:szCs w:val="24"/>
        </w:rPr>
        <w:t>今日为央行</w:t>
      </w:r>
      <w:r w:rsidRPr="00ED2A64">
        <w:rPr>
          <w:rFonts w:ascii="Times New Roman" w:eastAsia="楷体" w:hAnsi="Times New Roman" w:hint="eastAsia"/>
          <w:color w:val="000000" w:themeColor="text1"/>
          <w:sz w:val="24"/>
          <w:szCs w:val="24"/>
        </w:rPr>
        <w:t>LPR</w:t>
      </w:r>
      <w:r w:rsidRPr="00ED2A64">
        <w:rPr>
          <w:rFonts w:ascii="Times New Roman" w:eastAsia="楷体" w:hAnsi="Times New Roman" w:hint="eastAsia"/>
          <w:color w:val="000000" w:themeColor="text1"/>
          <w:sz w:val="24"/>
          <w:szCs w:val="24"/>
        </w:rPr>
        <w:t>调整窗口，央行非对称式下调</w:t>
      </w:r>
      <w:r w:rsidRPr="00ED2A64">
        <w:rPr>
          <w:rFonts w:ascii="Times New Roman" w:eastAsia="楷体" w:hAnsi="Times New Roman" w:hint="eastAsia"/>
          <w:color w:val="000000" w:themeColor="text1"/>
          <w:sz w:val="24"/>
          <w:szCs w:val="24"/>
        </w:rPr>
        <w:t>LPR</w:t>
      </w:r>
      <w:r w:rsidRPr="00ED2A64">
        <w:rPr>
          <w:rFonts w:ascii="Times New Roman" w:eastAsia="楷体" w:hAnsi="Times New Roman" w:hint="eastAsia"/>
          <w:color w:val="000000" w:themeColor="text1"/>
          <w:sz w:val="24"/>
          <w:szCs w:val="24"/>
        </w:rPr>
        <w:t>将是大概率事件，重点关注央行能否下调存量</w:t>
      </w:r>
      <w:r w:rsidRPr="00ED2A64">
        <w:rPr>
          <w:rFonts w:ascii="Times New Roman" w:eastAsia="楷体" w:hAnsi="Times New Roman" w:hint="eastAsia"/>
          <w:color w:val="000000" w:themeColor="text1"/>
          <w:sz w:val="24"/>
          <w:szCs w:val="24"/>
        </w:rPr>
        <w:t>LPR</w:t>
      </w:r>
      <w:r w:rsidRPr="00ED2A64">
        <w:rPr>
          <w:rFonts w:ascii="Times New Roman" w:eastAsia="楷体" w:hAnsi="Times New Roman" w:hint="eastAsia"/>
          <w:color w:val="000000" w:themeColor="text1"/>
          <w:sz w:val="24"/>
          <w:szCs w:val="24"/>
        </w:rPr>
        <w:t>，在降息、政策预期强化及海外流动性进入短暂稳定期三者共同拉动市场风险偏好修复，</w:t>
      </w:r>
      <w:r w:rsidRPr="00ED2A64">
        <w:rPr>
          <w:rFonts w:ascii="Times New Roman" w:eastAsia="楷体" w:hAnsi="Times New Roman" w:hint="eastAsia"/>
          <w:color w:val="000000" w:themeColor="text1"/>
          <w:sz w:val="24"/>
          <w:szCs w:val="24"/>
        </w:rPr>
        <w:t>A</w:t>
      </w:r>
      <w:r w:rsidRPr="00ED2A64">
        <w:rPr>
          <w:rFonts w:ascii="Times New Roman" w:eastAsia="楷体" w:hAnsi="Times New Roman" w:hint="eastAsia"/>
          <w:color w:val="000000" w:themeColor="text1"/>
          <w:sz w:val="24"/>
          <w:szCs w:val="24"/>
        </w:rPr>
        <w:t>股或进入震荡向上阶段，流动性环境出现明显改善，成长风格或相对占优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815284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8152847"/>
      <w:r>
        <w:rPr>
          <w:rFonts w:ascii="Times New Roman" w:eastAsia="楷体" w:hAnsi="Times New Roman" w:hint="eastAsia"/>
          <w:b/>
          <w:color w:val="000000" w:themeColor="text1"/>
          <w:sz w:val="24"/>
          <w:szCs w:val="24"/>
        </w:rPr>
        <w:t>贵金属：</w:t>
      </w:r>
      <w:r w:rsidR="00ED2A64" w:rsidRPr="00ED2A64">
        <w:rPr>
          <w:rFonts w:ascii="Times New Roman" w:eastAsia="楷体" w:hAnsi="Times New Roman" w:hint="eastAsia"/>
          <w:b/>
          <w:color w:val="000000" w:themeColor="text1"/>
          <w:sz w:val="24"/>
          <w:szCs w:val="24"/>
        </w:rPr>
        <w:t>美元指数反弹，贵金属价格窄幅震荡</w:t>
      </w:r>
      <w:bookmarkEnd w:id="10"/>
    </w:p>
    <w:p w:rsidR="003F56A5" w:rsidRDefault="00ED2A64">
      <w:pPr>
        <w:ind w:leftChars="300" w:left="630"/>
        <w:rPr>
          <w:rFonts w:ascii="Times New Roman" w:eastAsia="楷体" w:hAnsi="Times New Roman"/>
          <w:sz w:val="24"/>
          <w:szCs w:val="24"/>
        </w:rPr>
      </w:pPr>
      <w:r w:rsidRPr="00ED2A64">
        <w:rPr>
          <w:rFonts w:ascii="Times New Roman" w:eastAsia="楷体" w:hAnsi="Times New Roman" w:hint="eastAsia"/>
          <w:color w:val="000000" w:themeColor="text1"/>
          <w:sz w:val="24"/>
          <w:szCs w:val="24"/>
        </w:rPr>
        <w:t>隔夜美元指数涨</w:t>
      </w:r>
      <w:r w:rsidRPr="00ED2A64">
        <w:rPr>
          <w:rFonts w:ascii="Times New Roman" w:eastAsia="楷体" w:hAnsi="Times New Roman" w:hint="eastAsia"/>
          <w:color w:val="000000" w:themeColor="text1"/>
          <w:sz w:val="24"/>
          <w:szCs w:val="24"/>
        </w:rPr>
        <w:t>0.18%</w:t>
      </w:r>
      <w:r w:rsidRPr="00ED2A64">
        <w:rPr>
          <w:rFonts w:ascii="Times New Roman" w:eastAsia="楷体" w:hAnsi="Times New Roman" w:hint="eastAsia"/>
          <w:color w:val="000000" w:themeColor="text1"/>
          <w:sz w:val="24"/>
          <w:szCs w:val="24"/>
        </w:rPr>
        <w:t>，当前暂报</w:t>
      </w:r>
      <w:r w:rsidRPr="00ED2A64">
        <w:rPr>
          <w:rFonts w:ascii="Times New Roman" w:eastAsia="楷体" w:hAnsi="Times New Roman" w:hint="eastAsia"/>
          <w:color w:val="000000" w:themeColor="text1"/>
          <w:sz w:val="24"/>
          <w:szCs w:val="24"/>
        </w:rPr>
        <w:t>102.5</w:t>
      </w:r>
      <w:r w:rsidRPr="00ED2A64">
        <w:rPr>
          <w:rFonts w:ascii="Times New Roman" w:eastAsia="楷体" w:hAnsi="Times New Roman" w:hint="eastAsia"/>
          <w:color w:val="000000" w:themeColor="text1"/>
          <w:sz w:val="24"/>
          <w:szCs w:val="24"/>
        </w:rPr>
        <w:t>，沪金、沪银窄幅震荡。欧央行执委施纳贝尔、管委卡兹米尔和管委</w:t>
      </w:r>
      <w:r w:rsidRPr="00ED2A64">
        <w:rPr>
          <w:rFonts w:ascii="Times New Roman" w:eastAsia="楷体" w:hAnsi="Times New Roman" w:hint="eastAsia"/>
          <w:color w:val="000000" w:themeColor="text1"/>
          <w:sz w:val="24"/>
          <w:szCs w:val="24"/>
        </w:rPr>
        <w:t>Simkus</w:t>
      </w:r>
      <w:r w:rsidRPr="00ED2A64">
        <w:rPr>
          <w:rFonts w:ascii="Times New Roman" w:eastAsia="楷体" w:hAnsi="Times New Roman" w:hint="eastAsia"/>
          <w:color w:val="000000" w:themeColor="text1"/>
          <w:sz w:val="24"/>
          <w:szCs w:val="24"/>
        </w:rPr>
        <w:t>均讲话支持</w:t>
      </w:r>
      <w:r w:rsidRPr="00ED2A64">
        <w:rPr>
          <w:rFonts w:ascii="Times New Roman" w:eastAsia="楷体" w:hAnsi="Times New Roman" w:hint="eastAsia"/>
          <w:color w:val="000000" w:themeColor="text1"/>
          <w:sz w:val="24"/>
          <w:szCs w:val="24"/>
        </w:rPr>
        <w:t>7</w:t>
      </w:r>
      <w:r w:rsidRPr="00ED2A64">
        <w:rPr>
          <w:rFonts w:ascii="Times New Roman" w:eastAsia="楷体" w:hAnsi="Times New Roman" w:hint="eastAsia"/>
          <w:color w:val="000000" w:themeColor="text1"/>
          <w:sz w:val="24"/>
          <w:szCs w:val="24"/>
        </w:rPr>
        <w:t>月加息，并提及</w:t>
      </w:r>
      <w:r w:rsidRPr="00ED2A64">
        <w:rPr>
          <w:rFonts w:ascii="Times New Roman" w:eastAsia="楷体" w:hAnsi="Times New Roman" w:hint="eastAsia"/>
          <w:color w:val="000000" w:themeColor="text1"/>
          <w:sz w:val="24"/>
          <w:szCs w:val="24"/>
        </w:rPr>
        <w:t>9</w:t>
      </w:r>
      <w:r w:rsidRPr="00ED2A64">
        <w:rPr>
          <w:rFonts w:ascii="Times New Roman" w:eastAsia="楷体" w:hAnsi="Times New Roman" w:hint="eastAsia"/>
          <w:color w:val="000000" w:themeColor="text1"/>
          <w:sz w:val="24"/>
          <w:szCs w:val="24"/>
        </w:rPr>
        <w:t>月继续加息的可能性。美国经济景气度下滑，初请失业金人数超预期显示就业边际走弱，二三季度发行国债计划引发流动性风险担忧，下半年海外市场或逐步转向围绕美国基本面走弱的衰退逻辑交易，避险情绪支撑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815284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8152849"/>
      <w:r>
        <w:rPr>
          <w:rFonts w:ascii="楷体" w:eastAsia="楷体" w:hAnsi="楷体" w:hint="eastAsia"/>
          <w:b/>
          <w:color w:val="000000" w:themeColor="text1"/>
          <w:sz w:val="24"/>
          <w:szCs w:val="24"/>
        </w:rPr>
        <w:t>螺纹钢：</w:t>
      </w:r>
      <w:bookmarkEnd w:id="16"/>
      <w:bookmarkEnd w:id="17"/>
      <w:r w:rsidR="00ED2A64" w:rsidRPr="00ED2A64">
        <w:rPr>
          <w:rFonts w:ascii="楷体" w:eastAsia="楷体" w:hAnsi="楷体" w:hint="eastAsia"/>
          <w:b/>
          <w:color w:val="000000" w:themeColor="text1"/>
          <w:sz w:val="24"/>
          <w:szCs w:val="24"/>
        </w:rPr>
        <w:t>情绪波动下，高位震荡运行</w:t>
      </w:r>
      <w:bookmarkEnd w:id="18"/>
    </w:p>
    <w:p w:rsidR="003F56A5" w:rsidRDefault="00ED2A64">
      <w:pPr>
        <w:ind w:leftChars="300" w:left="630"/>
        <w:rPr>
          <w:rFonts w:ascii="楷体" w:eastAsia="楷体" w:hAnsi="楷体"/>
          <w:color w:val="000000" w:themeColor="text1"/>
          <w:sz w:val="24"/>
          <w:szCs w:val="24"/>
        </w:rPr>
      </w:pPr>
      <w:r w:rsidRPr="00ED2A64">
        <w:rPr>
          <w:rFonts w:ascii="楷体" w:eastAsia="楷体" w:hAnsi="楷体" w:hint="eastAsia"/>
          <w:color w:val="000000" w:themeColor="text1"/>
          <w:sz w:val="24"/>
          <w:szCs w:val="24"/>
        </w:rPr>
        <w:t>宏观方面政策落地预期后移，情绪有所降温，高价下市场成交相对谨慎，但现货成交仍有仍性，预计节前高位震荡为主，参考震荡区间（3700,3800）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8152850"/>
      <w:r>
        <w:rPr>
          <w:rFonts w:ascii="楷体" w:eastAsia="楷体" w:hAnsi="楷体" w:hint="eastAsia"/>
          <w:b/>
          <w:color w:val="000000" w:themeColor="text1"/>
          <w:sz w:val="24"/>
          <w:szCs w:val="24"/>
        </w:rPr>
        <w:t>焦炭：</w:t>
      </w:r>
      <w:bookmarkEnd w:id="19"/>
      <w:bookmarkEnd w:id="20"/>
      <w:r w:rsidR="00ED2A64" w:rsidRPr="00ED2A64">
        <w:rPr>
          <w:rFonts w:ascii="楷体" w:eastAsia="楷体" w:hAnsi="楷体" w:hint="eastAsia"/>
          <w:b/>
          <w:color w:val="000000" w:themeColor="text1"/>
          <w:sz w:val="24"/>
          <w:szCs w:val="24"/>
        </w:rPr>
        <w:t>升水较多下套保情绪浓重，回踩后仍有支撑</w:t>
      </w:r>
      <w:bookmarkEnd w:id="21"/>
    </w:p>
    <w:p w:rsidR="003F56A5" w:rsidRDefault="00ED2A64" w:rsidP="00572E35">
      <w:pPr>
        <w:ind w:leftChars="300" w:left="630"/>
        <w:rPr>
          <w:rFonts w:ascii="楷体" w:eastAsia="楷体" w:hAnsi="楷体"/>
          <w:color w:val="000000" w:themeColor="text1"/>
          <w:sz w:val="24"/>
          <w:szCs w:val="24"/>
        </w:rPr>
      </w:pPr>
      <w:r w:rsidRPr="00ED2A64">
        <w:rPr>
          <w:rFonts w:ascii="楷体" w:eastAsia="楷体" w:hAnsi="楷体" w:hint="eastAsia"/>
          <w:color w:val="000000" w:themeColor="text1"/>
          <w:sz w:val="24"/>
          <w:szCs w:val="24"/>
        </w:rPr>
        <w:t>昨日港口现货涨价10元/吨，部分地区焦企提涨100元/吨。盘面升水较高下，套保情绪浓重，预计震荡区间（2100,2200）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8152851"/>
      <w:r>
        <w:rPr>
          <w:rFonts w:ascii="楷体" w:eastAsia="楷体" w:hAnsi="楷体" w:hint="eastAsia"/>
          <w:b/>
          <w:color w:val="000000" w:themeColor="text1"/>
          <w:sz w:val="24"/>
          <w:szCs w:val="24"/>
        </w:rPr>
        <w:t>焦煤：</w:t>
      </w:r>
      <w:r w:rsidR="00ED2A64" w:rsidRPr="00ED2A64">
        <w:rPr>
          <w:rFonts w:ascii="楷体" w:eastAsia="楷体" w:hAnsi="楷体" w:hint="eastAsia"/>
          <w:b/>
          <w:sz w:val="24"/>
          <w:szCs w:val="24"/>
        </w:rPr>
        <w:t>现货偏强运行，盘面或继续偏强震荡</w:t>
      </w:r>
      <w:bookmarkEnd w:id="22"/>
    </w:p>
    <w:p w:rsidR="003F56A5" w:rsidRDefault="00ED2A64">
      <w:pPr>
        <w:ind w:leftChars="300" w:left="630"/>
        <w:rPr>
          <w:rFonts w:ascii="楷体" w:eastAsia="楷体" w:hAnsi="楷体"/>
          <w:bCs/>
          <w:sz w:val="24"/>
          <w:szCs w:val="24"/>
        </w:rPr>
      </w:pPr>
      <w:r w:rsidRPr="00ED2A64">
        <w:rPr>
          <w:rFonts w:ascii="楷体" w:eastAsia="楷体" w:hAnsi="楷体" w:hint="eastAsia"/>
          <w:sz w:val="24"/>
          <w:szCs w:val="24"/>
        </w:rPr>
        <w:t>昨日介休低硫主焦、沙河驿蒙煤+100元/吨，盘面升水较多下有所回调，预计高位偏强震荡，震荡区间（1330,1400）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8152852"/>
      <w:r>
        <w:rPr>
          <w:rFonts w:ascii="楷体" w:eastAsia="楷体" w:hAnsi="楷体" w:hint="eastAsia"/>
          <w:b/>
          <w:color w:val="000000" w:themeColor="text1"/>
          <w:sz w:val="24"/>
          <w:szCs w:val="24"/>
        </w:rPr>
        <w:t>铜：</w:t>
      </w:r>
      <w:bookmarkEnd w:id="23"/>
      <w:bookmarkEnd w:id="24"/>
      <w:r w:rsidR="00794D36" w:rsidRPr="00794D36">
        <w:rPr>
          <w:rFonts w:ascii="楷体" w:eastAsia="楷体" w:hAnsi="楷体" w:hint="eastAsia"/>
          <w:b/>
          <w:color w:val="000000" w:themeColor="text1"/>
          <w:sz w:val="24"/>
          <w:szCs w:val="24"/>
        </w:rPr>
        <w:t>维持高位震荡</w:t>
      </w:r>
      <w:bookmarkEnd w:id="25"/>
    </w:p>
    <w:p w:rsidR="00794D36" w:rsidRPr="00794D36" w:rsidRDefault="00794D36" w:rsidP="00794D36">
      <w:pPr>
        <w:ind w:leftChars="300" w:left="630"/>
        <w:rPr>
          <w:rFonts w:ascii="楷体" w:eastAsia="楷体" w:hAnsi="楷体" w:hint="eastAsia"/>
          <w:color w:val="000000" w:themeColor="text1"/>
          <w:sz w:val="24"/>
          <w:szCs w:val="24"/>
        </w:rPr>
      </w:pPr>
      <w:r w:rsidRPr="00794D36">
        <w:rPr>
          <w:rFonts w:ascii="楷体" w:eastAsia="楷体" w:hAnsi="楷体" w:hint="eastAsia"/>
          <w:color w:val="000000" w:themeColor="text1"/>
          <w:sz w:val="24"/>
          <w:szCs w:val="24"/>
        </w:rPr>
        <w:t>(1)库存：6月19日，SHFE仓单库存30002吨，减1126吨。LME仓单库存88425吨，减2200吨。</w:t>
      </w:r>
    </w:p>
    <w:p w:rsidR="00794D36" w:rsidRPr="00794D36" w:rsidRDefault="00794D36" w:rsidP="00794D36">
      <w:pPr>
        <w:ind w:leftChars="300" w:left="630"/>
        <w:rPr>
          <w:rFonts w:ascii="楷体" w:eastAsia="楷体" w:hAnsi="楷体" w:hint="eastAsia"/>
          <w:color w:val="000000" w:themeColor="text1"/>
          <w:sz w:val="24"/>
          <w:szCs w:val="24"/>
        </w:rPr>
      </w:pPr>
      <w:r w:rsidRPr="00794D36">
        <w:rPr>
          <w:rFonts w:ascii="楷体" w:eastAsia="楷体" w:hAnsi="楷体" w:hint="eastAsia"/>
          <w:color w:val="000000" w:themeColor="text1"/>
          <w:sz w:val="24"/>
          <w:szCs w:val="24"/>
        </w:rPr>
        <w:t>(2)精废价差：6月19日，Mysteel精废价差2540，扩大70。目前价差在合理价差1388之上。</w:t>
      </w:r>
    </w:p>
    <w:p w:rsidR="00794D36" w:rsidRPr="00794D36" w:rsidRDefault="00794D36" w:rsidP="00794D36">
      <w:pPr>
        <w:ind w:leftChars="300" w:left="630"/>
        <w:rPr>
          <w:rFonts w:ascii="楷体" w:eastAsia="楷体" w:hAnsi="楷体"/>
          <w:color w:val="000000" w:themeColor="text1"/>
          <w:sz w:val="24"/>
          <w:szCs w:val="24"/>
        </w:rPr>
      </w:pPr>
    </w:p>
    <w:p w:rsidR="00127803" w:rsidRPr="00127803" w:rsidRDefault="00794D36" w:rsidP="00794D36">
      <w:pPr>
        <w:ind w:leftChars="300" w:left="630"/>
        <w:rPr>
          <w:rFonts w:ascii="楷体" w:eastAsia="楷体" w:hAnsi="楷体"/>
          <w:color w:val="000000" w:themeColor="text1"/>
          <w:sz w:val="24"/>
          <w:szCs w:val="24"/>
        </w:rPr>
      </w:pPr>
      <w:r w:rsidRPr="00794D36">
        <w:rPr>
          <w:rFonts w:ascii="楷体" w:eastAsia="楷体" w:hAnsi="楷体" w:hint="eastAsia"/>
          <w:color w:val="000000" w:themeColor="text1"/>
          <w:sz w:val="24"/>
          <w:szCs w:val="24"/>
        </w:rPr>
        <w:t>综述：由于美国经济数据仍具韧性且暂停加息，市场开始交易海外的软着陆，国内经历一波政策期待所带来的情绪修复。但海外宏观风险仍有不确定性，后续仍需更多经济数据来验证，当前市场关注点更多在于国内政策</w:t>
      </w:r>
      <w:r w:rsidRPr="00794D36">
        <w:rPr>
          <w:rFonts w:ascii="楷体" w:eastAsia="楷体" w:hAnsi="楷体" w:hint="eastAsia"/>
          <w:color w:val="000000" w:themeColor="text1"/>
          <w:sz w:val="24"/>
          <w:szCs w:val="24"/>
        </w:rPr>
        <w:lastRenderedPageBreak/>
        <w:t>持续推出带来的需求增量预期，短期难以证伪，且基本面来看，供需矛盾暂时不大，整体低库存仍提供一定支撑。铜价维持高位震荡，CU2308主波动区间参考66500-69000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8152853"/>
      <w:r>
        <w:rPr>
          <w:rFonts w:ascii="楷体" w:eastAsia="楷体" w:hAnsi="楷体" w:hint="eastAsia"/>
          <w:b/>
          <w:color w:val="000000" w:themeColor="text1"/>
          <w:sz w:val="24"/>
          <w:szCs w:val="24"/>
        </w:rPr>
        <w:t>铝：</w:t>
      </w:r>
      <w:bookmarkEnd w:id="26"/>
      <w:bookmarkEnd w:id="27"/>
      <w:r w:rsidR="00794D36" w:rsidRPr="00794D36">
        <w:rPr>
          <w:rFonts w:ascii="楷体" w:eastAsia="楷体" w:hAnsi="楷体" w:hint="eastAsia"/>
          <w:b/>
          <w:color w:val="000000" w:themeColor="text1"/>
          <w:sz w:val="24"/>
          <w:szCs w:val="24"/>
        </w:rPr>
        <w:t>铝价上方压力仍存，可尝试短空</w:t>
      </w:r>
      <w:bookmarkEnd w:id="28"/>
    </w:p>
    <w:p w:rsidR="003F56A5" w:rsidRDefault="00794D36" w:rsidP="00127803">
      <w:pPr>
        <w:ind w:leftChars="300" w:left="630"/>
        <w:rPr>
          <w:rFonts w:ascii="楷体" w:eastAsia="楷体" w:hAnsi="楷体"/>
          <w:color w:val="000000" w:themeColor="text1"/>
          <w:sz w:val="24"/>
          <w:szCs w:val="24"/>
        </w:rPr>
      </w:pPr>
      <w:r w:rsidRPr="00794D36">
        <w:rPr>
          <w:rFonts w:ascii="楷体" w:eastAsia="楷体" w:hAnsi="楷体" w:hint="eastAsia"/>
          <w:color w:val="000000" w:themeColor="text1"/>
          <w:sz w:val="24"/>
          <w:szCs w:val="24"/>
        </w:rPr>
        <w:t>海外宏观在美国通胀改善叠加联储加息暂停的事件影响下，整体市场情绪支撑偏强，国内市场在博弈7月的政策窗口期，宏观表现偏乐观。电解铝5月产量季度偏高位，铝棒加工费持续震荡走低，铝水比例下降，部分厂家铝水长单违约，云南地区大幅降水补充水电，预期当地部分产能进入复产，6月后进入消费淡季，需求驱动较弱，但铸锭库存低位去库对铝价依然有较强支撑，预计沪铝期价波动17500-19000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8152854"/>
      <w:r>
        <w:rPr>
          <w:rFonts w:ascii="楷体" w:eastAsia="楷体" w:hAnsi="楷体" w:hint="eastAsia"/>
          <w:b/>
          <w:color w:val="000000" w:themeColor="text1"/>
          <w:sz w:val="24"/>
          <w:szCs w:val="24"/>
        </w:rPr>
        <w:t>锌：</w:t>
      </w:r>
      <w:r w:rsidR="00ED2A64" w:rsidRPr="00ED2A64">
        <w:rPr>
          <w:rFonts w:ascii="楷体" w:eastAsia="楷体" w:hAnsi="楷体" w:hint="eastAsia"/>
          <w:b/>
          <w:color w:val="000000" w:themeColor="text1"/>
          <w:sz w:val="24"/>
          <w:szCs w:val="24"/>
        </w:rPr>
        <w:t>减产+宏观推动锌价上升，实际价格上方空间有限</w:t>
      </w:r>
      <w:bookmarkEnd w:id="29"/>
    </w:p>
    <w:p w:rsidR="003F56A5" w:rsidRDefault="00ED2A64" w:rsidP="000B0648">
      <w:pPr>
        <w:ind w:leftChars="300" w:left="630"/>
        <w:rPr>
          <w:rFonts w:ascii="楷体" w:eastAsia="楷体" w:hAnsi="楷体"/>
          <w:color w:val="000000" w:themeColor="text1"/>
          <w:sz w:val="24"/>
          <w:szCs w:val="24"/>
        </w:rPr>
      </w:pPr>
      <w:r w:rsidRPr="00ED2A64">
        <w:rPr>
          <w:rFonts w:ascii="楷体" w:eastAsia="楷体" w:hAnsi="楷体" w:hint="eastAsia"/>
          <w:color w:val="000000" w:themeColor="text1"/>
          <w:sz w:val="24"/>
          <w:szCs w:val="24"/>
        </w:rPr>
        <w:t>联储6月暂停加息但对未来加息态度偏鹰，担忧美国TGA发债抽调市场流动性，国内市场持续交易政策利多预期，宏观情绪多变风险仍存。宏观情绪瑞典矿业公司Boliden表示将暂停欧洲最大的爱尔兰锌矿Tara的生产，海外供应预期走弱，随着锌价小幅企稳回升，冶炼利润逐步走升。下游需求实则为消费淡季，周度镀锌开工率有所回升，镀锌管订单好转，压铸锌合金及氧化锌开工维持弱势，海内外库存持续累库，锌价上下驱动有限</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8152855"/>
      <w:r>
        <w:rPr>
          <w:rFonts w:ascii="楷体" w:eastAsia="楷体" w:hAnsi="楷体" w:hint="eastAsia"/>
          <w:b/>
          <w:color w:val="000000" w:themeColor="text1"/>
          <w:sz w:val="24"/>
          <w:szCs w:val="24"/>
        </w:rPr>
        <w:t>镍：</w:t>
      </w:r>
      <w:r w:rsidR="00127803" w:rsidRPr="00127803">
        <w:rPr>
          <w:rFonts w:ascii="楷体" w:eastAsia="楷体" w:hAnsi="楷体" w:hint="eastAsia"/>
          <w:b/>
          <w:color w:val="000000" w:themeColor="text1"/>
          <w:sz w:val="24"/>
          <w:szCs w:val="24"/>
        </w:rPr>
        <w:t>下行趋势未变，维持反弹后逢高空思路</w:t>
      </w:r>
      <w:bookmarkEnd w:id="30"/>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昨日上期所镍仓单日增2287吨，达到2453吨，增幅1378%。近期俄镍镍板大量进口到货，持货商大规模注册仓单，交割品紧缺的情况得到缓解。中期电积镍产能陆续释放，产量不断爬升，预计国内库存有望逐步累增，镍价下行态势未变。操作上维持反弹后逢高空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815285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D2A64" w:rsidRPr="00ED2A64">
        <w:rPr>
          <w:rFonts w:ascii="楷体" w:eastAsia="楷体" w:hAnsi="楷体" w:hint="eastAsia"/>
          <w:b/>
          <w:color w:val="000000" w:themeColor="text1"/>
          <w:sz w:val="24"/>
          <w:szCs w:val="24"/>
        </w:rPr>
        <w:t>宏观情绪利好叠加出口增量预期提振价格</w:t>
      </w:r>
      <w:bookmarkEnd w:id="31"/>
    </w:p>
    <w:p w:rsidR="008B13D2" w:rsidRPr="008B13D2" w:rsidRDefault="00ED2A64" w:rsidP="008B13D2">
      <w:pPr>
        <w:ind w:leftChars="300" w:left="630"/>
        <w:rPr>
          <w:rFonts w:ascii="楷体" w:eastAsia="楷体" w:hAnsi="楷体"/>
          <w:color w:val="000000" w:themeColor="text1"/>
          <w:sz w:val="24"/>
          <w:szCs w:val="24"/>
        </w:rPr>
      </w:pPr>
      <w:r w:rsidRPr="00ED2A64">
        <w:rPr>
          <w:rFonts w:ascii="楷体" w:eastAsia="楷体" w:hAnsi="楷体" w:hint="eastAsia"/>
          <w:color w:val="000000" w:themeColor="text1"/>
          <w:sz w:val="24"/>
          <w:szCs w:val="24"/>
        </w:rPr>
        <w:t>海内外宏观情绪释放提振有色价格，铅价持续走涨。原生铅产量小幅走增，部分产能检修结束原生铅企业开工率走升，供应小幅修复，铅蓄电池更换市场依然在消费淡季，新增订单欠佳，铅锭出口利润窗口打开，出口需求预期提振。海内外库存低位录增，国内交割加上消费淡季下需求受限，铅锭库存继续累库</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8152857"/>
      <w:r>
        <w:rPr>
          <w:rFonts w:ascii="楷体" w:eastAsia="楷体" w:hAnsi="楷体" w:hint="eastAsia"/>
          <w:b/>
          <w:color w:val="000000" w:themeColor="text1"/>
          <w:sz w:val="24"/>
          <w:szCs w:val="24"/>
        </w:rPr>
        <w:t>不锈钢：</w:t>
      </w:r>
      <w:r w:rsidR="00794D36" w:rsidRPr="00794D36">
        <w:rPr>
          <w:rFonts w:ascii="楷体" w:eastAsia="楷体" w:hAnsi="楷体" w:hint="eastAsia"/>
          <w:b/>
          <w:color w:val="000000" w:themeColor="text1"/>
          <w:sz w:val="24"/>
          <w:szCs w:val="24"/>
        </w:rPr>
        <w:t>社会库存转增，价格支撑边际转弱</w:t>
      </w:r>
      <w:bookmarkEnd w:id="32"/>
    </w:p>
    <w:p w:rsidR="003F56A5" w:rsidRDefault="00794D36">
      <w:pPr>
        <w:ind w:leftChars="300" w:left="630"/>
        <w:rPr>
          <w:rFonts w:ascii="楷体" w:eastAsia="楷体" w:hAnsi="楷体"/>
          <w:color w:val="000000" w:themeColor="text1"/>
          <w:sz w:val="24"/>
          <w:szCs w:val="24"/>
        </w:rPr>
      </w:pPr>
      <w:r w:rsidRPr="00794D36">
        <w:rPr>
          <w:rFonts w:ascii="楷体" w:eastAsia="楷体" w:hAnsi="楷体" w:hint="eastAsia"/>
          <w:color w:val="000000" w:themeColor="text1"/>
          <w:sz w:val="24"/>
          <w:szCs w:val="24"/>
        </w:rPr>
        <w:t>上周不锈钢社会库存结束下滑态势，转为小幅增长，对价格支撑边际转弱，原料端镍铁价格保持弱稳运行，当前不锈钢厂已有一定利润，预期供应弹性压制下，价格继续反弹空间受抑，短期市场关注点仍在国内政策持续推出带来的需求增量预期，宏观情绪仍有反复，SS2308波动区间参考14500-15300。操作上，区间上沿附近逢高空，暂以短线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8152858"/>
      <w:r>
        <w:rPr>
          <w:rFonts w:ascii="楷体" w:eastAsia="楷体" w:hAnsi="楷体" w:hint="eastAsia"/>
          <w:b/>
          <w:color w:val="000000" w:themeColor="text1"/>
          <w:sz w:val="24"/>
          <w:szCs w:val="24"/>
        </w:rPr>
        <w:t>工业硅：</w:t>
      </w:r>
      <w:r w:rsidR="00ED2A64" w:rsidRPr="00ED2A64">
        <w:rPr>
          <w:rFonts w:ascii="楷体" w:eastAsia="楷体" w:hAnsi="楷体" w:hint="eastAsia"/>
          <w:b/>
          <w:sz w:val="24"/>
          <w:szCs w:val="24"/>
        </w:rPr>
        <w:t>供应减产无实际落地，短期谨慎追高</w:t>
      </w:r>
      <w:bookmarkEnd w:id="33"/>
    </w:p>
    <w:p w:rsidR="003F56A5" w:rsidRDefault="00ED2A64" w:rsidP="007103A5">
      <w:pPr>
        <w:ind w:leftChars="300" w:left="630"/>
        <w:rPr>
          <w:rFonts w:ascii="楷体" w:eastAsia="楷体" w:hAnsi="楷体"/>
          <w:sz w:val="24"/>
          <w:szCs w:val="24"/>
        </w:rPr>
      </w:pPr>
      <w:r w:rsidRPr="00ED2A64">
        <w:rPr>
          <w:rFonts w:ascii="楷体" w:eastAsia="楷体" w:hAnsi="楷体" w:hint="eastAsia"/>
          <w:sz w:val="24"/>
          <w:szCs w:val="24"/>
        </w:rPr>
        <w:t>6月19日，Si2308主力合约呈大幅反弹走势，盘中触及涨停，收盘价13240元/吨，较上一收盘价涨跌幅+5.96%。根据市场消息，上周五新疆大厂封盘暂停报价，以及将减产20-50台设备停产，引起市场恐慌情绪，带动期价</w:t>
      </w:r>
      <w:r w:rsidRPr="00ED2A64">
        <w:rPr>
          <w:rFonts w:ascii="楷体" w:eastAsia="楷体" w:hAnsi="楷体" w:hint="eastAsia"/>
          <w:sz w:val="24"/>
          <w:szCs w:val="24"/>
        </w:rPr>
        <w:lastRenderedPageBreak/>
        <w:t>大幅上涨。据SMM调研了解，目前工厂生产基本正常，暂未出现大面积减产，近期仅有5-10台设备将停产检修，影响较为有限。目前减产并无实际落地，后续仍有待跟踪，建议谨慎追高，暂时观望为主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81528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815286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94D36" w:rsidRPr="00794D36">
        <w:rPr>
          <w:rFonts w:ascii="楷体" w:eastAsia="楷体" w:hAnsi="楷体" w:hint="eastAsia"/>
          <w:b/>
          <w:sz w:val="24"/>
          <w:szCs w:val="24"/>
        </w:rPr>
        <w:t>端午节前轮胎消费有限，RU维持震荡走势为主</w:t>
      </w:r>
      <w:bookmarkEnd w:id="36"/>
    </w:p>
    <w:p w:rsidR="003F56A5" w:rsidRDefault="00794D36">
      <w:pPr>
        <w:ind w:leftChars="300" w:left="630"/>
        <w:rPr>
          <w:rFonts w:ascii="楷体" w:eastAsia="楷体" w:hAnsi="楷体"/>
          <w:sz w:val="24"/>
          <w:szCs w:val="24"/>
        </w:rPr>
      </w:pPr>
      <w:r w:rsidRPr="00794D36">
        <w:rPr>
          <w:rFonts w:ascii="楷体" w:eastAsia="楷体" w:hAnsi="楷体" w:hint="eastAsia"/>
          <w:sz w:val="24"/>
          <w:szCs w:val="24"/>
        </w:rPr>
        <w:t>点评：昨日橡胶震荡调整。当前制约RU价格上行的主要矛盾还是偏高的港口库存。尽管上周小幅去库，但目前港口库存绝对值仍处于高位，高库存对行情形成较大压制。橡胶其余基本面来看，供应端，随着产区物候条件恢复正常，供给端上量将逐步回归正常。橡胶下游轮胎方面，端午节前后消费需求有限，市场逐步进入库存消化期，企业出货压力将逐步加大，为控制库存增速，不排除个别企业存降负检修可能。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目前，技术面来看胶价处于前期低位，支撑作用显现，下行空间有限。但需求面恢复速度不及预期，以及胶价反弹后套利盘的参与，使得胶价短期上行幅度有限，且库存的利空因素不可忽视。短期关注前期低点的支撑作用和盘面持仓量和基差的变化情况，后期重点关注国内稳增长政策的推动和实施对国内需求端的拉动作用和轮胎厂成品库存的实质去化，待出现明显的趋势信号后再做入场判断。11500元/吨的位置支撑较强，上方压力位在12200元/吨</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815286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94D36" w:rsidRPr="00794D36">
        <w:rPr>
          <w:rFonts w:ascii="楷体" w:eastAsia="楷体" w:hAnsi="楷体" w:hint="eastAsia"/>
          <w:b/>
          <w:color w:val="000000" w:themeColor="text1"/>
          <w:sz w:val="24"/>
          <w:szCs w:val="24"/>
        </w:rPr>
        <w:t>成本支撑及聚酯开工韧性尚可， 关注负反馈预期强化</w:t>
      </w:r>
      <w:bookmarkEnd w:id="37"/>
      <w:r>
        <w:rPr>
          <w:rFonts w:ascii="楷体" w:eastAsia="楷体" w:hAnsi="楷体" w:hint="eastAsia"/>
          <w:b/>
          <w:color w:val="000000" w:themeColor="text1"/>
          <w:sz w:val="24"/>
          <w:szCs w:val="24"/>
        </w:rPr>
        <w:t xml:space="preserve"> </w:t>
      </w:r>
    </w:p>
    <w:p w:rsidR="003F56A5" w:rsidRDefault="00794D36" w:rsidP="002C73FE">
      <w:pPr>
        <w:ind w:leftChars="300" w:left="630"/>
        <w:rPr>
          <w:rFonts w:ascii="楷体" w:eastAsia="楷体" w:hAnsi="楷体"/>
          <w:color w:val="000000" w:themeColor="text1"/>
          <w:sz w:val="24"/>
          <w:szCs w:val="24"/>
        </w:rPr>
      </w:pPr>
      <w:r w:rsidRPr="00794D36">
        <w:rPr>
          <w:rFonts w:ascii="楷体" w:eastAsia="楷体" w:hAnsi="楷体" w:hint="eastAsia"/>
          <w:color w:val="000000" w:themeColor="text1"/>
          <w:sz w:val="24"/>
          <w:szCs w:val="24"/>
        </w:rPr>
        <w:t>供给方面逸盛大化375万吨降负至5成，威联化学250万吨计划外停车，嘉通250万吨检修，个别装置负荷小幅波动，至6.15 PTA负荷下降至76.1%（-3.2%），近期PTA加工费压缩至200元/吨附近。PX方面，因浙石化及盛虹装置降负影响，PX原料库存累积幅度不足以满足刚需，供需情况较前期收紧。因两套大装置降负荷拖累PX总体上升幅度，预计后期PX国内负荷提升至78%后继续提升空间不大，短期PTA成本端支撑依然较强。需求方面，本周聚酯装置暂无变动，截至6.15，初步核算国内大陆地区聚酯负荷在92.8%附近，聚酯产品价格和终端产品上涨已经明显乏力。展望后市，受PX 两套大型装置降负等因素影响，PX短期开工率虽低位抬升但供需格局改善，PTA成本端支撑仍存。聚酯产业链利润改善且聚酯库存低位，尚有缓冲空间，聚酯近期开工有望高位维持，但预估端午过后下游终端织造、印染订单季节性走弱趋势强化。5月纺织服装出口环比下滑14.3%，终端负反馈持续。综合来看，原油走势趋弱、下游及终端提前透支采购需求VS PX短期支撑仍存，PTA短期空单仍可逢高介入操作，仅供参考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8152862"/>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lastRenderedPageBreak/>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8152863"/>
      <w:r>
        <w:rPr>
          <w:rFonts w:ascii="楷体" w:eastAsia="楷体" w:hAnsi="楷体" w:hint="eastAsia"/>
          <w:b/>
          <w:color w:val="000000" w:themeColor="text1"/>
          <w:sz w:val="24"/>
          <w:szCs w:val="24"/>
        </w:rPr>
        <w:t>聚烯烃：</w:t>
      </w:r>
      <w:r w:rsidR="00ED2A64" w:rsidRPr="00ED2A64">
        <w:rPr>
          <w:rFonts w:ascii="楷体" w:eastAsia="楷体" w:hAnsi="楷体" w:hint="eastAsia"/>
          <w:b/>
          <w:color w:val="000000" w:themeColor="text1"/>
          <w:sz w:val="24"/>
          <w:szCs w:val="24"/>
        </w:rPr>
        <w:t>需求无明显提振，聚烯烃或窄幅整理</w:t>
      </w:r>
      <w:bookmarkEnd w:id="39"/>
    </w:p>
    <w:p w:rsidR="003F56A5" w:rsidRDefault="00ED2A64">
      <w:pPr>
        <w:ind w:leftChars="300" w:left="630"/>
        <w:rPr>
          <w:rFonts w:ascii="楷体" w:eastAsia="楷体" w:hAnsi="楷体"/>
          <w:bCs/>
          <w:sz w:val="24"/>
          <w:szCs w:val="24"/>
        </w:rPr>
      </w:pPr>
      <w:r w:rsidRPr="00ED2A64">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质疑欧佩克及其减产同盟国是否能够严格履行减产协议，美元指数上涨，国际油价收低，然而需求与供应的不确定性限制了油价跌势；需求方面，PE下游方面，农膜整体需求平平，工厂生产清淡。棚膜工厂多停机检修；PP下游方面，BOPP市场成交刚需有量，整体量较上一交易日增加，BOPP企业未交付订单多数在一周以内，个别可至6月下旬。综合来看，PE方面，供应端近期国内计划检修装置较多，需求暂无明显提振，考虑供需影响下，预计今日国内聚乙烯现货市场价格延续震荡走势。PP方面，检修损失量高位，叠加新增扩能脚步放缓，供应面存短暂利好。但终端对于远期市场看空情绪难改善，投机需求不多。今日聚丙烯市场或窄幅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8152864"/>
      <w:r>
        <w:rPr>
          <w:rFonts w:ascii="楷体" w:eastAsia="楷体" w:hAnsi="楷体" w:hint="eastAsia"/>
          <w:b/>
          <w:color w:val="000000" w:themeColor="text1"/>
          <w:sz w:val="24"/>
          <w:szCs w:val="24"/>
        </w:rPr>
        <w:t>MEG：</w:t>
      </w:r>
      <w:r w:rsidR="00794D36" w:rsidRPr="00794D36">
        <w:rPr>
          <w:rFonts w:ascii="楷体" w:eastAsia="楷体" w:hAnsi="楷体" w:hint="eastAsia"/>
          <w:b/>
          <w:color w:val="000000" w:themeColor="text1"/>
          <w:sz w:val="24"/>
          <w:szCs w:val="24"/>
        </w:rPr>
        <w:t>成本下行供应增加 09合约上行驱动不足</w:t>
      </w:r>
      <w:bookmarkEnd w:id="40"/>
    </w:p>
    <w:p w:rsidR="003F56A5" w:rsidRDefault="00794D36" w:rsidP="00115EEA">
      <w:pPr>
        <w:ind w:leftChars="300" w:left="630"/>
        <w:rPr>
          <w:rFonts w:ascii="楷体" w:eastAsia="楷体" w:hAnsi="楷体"/>
          <w:color w:val="000000" w:themeColor="text1"/>
          <w:sz w:val="24"/>
          <w:szCs w:val="24"/>
        </w:rPr>
      </w:pPr>
      <w:r w:rsidRPr="00794D36">
        <w:rPr>
          <w:rFonts w:ascii="楷体" w:eastAsia="楷体" w:hAnsi="楷体" w:hint="eastAsia"/>
          <w:color w:val="000000" w:themeColor="text1"/>
          <w:sz w:val="24"/>
          <w:szCs w:val="24"/>
        </w:rPr>
        <w:t>供需情况，6.19 华东主港地区MEG港口库存约97.2万吨附近，环比上期减少1.4万吨，截至6月15日，中国大陆地区乙二醇整体开工负荷在57.03%（+2.33%），其中煤制乙二醇开工负荷在60.79%（+3.72%）。 近期乙二醇开工率回升至57%偏上，后续仍有浙江石化（75+80)、海南炼化7月提前回归，煤化工新疆天业、广西华谊等装置计划重启。新装置三江石化新装置投产较为顺利，预计下月将维持偏高负荷运行。进口方面来看，5月中下起随着美国货以及伊朗货陆续抵港，乙二醇主港到货量将逐步增加。聚酯需求端来看，截止6.15，初步核算国内大陆地区聚酯负荷在92.8%高位附近，聚酯负荷见顶。终端方面，部分阶段性订单交货后，上周江浙终端开工率持稳，江浙加弹综合开工率82%，江浙织机综合开工率71%，江浙印染综合开工率77%（+0%）。展望后市，近期成本端煤价企稳及库存去化驱动盘面短期向上。但供应环节增量较为明显，7月国产供应压力较大。且乙二醇海外供应逐步增量中，预计6-7月乙二醇进口增量8-10万吨左右。市场普遍关注的转产EO的问题，因EO现货弱势及天热转热后走货困难，</w:t>
      </w:r>
      <w:r w:rsidRPr="00794D36">
        <w:rPr>
          <w:rFonts w:ascii="楷体" w:eastAsia="楷体" w:hAnsi="楷体" w:hint="eastAsia"/>
          <w:color w:val="000000" w:themeColor="text1"/>
          <w:sz w:val="24"/>
          <w:szCs w:val="24"/>
        </w:rPr>
        <w:lastRenderedPageBreak/>
        <w:t>后续实际转产落地较为困难。近期受聚酯高开工带动下，乙二醇仍能驱动小幅去库。但乙二醇后续供应端增量较为明显，终端新订单偏弱及常规货库存高企，09合约上行驱动不足，择机高位布空为主，仅供参考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815286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D2A64" w:rsidRPr="00ED2A64">
        <w:rPr>
          <w:rFonts w:ascii="楷体" w:eastAsia="楷体" w:hAnsi="楷体" w:hint="eastAsia"/>
          <w:b/>
          <w:color w:val="000000" w:themeColor="text1"/>
          <w:sz w:val="24"/>
          <w:szCs w:val="24"/>
        </w:rPr>
        <w:t>产销快速回落，建议反弹做空</w:t>
      </w:r>
      <w:bookmarkEnd w:id="41"/>
    </w:p>
    <w:p w:rsidR="00A71A7E" w:rsidRDefault="00ED2A64" w:rsidP="0079299D">
      <w:pPr>
        <w:ind w:leftChars="300" w:left="630"/>
        <w:rPr>
          <w:rFonts w:ascii="楷体" w:eastAsia="楷体" w:hAnsi="楷体"/>
          <w:color w:val="000000" w:themeColor="text1"/>
          <w:sz w:val="24"/>
          <w:szCs w:val="24"/>
        </w:rPr>
      </w:pPr>
      <w:r w:rsidRPr="00ED2A64">
        <w:rPr>
          <w:rFonts w:ascii="楷体" w:eastAsia="楷体" w:hAnsi="楷体" w:hint="eastAsia"/>
          <w:color w:val="000000" w:themeColor="text1"/>
          <w:sz w:val="24"/>
          <w:szCs w:val="24"/>
        </w:rPr>
        <w:t>隆众资讯6月19日报道：今日浮法玻璃现货价格1984，较上交易日-22。供给端，今日弘耀一线500吨冷修，台玻900吨复产点火，日熔量净增400T/d。需求端，周末产销快速回落，下游深加工订单量一般。现货原片价格不稳，梅雨季节对玻璃存储有影响，厂家多降价清库。政策刺激兑现后，淡季需求的持续性和补库力度不佳，盘面短期有超卖出现，建议反弹做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815286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D2A64" w:rsidRPr="00ED2A64">
        <w:rPr>
          <w:rFonts w:ascii="楷体" w:eastAsia="楷体" w:hAnsi="楷体" w:hint="eastAsia"/>
          <w:b/>
          <w:color w:val="000000" w:themeColor="text1"/>
          <w:sz w:val="24"/>
          <w:szCs w:val="24"/>
        </w:rPr>
        <w:t>不确定性较多，日内宽幅震荡</w:t>
      </w:r>
      <w:bookmarkEnd w:id="42"/>
    </w:p>
    <w:p w:rsidR="00A71A7E" w:rsidRDefault="00ED2A64" w:rsidP="00A71A7E">
      <w:pPr>
        <w:ind w:leftChars="300" w:left="630"/>
        <w:rPr>
          <w:rFonts w:ascii="楷体" w:eastAsia="楷体" w:hAnsi="楷体"/>
          <w:bCs/>
          <w:sz w:val="24"/>
          <w:szCs w:val="24"/>
        </w:rPr>
      </w:pPr>
      <w:r w:rsidRPr="00ED2A64">
        <w:rPr>
          <w:rFonts w:ascii="楷体" w:eastAsia="楷体" w:hAnsi="楷体" w:hint="eastAsia"/>
          <w:color w:val="000000" w:themeColor="text1"/>
          <w:sz w:val="24"/>
          <w:szCs w:val="24"/>
        </w:rPr>
        <w:t>据隆众消息报道：今日国内纯碱市场价格无变化，供给端，周内部分装置未恢复，其余装置正常。7月江苏井神设备有减量计划。需求端，下游对高价纯碱抵触心理较强，刚需采购为主，下游有点火计划，重碱刚需量增加。连续三周去库后，库存维持低位，供需紧平衡，下有支撑。但远兴月底出产品，检修在7月，存在时间差，且产量和检修量不确定性较多，等待消息进一步明确，短期期价震荡偏弱</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815286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815286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94D36" w:rsidRPr="00794D36">
        <w:rPr>
          <w:rFonts w:ascii="楷体" w:eastAsia="楷体" w:hAnsi="楷体" w:hint="eastAsia"/>
          <w:b/>
          <w:sz w:val="24"/>
          <w:szCs w:val="24"/>
        </w:rPr>
        <w:t>震荡偏强运行，建议观望</w:t>
      </w:r>
      <w:bookmarkEnd w:id="44"/>
    </w:p>
    <w:p w:rsidR="003F56A5" w:rsidRDefault="00794D36">
      <w:pPr>
        <w:ind w:leftChars="300" w:left="630"/>
        <w:rPr>
          <w:rFonts w:ascii="楷体" w:eastAsia="楷体" w:hAnsi="楷体"/>
          <w:sz w:val="24"/>
          <w:szCs w:val="24"/>
        </w:rPr>
      </w:pPr>
      <w:r w:rsidRPr="00794D36">
        <w:rPr>
          <w:rFonts w:ascii="楷体" w:eastAsia="楷体" w:hAnsi="楷体" w:hint="eastAsia"/>
          <w:sz w:val="24"/>
          <w:szCs w:val="24"/>
        </w:rPr>
        <w:t>国际方面，近期天气炒作升温，叠加美豆压榨需求强劲，支撑CBOT大豆走强。但有预报显示近一周或有降雨出现，能否改善产区干旱情况仍待关注，当前最大的两个主产州伊利诺伊州及爱荷华州均有2/3的大豆面临干旱，整体美豆有超过51%的面积是干旱的。美豆优良率开局便不佳，截至6月12日，美豆优良率为59%，比一周前下滑3%，上年同期为70%。巴西当前基本完成收割，大豆销售量达到预期产量的58.6%，远低于去年同期的69.9%，6月出口预计达1476万吨。国内市场，随着当前大豆到港量增加，油厂已逐步恢复开机压榨，但压榨节奏表现有差异，华南地区现货报价较坚挺，主流油厂豆粕现货报价3890-3980元/吨。大豆4-6月到港量较大，5月进口到港1202万吨，环比增66%，阶段性供应压力仍待释放，但当前区域性油厂开机分化明显。下游养殖利润表现仍不佳，且在杂粕替代下饲企和养殖企业等对豆粕饲用需求增量有限，在后续供应宽松下，现货基差仍面临着下行压力。菜粕当前供给相对偏紧，虽油厂开机及压榨维持较高水平，但菜籽二季度后到港预计减少。而需求方面在近期天气逐步回暖后，为华南水产需求旺季，替代需求方面，豆粕价格上涨，菜粕性价比仍存，整体供需表现紧张。策略方面，短期预计偏强震荡，建议观望，可待回调后短多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8152869"/>
      <w:r>
        <w:rPr>
          <w:rFonts w:ascii="楷体" w:eastAsia="楷体" w:hAnsi="楷体" w:hint="eastAsia"/>
          <w:b/>
          <w:color w:val="000000" w:themeColor="text1"/>
          <w:sz w:val="24"/>
          <w:szCs w:val="24"/>
        </w:rPr>
        <w:t>油脂：</w:t>
      </w:r>
      <w:r w:rsidR="00794D36" w:rsidRPr="00794D36">
        <w:rPr>
          <w:rFonts w:ascii="楷体" w:eastAsia="楷体" w:hAnsi="楷体" w:hint="eastAsia"/>
          <w:b/>
          <w:sz w:val="24"/>
          <w:szCs w:val="24"/>
        </w:rPr>
        <w:t>偏强震荡，短期建议观望</w:t>
      </w:r>
      <w:bookmarkEnd w:id="45"/>
    </w:p>
    <w:p w:rsidR="003F56A5" w:rsidRDefault="00794D36" w:rsidP="00792D31">
      <w:pPr>
        <w:ind w:leftChars="300" w:left="630"/>
        <w:rPr>
          <w:rFonts w:ascii="楷体" w:eastAsia="楷体" w:hAnsi="楷体"/>
          <w:sz w:val="24"/>
          <w:szCs w:val="24"/>
        </w:rPr>
      </w:pPr>
      <w:r w:rsidRPr="00794D36">
        <w:rPr>
          <w:rFonts w:ascii="楷体" w:eastAsia="楷体" w:hAnsi="楷体" w:hint="eastAsia"/>
          <w:sz w:val="24"/>
          <w:szCs w:val="24"/>
        </w:rPr>
        <w:t>油脂近一周在天气炒作情绪升温，宏观压力缓解以及多头资金推动下，呈</w:t>
      </w:r>
      <w:r w:rsidRPr="00794D36">
        <w:rPr>
          <w:rFonts w:ascii="楷体" w:eastAsia="楷体" w:hAnsi="楷体" w:hint="eastAsia"/>
          <w:sz w:val="24"/>
          <w:szCs w:val="24"/>
        </w:rPr>
        <w:lastRenderedPageBreak/>
        <w:t>现强劲反弹态势，关注EPA政策落地，能否带来新的驱动。棕榈油，马棕5月产量呈现季节性回升至151.75万吨，环比增26.8%，棕榈油库存量为169万吨，环比增加12.63%，高于预期157-160万吨水平，其主要原因在于产量152万吨，高于预期；而出口则比预期表现得更加羸弱，几乎较4月没有体现出任何增长，5月出口量为107.9万吨。虽市场开始炒作厄尔尼诺现象，但中期无法改变产地棕榈油累库的趋势。国内棕榈油在需求增加及进口下滑下，库存稳步去化。但在近期产地报价下滑，国内进口利润有所修复，6-7月船期买船增加，去库速度或逐步放缓。需求端，随着气温回升虽利好棕榈油消费，且近期豆棕价差走阔替代需求或重回棕榈。豆油在供应修复预期下，压力仍存。虽5月初在大豆入关问题下，油厂开机不及预期，豆油供给修复缓慢。但随着5月下旬进口大豆到港增加，豆油供应存边际修复预期。需求，近一周豆棕价差走阔，或不利于豆油替代需求，在后续供应增加下，价格上方仍存压。菜油处于供强需弱格局，但后续供应压力边际减轻。随着进口加籽到港量维持高位，菜籽供应较稳定，4月菜籽进口60万吨，菜油进口31万吨，环比同比均增，且近期菜油进口利润打开，有新增买船，菜油供应较宽松。需求方面，在国产菜籽上市后，浓香菜油偏好增加，进口菜油去库仍需通过对竞争油脂替代来消耗。短期油脂走势与基本面背离，谨慎追多，做多菜豆价差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8152870"/>
      <w:r>
        <w:rPr>
          <w:rFonts w:ascii="楷体" w:eastAsia="楷体" w:hAnsi="楷体" w:hint="eastAsia"/>
          <w:b/>
          <w:bCs/>
          <w:color w:val="000000" w:themeColor="text1"/>
        </w:rPr>
        <w:t>玉米与淀粉：</w:t>
      </w:r>
      <w:r w:rsidR="00794D36" w:rsidRPr="00794D36">
        <w:rPr>
          <w:rFonts w:ascii="楷体" w:eastAsia="楷体" w:hAnsi="楷体" w:hint="eastAsia"/>
          <w:b/>
        </w:rPr>
        <w:t>国内期价短期调整</w:t>
      </w:r>
      <w:bookmarkEnd w:id="46"/>
    </w:p>
    <w:p w:rsidR="00794D36" w:rsidRPr="00794D36" w:rsidRDefault="00794D36" w:rsidP="00794D36">
      <w:pPr>
        <w:pStyle w:val="paragraph"/>
        <w:spacing w:before="60" w:after="60"/>
        <w:ind w:leftChars="300" w:left="630"/>
        <w:rPr>
          <w:rFonts w:ascii="楷体" w:eastAsia="楷体" w:hAnsi="楷体" w:hint="eastAsia"/>
        </w:rPr>
      </w:pPr>
      <w:r w:rsidRPr="00794D36">
        <w:rPr>
          <w:rFonts w:ascii="楷体" w:eastAsia="楷体" w:hAnsi="楷体" w:hint="eastAsia"/>
        </w:rPr>
        <w:t>对于玉米而言，在前期报告中，我们建议关注两个方面的上涨驱动，近期期价上涨更多源于前者，因美玉米产区天气干旱，导致美玉米优良率下滑，市场对美玉米产量前景产生担忧，这一方面需要继续跟踪。此外，后者即旧作被动补库存同样需要留意，因当前下游需求企业如饲料养殖企业与华北深加工企业原料库存偏低，而产销区倒挂大概率带动渠道库存去化。在这种情况下，我们维持谨慎看多，建议投资者持有前期多单。</w:t>
      </w:r>
    </w:p>
    <w:p w:rsidR="003F56A5" w:rsidRDefault="00794D36" w:rsidP="00794D36">
      <w:pPr>
        <w:pStyle w:val="paragraph"/>
        <w:spacing w:before="60" w:beforeAutospacing="0" w:after="60" w:afterAutospacing="0"/>
        <w:ind w:leftChars="300" w:left="630"/>
        <w:rPr>
          <w:rFonts w:ascii="楷体" w:eastAsia="楷体" w:hAnsi="楷体"/>
        </w:rPr>
      </w:pPr>
      <w:r w:rsidRPr="00794D36">
        <w:rPr>
          <w:rFonts w:ascii="楷体" w:eastAsia="楷体" w:hAnsi="楷体" w:hint="eastAsia"/>
        </w:rPr>
        <w:t>对于淀粉而言，近期淀粉-玉米价差变动不大，近月甚至有显著收窄，这主要源于两个方面，其一是供需端，行业库存绝对值处于高位，且近期去化放缓；其二是副产品价格，因美豆产区天气炒作有望带动豆粕期现货，继而推高副产品价格。但与此同时，淀粉基差和原料成本（华北-东北玉米价差）依然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8152871"/>
      <w:r>
        <w:rPr>
          <w:rFonts w:ascii="楷体" w:eastAsia="楷体" w:hAnsi="楷体" w:hint="eastAsia"/>
          <w:b/>
          <w:bCs/>
          <w:color w:val="000000" w:themeColor="text1"/>
        </w:rPr>
        <w:t>畜禽养殖：</w:t>
      </w:r>
      <w:r w:rsidR="00794D36" w:rsidRPr="00794D36">
        <w:rPr>
          <w:rFonts w:ascii="楷体" w:eastAsia="楷体" w:hAnsi="楷体" w:hint="eastAsia"/>
          <w:b/>
          <w:bCs/>
          <w:color w:val="000000" w:themeColor="text1"/>
        </w:rPr>
        <w:t>鸡蛋期价继续反弹</w:t>
      </w:r>
      <w:bookmarkEnd w:id="47"/>
    </w:p>
    <w:p w:rsidR="00794D36" w:rsidRPr="00794D36" w:rsidRDefault="00794D36" w:rsidP="00794D36">
      <w:pPr>
        <w:pStyle w:val="paragraph"/>
        <w:spacing w:before="60" w:after="60"/>
        <w:ind w:leftChars="300" w:left="630"/>
        <w:rPr>
          <w:rFonts w:ascii="楷体" w:eastAsia="楷体" w:hAnsi="楷体" w:hint="eastAsia"/>
        </w:rPr>
      </w:pPr>
      <w:r w:rsidRPr="00794D36">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w:t>
      </w:r>
      <w:r w:rsidRPr="00794D36">
        <w:rPr>
          <w:rFonts w:ascii="楷体" w:eastAsia="楷体" w:hAnsi="楷体" w:hint="eastAsia"/>
        </w:rPr>
        <w:lastRenderedPageBreak/>
        <w:t>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w:t>
      </w:r>
    </w:p>
    <w:p w:rsidR="003F56A5" w:rsidRDefault="00794D36" w:rsidP="00794D36">
      <w:pPr>
        <w:pStyle w:val="paragraph"/>
        <w:spacing w:before="60" w:beforeAutospacing="0" w:after="60" w:afterAutospacing="0"/>
        <w:ind w:leftChars="300" w:left="630"/>
        <w:rPr>
          <w:rFonts w:ascii="楷体" w:eastAsia="楷体" w:hAnsi="楷体"/>
        </w:rPr>
      </w:pPr>
      <w:r w:rsidRPr="00794D36">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8152872"/>
      <w:r>
        <w:rPr>
          <w:rFonts w:ascii="楷体" w:eastAsia="楷体" w:hAnsi="楷体" w:hint="eastAsia"/>
          <w:b/>
          <w:sz w:val="24"/>
          <w:szCs w:val="24"/>
        </w:rPr>
        <w:t>郑棉：</w:t>
      </w:r>
      <w:r w:rsidR="00ED2A64" w:rsidRPr="00ED2A64">
        <w:rPr>
          <w:rFonts w:ascii="楷体" w:eastAsia="楷体" w:hAnsi="楷体" w:hint="eastAsia"/>
          <w:b/>
          <w:sz w:val="24"/>
          <w:szCs w:val="24"/>
        </w:rPr>
        <w:t>预计09合约围绕16500震荡，观望</w:t>
      </w:r>
      <w:bookmarkEnd w:id="48"/>
    </w:p>
    <w:p w:rsidR="003F56A5" w:rsidRDefault="00ED2A64" w:rsidP="007B3290">
      <w:pPr>
        <w:ind w:leftChars="300" w:left="630"/>
        <w:rPr>
          <w:rFonts w:ascii="楷体" w:eastAsia="楷体" w:hAnsi="楷体"/>
          <w:sz w:val="24"/>
          <w:szCs w:val="24"/>
        </w:rPr>
      </w:pPr>
      <w:r w:rsidRPr="00ED2A64">
        <w:rPr>
          <w:rFonts w:ascii="楷体" w:eastAsia="楷体" w:hAnsi="楷体" w:hint="eastAsia"/>
          <w:sz w:val="24"/>
          <w:szCs w:val="24"/>
        </w:rPr>
        <w:t>据中国棉花信息网据调查，截至5月底纺织企业在库棉花工业库存量为 85.44 万吨，较上月底增加 14.88 万吨。纺织企业可支配棉花库存量为 131.34 万吨，较上月底增加 15.12 万吨。纱线和坯布库存皆增，不过增幅不大。从近期下游（非新疆地区）普遍亏损的情况看，产业或难以支撑1.7万以上的原料价格。国际棉花走势相对疲弱，内外价差继续扩大。市场传闻落地后，加上近期新疆种植天气有利棉花生长，郑棉缺乏继续上冲动能。掉头下试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DB" w:rsidRDefault="003A5DDB">
      <w:r>
        <w:separator/>
      </w:r>
    </w:p>
  </w:endnote>
  <w:endnote w:type="continuationSeparator" w:id="0">
    <w:p w:rsidR="003A5DDB" w:rsidRDefault="003A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181B555" wp14:editId="78165E9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D2A6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D2A64">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DB" w:rsidRDefault="003A5DDB">
      <w:r>
        <w:separator/>
      </w:r>
    </w:p>
  </w:footnote>
  <w:footnote w:type="continuationSeparator" w:id="0">
    <w:p w:rsidR="003A5DDB" w:rsidRDefault="003A5D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D137862" wp14:editId="5EFE013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D38739F" wp14:editId="49B8526F">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94D36">
      <w:rPr>
        <w:rFonts w:ascii="Times New Roman" w:eastAsia="楷体" w:hAnsi="Times New Roman" w:hint="eastAsia"/>
        <w:b/>
        <w:bCs/>
        <w:noProof/>
        <w:color w:val="833C0B"/>
        <w:sz w:val="21"/>
      </w:rPr>
      <w:t>2023</w:t>
    </w:r>
    <w:r w:rsidR="00794D36">
      <w:rPr>
        <w:rFonts w:ascii="Times New Roman" w:eastAsia="楷体" w:hAnsi="Times New Roman" w:hint="eastAsia"/>
        <w:b/>
        <w:bCs/>
        <w:noProof/>
        <w:color w:val="833C0B"/>
        <w:sz w:val="21"/>
      </w:rPr>
      <w:t>年</w:t>
    </w:r>
    <w:r w:rsidR="00794D36">
      <w:rPr>
        <w:rFonts w:ascii="Times New Roman" w:eastAsia="楷体" w:hAnsi="Times New Roman" w:hint="eastAsia"/>
        <w:b/>
        <w:bCs/>
        <w:noProof/>
        <w:color w:val="833C0B"/>
        <w:sz w:val="21"/>
      </w:rPr>
      <w:t>6</w:t>
    </w:r>
    <w:r w:rsidR="00794D36">
      <w:rPr>
        <w:rFonts w:ascii="Times New Roman" w:eastAsia="楷体" w:hAnsi="Times New Roman" w:hint="eastAsia"/>
        <w:b/>
        <w:bCs/>
        <w:noProof/>
        <w:color w:val="833C0B"/>
        <w:sz w:val="21"/>
      </w:rPr>
      <w:t>月</w:t>
    </w:r>
    <w:r w:rsidR="00794D36">
      <w:rPr>
        <w:rFonts w:ascii="Times New Roman" w:eastAsia="楷体" w:hAnsi="Times New Roman" w:hint="eastAsia"/>
        <w:b/>
        <w:bCs/>
        <w:noProof/>
        <w:color w:val="833C0B"/>
        <w:sz w:val="21"/>
      </w:rPr>
      <w:t>20</w:t>
    </w:r>
    <w:r w:rsidR="00794D36">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45E53"/>
    <w:rsid w:val="00D47039"/>
    <w:rsid w:val="00D55EAF"/>
    <w:rsid w:val="00D63655"/>
    <w:rsid w:val="00D75630"/>
    <w:rsid w:val="00D762B2"/>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2A64"/>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5EBFF-0032-4898-BFC2-F1B09C28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9</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12</cp:revision>
  <cp:lastPrinted>2023-06-08T02:23:00Z</cp:lastPrinted>
  <dcterms:created xsi:type="dcterms:W3CDTF">2022-11-15T10:06:00Z</dcterms:created>
  <dcterms:modified xsi:type="dcterms:W3CDTF">2023-06-20T03:26:00Z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