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bookmarkStart w:id="1" w:name="_GoBack"/>
      <w:bookmarkEnd w:id="1"/>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E4667F"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7815108" w:history="1">
            <w:r w:rsidR="00E4667F" w:rsidRPr="001F66DF">
              <w:rPr>
                <w:rStyle w:val="a9"/>
                <w:rFonts w:ascii="Times New Roman" w:eastAsia="楷体" w:hAnsi="Times New Roman"/>
                <w:b/>
                <w:noProof/>
              </w:rPr>
              <w:t>[</w:t>
            </w:r>
            <w:r w:rsidR="00E4667F" w:rsidRPr="001F66DF">
              <w:rPr>
                <w:rStyle w:val="a9"/>
                <w:rFonts w:ascii="Times New Roman" w:eastAsia="楷体" w:hAnsi="Times New Roman"/>
                <w:b/>
                <w:noProof/>
              </w:rPr>
              <w:t>金融</w:t>
            </w:r>
            <w:r w:rsidR="00E4667F" w:rsidRPr="001F66DF">
              <w:rPr>
                <w:rStyle w:val="a9"/>
                <w:rFonts w:ascii="Times New Roman" w:eastAsia="楷体" w:hAnsi="Times New Roman"/>
                <w:b/>
                <w:noProof/>
              </w:rPr>
              <w:t>]</w:t>
            </w:r>
          </w:hyperlink>
        </w:p>
        <w:p w:rsidR="00E4667F" w:rsidRDefault="00E4667F">
          <w:pPr>
            <w:pStyle w:val="23"/>
            <w:tabs>
              <w:tab w:val="right" w:leader="dot" w:pos="8296"/>
            </w:tabs>
            <w:rPr>
              <w:rFonts w:eastAsiaTheme="minorEastAsia"/>
              <w:noProof/>
              <w:szCs w:val="22"/>
            </w:rPr>
          </w:pPr>
          <w:hyperlink w:anchor="_Toc137815109" w:history="1">
            <w:r w:rsidRPr="001F66DF">
              <w:rPr>
                <w:rStyle w:val="a9"/>
                <w:rFonts w:ascii="Times New Roman" w:eastAsia="楷体" w:hAnsi="Times New Roman"/>
                <w:b/>
                <w:noProof/>
              </w:rPr>
              <w:t>股指：低多</w:t>
            </w:r>
            <w:r w:rsidRPr="001F66DF">
              <w:rPr>
                <w:rStyle w:val="a9"/>
                <w:rFonts w:ascii="Times New Roman" w:eastAsia="楷体" w:hAnsi="Times New Roman"/>
                <w:b/>
                <w:noProof/>
              </w:rPr>
              <w:t>IM</w:t>
            </w:r>
          </w:hyperlink>
        </w:p>
        <w:p w:rsidR="00E4667F" w:rsidRDefault="00E4667F">
          <w:pPr>
            <w:pStyle w:val="11"/>
            <w:tabs>
              <w:tab w:val="right" w:leader="dot" w:pos="8296"/>
            </w:tabs>
            <w:rPr>
              <w:rFonts w:eastAsiaTheme="minorEastAsia"/>
              <w:noProof/>
              <w:szCs w:val="22"/>
            </w:rPr>
          </w:pPr>
          <w:hyperlink w:anchor="_Toc137815110" w:history="1">
            <w:r w:rsidRPr="001F66DF">
              <w:rPr>
                <w:rStyle w:val="a9"/>
                <w:rFonts w:ascii="Times New Roman" w:eastAsia="楷体" w:hAnsi="Times New Roman"/>
                <w:b/>
                <w:noProof/>
              </w:rPr>
              <w:t>[</w:t>
            </w:r>
            <w:r w:rsidRPr="001F66DF">
              <w:rPr>
                <w:rStyle w:val="a9"/>
                <w:rFonts w:ascii="Times New Roman" w:eastAsia="楷体" w:hAnsi="Times New Roman"/>
                <w:b/>
                <w:noProof/>
              </w:rPr>
              <w:t>贵金属</w:t>
            </w:r>
            <w:r w:rsidRPr="001F66DF">
              <w:rPr>
                <w:rStyle w:val="a9"/>
                <w:rFonts w:ascii="Times New Roman" w:eastAsia="楷体" w:hAnsi="Times New Roman"/>
                <w:b/>
                <w:noProof/>
              </w:rPr>
              <w:t>]</w:t>
            </w:r>
          </w:hyperlink>
        </w:p>
        <w:p w:rsidR="00E4667F" w:rsidRDefault="00E4667F">
          <w:pPr>
            <w:pStyle w:val="23"/>
            <w:tabs>
              <w:tab w:val="right" w:leader="dot" w:pos="8296"/>
            </w:tabs>
            <w:rPr>
              <w:rFonts w:eastAsiaTheme="minorEastAsia"/>
              <w:noProof/>
              <w:szCs w:val="22"/>
            </w:rPr>
          </w:pPr>
          <w:hyperlink w:anchor="_Toc137815111" w:history="1">
            <w:r w:rsidRPr="001F66DF">
              <w:rPr>
                <w:rStyle w:val="a9"/>
                <w:rFonts w:ascii="Times New Roman" w:eastAsia="楷体" w:hAnsi="Times New Roman"/>
                <w:b/>
                <w:noProof/>
              </w:rPr>
              <w:t>贵金属：美联储暂停加息，鹰派表态令贵金属价格承压回落</w:t>
            </w:r>
          </w:hyperlink>
        </w:p>
        <w:p w:rsidR="00E4667F" w:rsidRDefault="00E4667F">
          <w:pPr>
            <w:pStyle w:val="11"/>
            <w:tabs>
              <w:tab w:val="right" w:leader="dot" w:pos="8296"/>
            </w:tabs>
            <w:rPr>
              <w:rFonts w:eastAsiaTheme="minorEastAsia"/>
              <w:noProof/>
              <w:szCs w:val="22"/>
            </w:rPr>
          </w:pPr>
          <w:hyperlink w:anchor="_Toc137815112" w:history="1">
            <w:r w:rsidRPr="001F66DF">
              <w:rPr>
                <w:rStyle w:val="a9"/>
                <w:rFonts w:ascii="Times New Roman" w:eastAsia="楷体" w:hAnsi="Times New Roman"/>
                <w:b/>
                <w:noProof/>
              </w:rPr>
              <w:t>[</w:t>
            </w:r>
            <w:r w:rsidRPr="001F66DF">
              <w:rPr>
                <w:rStyle w:val="a9"/>
                <w:rFonts w:ascii="Times New Roman" w:eastAsia="楷体" w:hAnsi="Times New Roman"/>
                <w:b/>
                <w:noProof/>
              </w:rPr>
              <w:t>金属</w:t>
            </w:r>
            <w:r w:rsidRPr="001F66DF">
              <w:rPr>
                <w:rStyle w:val="a9"/>
                <w:rFonts w:ascii="Times New Roman" w:eastAsia="楷体" w:hAnsi="Times New Roman"/>
                <w:b/>
                <w:noProof/>
              </w:rPr>
              <w:t>]</w:t>
            </w:r>
          </w:hyperlink>
        </w:p>
        <w:p w:rsidR="00E4667F" w:rsidRDefault="00E4667F">
          <w:pPr>
            <w:pStyle w:val="23"/>
            <w:tabs>
              <w:tab w:val="right" w:leader="dot" w:pos="8296"/>
            </w:tabs>
            <w:rPr>
              <w:rFonts w:eastAsiaTheme="minorEastAsia"/>
              <w:noProof/>
              <w:szCs w:val="22"/>
            </w:rPr>
          </w:pPr>
          <w:hyperlink w:anchor="_Toc137815113" w:history="1">
            <w:r w:rsidRPr="001F66DF">
              <w:rPr>
                <w:rStyle w:val="a9"/>
                <w:rFonts w:ascii="楷体" w:eastAsia="楷体" w:hAnsi="楷体"/>
                <w:b/>
                <w:noProof/>
              </w:rPr>
              <w:t>螺纹钢：数据披露期，波动放大</w:t>
            </w:r>
          </w:hyperlink>
        </w:p>
        <w:p w:rsidR="00E4667F" w:rsidRDefault="00E4667F">
          <w:pPr>
            <w:pStyle w:val="23"/>
            <w:tabs>
              <w:tab w:val="right" w:leader="dot" w:pos="8296"/>
            </w:tabs>
            <w:rPr>
              <w:rFonts w:eastAsiaTheme="minorEastAsia"/>
              <w:noProof/>
              <w:szCs w:val="22"/>
            </w:rPr>
          </w:pPr>
          <w:hyperlink w:anchor="_Toc137815114" w:history="1">
            <w:r w:rsidRPr="001F66DF">
              <w:rPr>
                <w:rStyle w:val="a9"/>
                <w:rFonts w:ascii="楷体" w:eastAsia="楷体" w:hAnsi="楷体"/>
                <w:b/>
                <w:noProof/>
              </w:rPr>
              <w:t>焦炭：期现共振走强，或继续偏强震荡</w:t>
            </w:r>
          </w:hyperlink>
        </w:p>
        <w:p w:rsidR="00E4667F" w:rsidRDefault="00E4667F">
          <w:pPr>
            <w:pStyle w:val="23"/>
            <w:tabs>
              <w:tab w:val="right" w:leader="dot" w:pos="8296"/>
            </w:tabs>
            <w:rPr>
              <w:rFonts w:eastAsiaTheme="minorEastAsia"/>
              <w:noProof/>
              <w:szCs w:val="22"/>
            </w:rPr>
          </w:pPr>
          <w:hyperlink w:anchor="_Toc137815115" w:history="1">
            <w:r w:rsidRPr="001F66DF">
              <w:rPr>
                <w:rStyle w:val="a9"/>
                <w:rFonts w:ascii="楷体" w:eastAsia="楷体" w:hAnsi="楷体"/>
                <w:b/>
                <w:noProof/>
              </w:rPr>
              <w:t>焦煤：期现共振下突破，或继续偏强震荡</w:t>
            </w:r>
          </w:hyperlink>
        </w:p>
        <w:p w:rsidR="00E4667F" w:rsidRDefault="00E4667F">
          <w:pPr>
            <w:pStyle w:val="23"/>
            <w:tabs>
              <w:tab w:val="right" w:leader="dot" w:pos="8296"/>
            </w:tabs>
            <w:rPr>
              <w:rFonts w:eastAsiaTheme="minorEastAsia"/>
              <w:noProof/>
              <w:szCs w:val="22"/>
            </w:rPr>
          </w:pPr>
          <w:hyperlink w:anchor="_Toc137815116" w:history="1">
            <w:r w:rsidRPr="001F66DF">
              <w:rPr>
                <w:rStyle w:val="a9"/>
                <w:rFonts w:ascii="楷体" w:eastAsia="楷体" w:hAnsi="楷体"/>
                <w:b/>
                <w:noProof/>
              </w:rPr>
              <w:t>铜：维持高位震荡</w:t>
            </w:r>
          </w:hyperlink>
        </w:p>
        <w:p w:rsidR="00E4667F" w:rsidRDefault="00E4667F">
          <w:pPr>
            <w:pStyle w:val="23"/>
            <w:tabs>
              <w:tab w:val="right" w:leader="dot" w:pos="8296"/>
            </w:tabs>
            <w:rPr>
              <w:rFonts w:eastAsiaTheme="minorEastAsia"/>
              <w:noProof/>
              <w:szCs w:val="22"/>
            </w:rPr>
          </w:pPr>
          <w:hyperlink w:anchor="_Toc137815117" w:history="1">
            <w:r w:rsidRPr="001F66DF">
              <w:rPr>
                <w:rStyle w:val="a9"/>
                <w:rFonts w:ascii="楷体" w:eastAsia="楷体" w:hAnsi="楷体"/>
                <w:b/>
                <w:noProof/>
              </w:rPr>
              <w:t>铝：宏观利多叠加社库去库支撑价格</w:t>
            </w:r>
          </w:hyperlink>
        </w:p>
        <w:p w:rsidR="00E4667F" w:rsidRDefault="00E4667F">
          <w:pPr>
            <w:pStyle w:val="23"/>
            <w:tabs>
              <w:tab w:val="right" w:leader="dot" w:pos="8296"/>
            </w:tabs>
            <w:rPr>
              <w:rFonts w:eastAsiaTheme="minorEastAsia"/>
              <w:noProof/>
              <w:szCs w:val="22"/>
            </w:rPr>
          </w:pPr>
          <w:hyperlink w:anchor="_Toc137815118" w:history="1">
            <w:r w:rsidRPr="001F66DF">
              <w:rPr>
                <w:rStyle w:val="a9"/>
                <w:rFonts w:ascii="楷体" w:eastAsia="楷体" w:hAnsi="楷体"/>
                <w:b/>
                <w:noProof/>
              </w:rPr>
              <w:t>锌：宏观叠加低库存支撑价格，建议逢高沽空</w:t>
            </w:r>
          </w:hyperlink>
        </w:p>
        <w:p w:rsidR="00E4667F" w:rsidRDefault="00E4667F">
          <w:pPr>
            <w:pStyle w:val="23"/>
            <w:tabs>
              <w:tab w:val="right" w:leader="dot" w:pos="8296"/>
            </w:tabs>
            <w:rPr>
              <w:rFonts w:eastAsiaTheme="minorEastAsia"/>
              <w:noProof/>
              <w:szCs w:val="22"/>
            </w:rPr>
          </w:pPr>
          <w:hyperlink w:anchor="_Toc137815119" w:history="1">
            <w:r w:rsidRPr="001F66DF">
              <w:rPr>
                <w:rStyle w:val="a9"/>
                <w:rFonts w:ascii="楷体" w:eastAsia="楷体" w:hAnsi="楷体"/>
                <w:b/>
                <w:noProof/>
              </w:rPr>
              <w:t>镍：下行趋势未变，维持反弹后逢高空思路</w:t>
            </w:r>
          </w:hyperlink>
        </w:p>
        <w:p w:rsidR="00E4667F" w:rsidRDefault="00E4667F">
          <w:pPr>
            <w:pStyle w:val="23"/>
            <w:tabs>
              <w:tab w:val="right" w:leader="dot" w:pos="8296"/>
            </w:tabs>
            <w:rPr>
              <w:rFonts w:eastAsiaTheme="minorEastAsia"/>
              <w:noProof/>
              <w:szCs w:val="22"/>
            </w:rPr>
          </w:pPr>
          <w:hyperlink w:anchor="_Toc137815120" w:history="1">
            <w:r w:rsidRPr="001F66DF">
              <w:rPr>
                <w:rStyle w:val="a9"/>
                <w:rFonts w:ascii="楷体" w:eastAsia="楷体" w:hAnsi="楷体"/>
                <w:b/>
                <w:noProof/>
              </w:rPr>
              <w:t>铅：供应压力走松，铅价延续区间震荡</w:t>
            </w:r>
          </w:hyperlink>
        </w:p>
        <w:p w:rsidR="00E4667F" w:rsidRDefault="00E4667F">
          <w:pPr>
            <w:pStyle w:val="23"/>
            <w:tabs>
              <w:tab w:val="right" w:leader="dot" w:pos="8296"/>
            </w:tabs>
            <w:rPr>
              <w:rFonts w:eastAsiaTheme="minorEastAsia"/>
              <w:noProof/>
              <w:szCs w:val="22"/>
            </w:rPr>
          </w:pPr>
          <w:hyperlink w:anchor="_Toc137815121" w:history="1">
            <w:r w:rsidRPr="001F66DF">
              <w:rPr>
                <w:rStyle w:val="a9"/>
                <w:rFonts w:ascii="楷体" w:eastAsia="楷体" w:hAnsi="楷体"/>
                <w:b/>
                <w:noProof/>
              </w:rPr>
              <w:t>不锈钢：本周社会库存转增，价格支撑边际转弱</w:t>
            </w:r>
          </w:hyperlink>
        </w:p>
        <w:p w:rsidR="00E4667F" w:rsidRDefault="00E4667F">
          <w:pPr>
            <w:pStyle w:val="23"/>
            <w:tabs>
              <w:tab w:val="right" w:leader="dot" w:pos="8296"/>
            </w:tabs>
            <w:rPr>
              <w:rFonts w:eastAsiaTheme="minorEastAsia"/>
              <w:noProof/>
              <w:szCs w:val="22"/>
            </w:rPr>
          </w:pPr>
          <w:hyperlink w:anchor="_Toc137815122" w:history="1">
            <w:r w:rsidRPr="001F66DF">
              <w:rPr>
                <w:rStyle w:val="a9"/>
                <w:rFonts w:ascii="楷体" w:eastAsia="楷体" w:hAnsi="楷体"/>
                <w:b/>
                <w:noProof/>
              </w:rPr>
              <w:t>工业硅：成本支撑逐步显现，预计市场持续下行空间有限</w:t>
            </w:r>
          </w:hyperlink>
        </w:p>
        <w:p w:rsidR="00E4667F" w:rsidRDefault="00E4667F">
          <w:pPr>
            <w:pStyle w:val="11"/>
            <w:tabs>
              <w:tab w:val="right" w:leader="dot" w:pos="8296"/>
            </w:tabs>
            <w:rPr>
              <w:rFonts w:eastAsiaTheme="minorEastAsia"/>
              <w:noProof/>
              <w:szCs w:val="22"/>
            </w:rPr>
          </w:pPr>
          <w:hyperlink w:anchor="_Toc137815123" w:history="1">
            <w:r w:rsidRPr="001F66DF">
              <w:rPr>
                <w:rStyle w:val="a9"/>
                <w:rFonts w:ascii="Times New Roman" w:eastAsia="楷体" w:hAnsi="Times New Roman"/>
                <w:b/>
                <w:noProof/>
              </w:rPr>
              <w:t>[</w:t>
            </w:r>
            <w:r w:rsidRPr="001F66DF">
              <w:rPr>
                <w:rStyle w:val="a9"/>
                <w:rFonts w:ascii="Times New Roman" w:eastAsia="楷体" w:hAnsi="Times New Roman"/>
                <w:b/>
                <w:noProof/>
              </w:rPr>
              <w:t>化工</w:t>
            </w:r>
            <w:r w:rsidRPr="001F66DF">
              <w:rPr>
                <w:rStyle w:val="a9"/>
                <w:rFonts w:ascii="Times New Roman" w:eastAsia="楷体" w:hAnsi="Times New Roman"/>
                <w:b/>
                <w:noProof/>
              </w:rPr>
              <w:t>]</w:t>
            </w:r>
          </w:hyperlink>
        </w:p>
        <w:p w:rsidR="00E4667F" w:rsidRDefault="00E4667F">
          <w:pPr>
            <w:pStyle w:val="23"/>
            <w:tabs>
              <w:tab w:val="right" w:leader="dot" w:pos="8296"/>
            </w:tabs>
            <w:rPr>
              <w:rFonts w:eastAsiaTheme="minorEastAsia"/>
              <w:noProof/>
              <w:szCs w:val="22"/>
            </w:rPr>
          </w:pPr>
          <w:hyperlink w:anchor="_Toc137815124" w:history="1">
            <w:r w:rsidRPr="001F66DF">
              <w:rPr>
                <w:rStyle w:val="a9"/>
                <w:rFonts w:ascii="Times New Roman" w:eastAsia="楷体" w:hAnsi="Times New Roman"/>
                <w:b/>
                <w:noProof/>
              </w:rPr>
              <w:t>天然橡胶</w:t>
            </w:r>
            <w:r w:rsidRPr="001F66DF">
              <w:rPr>
                <w:rStyle w:val="a9"/>
                <w:rFonts w:ascii="Times New Roman" w:eastAsia="楷体" w:hAnsi="Times New Roman"/>
                <w:b/>
                <w:noProof/>
              </w:rPr>
              <w:t>:</w:t>
            </w:r>
            <w:r w:rsidRPr="001F66DF">
              <w:rPr>
                <w:rStyle w:val="a9"/>
                <w:rFonts w:ascii="楷体" w:eastAsia="楷体" w:hAnsi="楷体"/>
                <w:b/>
                <w:noProof/>
              </w:rPr>
              <w:t xml:space="preserve"> 需求好转难以成为关注重点，RU维持震荡走势为主</w:t>
            </w:r>
          </w:hyperlink>
        </w:p>
        <w:p w:rsidR="00E4667F" w:rsidRDefault="00E4667F">
          <w:pPr>
            <w:pStyle w:val="23"/>
            <w:tabs>
              <w:tab w:val="right" w:leader="dot" w:pos="8296"/>
            </w:tabs>
            <w:rPr>
              <w:rFonts w:eastAsiaTheme="minorEastAsia"/>
              <w:noProof/>
              <w:szCs w:val="22"/>
            </w:rPr>
          </w:pPr>
          <w:hyperlink w:anchor="_Toc137815125" w:history="1">
            <w:r w:rsidRPr="001F66DF">
              <w:rPr>
                <w:rStyle w:val="a9"/>
                <w:rFonts w:ascii="楷体" w:eastAsia="楷体" w:hAnsi="楷体"/>
                <w:b/>
                <w:noProof/>
              </w:rPr>
              <w:t>PTA：成本油价趋弱 TA反弹空间受限</w:t>
            </w:r>
          </w:hyperlink>
        </w:p>
        <w:p w:rsidR="00E4667F" w:rsidRDefault="00E4667F">
          <w:pPr>
            <w:pStyle w:val="23"/>
            <w:tabs>
              <w:tab w:val="right" w:leader="dot" w:pos="8296"/>
            </w:tabs>
            <w:rPr>
              <w:rFonts w:eastAsiaTheme="minorEastAsia"/>
              <w:noProof/>
              <w:szCs w:val="22"/>
            </w:rPr>
          </w:pPr>
          <w:hyperlink w:anchor="_Toc137815126" w:history="1">
            <w:r w:rsidRPr="001F66DF">
              <w:rPr>
                <w:rStyle w:val="a9"/>
                <w:rFonts w:ascii="楷体" w:eastAsia="楷体" w:hAnsi="楷体"/>
                <w:b/>
                <w:noProof/>
              </w:rPr>
              <w:t>PVC：高库存+弱复苏 驱动不足</w:t>
            </w:r>
          </w:hyperlink>
        </w:p>
        <w:p w:rsidR="00E4667F" w:rsidRDefault="00E4667F">
          <w:pPr>
            <w:pStyle w:val="23"/>
            <w:tabs>
              <w:tab w:val="right" w:leader="dot" w:pos="8296"/>
            </w:tabs>
            <w:rPr>
              <w:rFonts w:eastAsiaTheme="minorEastAsia"/>
              <w:noProof/>
              <w:szCs w:val="22"/>
            </w:rPr>
          </w:pPr>
          <w:hyperlink w:anchor="_Toc137815127" w:history="1">
            <w:r w:rsidRPr="001F66DF">
              <w:rPr>
                <w:rStyle w:val="a9"/>
                <w:rFonts w:ascii="楷体" w:eastAsia="楷体" w:hAnsi="楷体"/>
                <w:b/>
                <w:noProof/>
              </w:rPr>
              <w:t>聚烯烃：成本支撑减弱 聚烯烃或偏弱震荡</w:t>
            </w:r>
          </w:hyperlink>
        </w:p>
        <w:p w:rsidR="00E4667F" w:rsidRDefault="00E4667F">
          <w:pPr>
            <w:pStyle w:val="23"/>
            <w:tabs>
              <w:tab w:val="right" w:leader="dot" w:pos="8296"/>
            </w:tabs>
            <w:rPr>
              <w:rFonts w:eastAsiaTheme="minorEastAsia"/>
              <w:noProof/>
              <w:szCs w:val="22"/>
            </w:rPr>
          </w:pPr>
          <w:hyperlink w:anchor="_Toc137815128" w:history="1">
            <w:r w:rsidRPr="001F66DF">
              <w:rPr>
                <w:rStyle w:val="a9"/>
                <w:rFonts w:ascii="楷体" w:eastAsia="楷体" w:hAnsi="楷体"/>
                <w:b/>
                <w:noProof/>
              </w:rPr>
              <w:t>MEG：成本下行供应增加 09合约上行驱动不足</w:t>
            </w:r>
          </w:hyperlink>
        </w:p>
        <w:p w:rsidR="00E4667F" w:rsidRDefault="00E4667F">
          <w:pPr>
            <w:pStyle w:val="23"/>
            <w:tabs>
              <w:tab w:val="right" w:leader="dot" w:pos="8296"/>
            </w:tabs>
            <w:rPr>
              <w:rFonts w:eastAsiaTheme="minorEastAsia"/>
              <w:noProof/>
              <w:szCs w:val="22"/>
            </w:rPr>
          </w:pPr>
          <w:hyperlink w:anchor="_Toc137815129" w:history="1">
            <w:r w:rsidRPr="001F66DF">
              <w:rPr>
                <w:rStyle w:val="a9"/>
                <w:rFonts w:ascii="楷体" w:eastAsia="楷体" w:hAnsi="楷体"/>
                <w:b/>
                <w:noProof/>
              </w:rPr>
              <w:t>玻璃：近期点火较多，需求保持刚需</w:t>
            </w:r>
          </w:hyperlink>
        </w:p>
        <w:p w:rsidR="00E4667F" w:rsidRDefault="00E4667F">
          <w:pPr>
            <w:pStyle w:val="23"/>
            <w:tabs>
              <w:tab w:val="right" w:leader="dot" w:pos="8296"/>
            </w:tabs>
            <w:rPr>
              <w:rFonts w:eastAsiaTheme="minorEastAsia"/>
              <w:noProof/>
              <w:szCs w:val="22"/>
            </w:rPr>
          </w:pPr>
          <w:hyperlink w:anchor="_Toc137815130" w:history="1">
            <w:r w:rsidRPr="001F66DF">
              <w:rPr>
                <w:rStyle w:val="a9"/>
                <w:rFonts w:ascii="楷体" w:eastAsia="楷体" w:hAnsi="楷体"/>
                <w:b/>
                <w:noProof/>
              </w:rPr>
              <w:t>纯碱：上方压力明显，日内波动加剧</w:t>
            </w:r>
          </w:hyperlink>
        </w:p>
        <w:p w:rsidR="00E4667F" w:rsidRDefault="00E4667F">
          <w:pPr>
            <w:pStyle w:val="11"/>
            <w:tabs>
              <w:tab w:val="right" w:leader="dot" w:pos="8296"/>
            </w:tabs>
            <w:rPr>
              <w:rFonts w:eastAsiaTheme="minorEastAsia"/>
              <w:noProof/>
              <w:szCs w:val="22"/>
            </w:rPr>
          </w:pPr>
          <w:hyperlink w:anchor="_Toc137815131" w:history="1">
            <w:r w:rsidRPr="001F66DF">
              <w:rPr>
                <w:rStyle w:val="a9"/>
                <w:rFonts w:ascii="Times New Roman" w:eastAsia="楷体" w:hAnsi="Times New Roman"/>
                <w:b/>
                <w:noProof/>
              </w:rPr>
              <w:t>[</w:t>
            </w:r>
            <w:r w:rsidRPr="001F66DF">
              <w:rPr>
                <w:rStyle w:val="a9"/>
                <w:rFonts w:ascii="Times New Roman" w:eastAsia="楷体" w:hAnsi="Times New Roman"/>
                <w:b/>
                <w:noProof/>
              </w:rPr>
              <w:t>农产品</w:t>
            </w:r>
            <w:r w:rsidRPr="001F66DF">
              <w:rPr>
                <w:rStyle w:val="a9"/>
                <w:rFonts w:ascii="Times New Roman" w:eastAsia="楷体" w:hAnsi="Times New Roman"/>
                <w:b/>
                <w:noProof/>
              </w:rPr>
              <w:t>]</w:t>
            </w:r>
          </w:hyperlink>
        </w:p>
        <w:p w:rsidR="00E4667F" w:rsidRDefault="00E4667F">
          <w:pPr>
            <w:pStyle w:val="23"/>
            <w:tabs>
              <w:tab w:val="right" w:leader="dot" w:pos="8296"/>
            </w:tabs>
            <w:rPr>
              <w:rFonts w:eastAsiaTheme="minorEastAsia"/>
              <w:noProof/>
              <w:szCs w:val="22"/>
            </w:rPr>
          </w:pPr>
          <w:hyperlink w:anchor="_Toc137815132" w:history="1">
            <w:r w:rsidRPr="001F66DF">
              <w:rPr>
                <w:rStyle w:val="a9"/>
                <w:rFonts w:ascii="楷体" w:eastAsia="楷体" w:hAnsi="楷体"/>
                <w:b/>
                <w:noProof/>
              </w:rPr>
              <w:t>豆粕/菜粕：09突破3600附近压力，基差进一步收敛</w:t>
            </w:r>
          </w:hyperlink>
        </w:p>
        <w:p w:rsidR="00E4667F" w:rsidRDefault="00E4667F">
          <w:pPr>
            <w:pStyle w:val="23"/>
            <w:tabs>
              <w:tab w:val="right" w:leader="dot" w:pos="8296"/>
            </w:tabs>
            <w:rPr>
              <w:rFonts w:eastAsiaTheme="minorEastAsia"/>
              <w:noProof/>
              <w:szCs w:val="22"/>
            </w:rPr>
          </w:pPr>
          <w:hyperlink w:anchor="_Toc137815133" w:history="1">
            <w:r w:rsidRPr="001F66DF">
              <w:rPr>
                <w:rStyle w:val="a9"/>
                <w:rFonts w:ascii="楷体" w:eastAsia="楷体" w:hAnsi="楷体"/>
                <w:b/>
                <w:noProof/>
              </w:rPr>
              <w:t>油脂：短期宏观情绪提振，但基本面未改变</w:t>
            </w:r>
          </w:hyperlink>
        </w:p>
        <w:p w:rsidR="00E4667F" w:rsidRDefault="00E4667F">
          <w:pPr>
            <w:pStyle w:val="23"/>
            <w:tabs>
              <w:tab w:val="right" w:leader="dot" w:pos="8296"/>
            </w:tabs>
            <w:rPr>
              <w:rFonts w:eastAsiaTheme="minorEastAsia"/>
              <w:noProof/>
              <w:szCs w:val="22"/>
            </w:rPr>
          </w:pPr>
          <w:hyperlink w:anchor="_Toc137815134" w:history="1">
            <w:r w:rsidRPr="001F66DF">
              <w:rPr>
                <w:rStyle w:val="a9"/>
                <w:rFonts w:ascii="楷体" w:eastAsia="楷体" w:hAnsi="楷体"/>
                <w:b/>
                <w:bCs/>
                <w:noProof/>
              </w:rPr>
              <w:t>玉米与淀粉：</w:t>
            </w:r>
            <w:r w:rsidRPr="001F66DF">
              <w:rPr>
                <w:rStyle w:val="a9"/>
                <w:rFonts w:ascii="楷体" w:eastAsia="楷体" w:hAnsi="楷体"/>
                <w:b/>
                <w:noProof/>
              </w:rPr>
              <w:t>外盘天气炒作带来期价上涨驱动</w:t>
            </w:r>
          </w:hyperlink>
        </w:p>
        <w:p w:rsidR="00E4667F" w:rsidRDefault="00E4667F">
          <w:pPr>
            <w:pStyle w:val="23"/>
            <w:tabs>
              <w:tab w:val="right" w:leader="dot" w:pos="8296"/>
            </w:tabs>
            <w:rPr>
              <w:rFonts w:eastAsiaTheme="minorEastAsia"/>
              <w:noProof/>
              <w:szCs w:val="22"/>
            </w:rPr>
          </w:pPr>
          <w:hyperlink w:anchor="_Toc137815135" w:history="1">
            <w:r w:rsidRPr="001F66DF">
              <w:rPr>
                <w:rStyle w:val="a9"/>
                <w:rFonts w:ascii="楷体" w:eastAsia="楷体" w:hAnsi="楷体"/>
                <w:b/>
                <w:bCs/>
                <w:noProof/>
              </w:rPr>
              <w:t>畜禽养殖：期价震荡分化运行</w:t>
            </w:r>
          </w:hyperlink>
        </w:p>
        <w:p w:rsidR="00E4667F" w:rsidRDefault="00E4667F">
          <w:pPr>
            <w:pStyle w:val="23"/>
            <w:tabs>
              <w:tab w:val="right" w:leader="dot" w:pos="8296"/>
            </w:tabs>
            <w:rPr>
              <w:rFonts w:eastAsiaTheme="minorEastAsia"/>
              <w:noProof/>
              <w:szCs w:val="22"/>
            </w:rPr>
          </w:pPr>
          <w:hyperlink w:anchor="_Toc137815136" w:history="1">
            <w:r w:rsidRPr="001F66DF">
              <w:rPr>
                <w:rStyle w:val="a9"/>
                <w:rFonts w:ascii="楷体" w:eastAsia="楷体" w:hAnsi="楷体"/>
                <w:b/>
                <w:noProof/>
              </w:rPr>
              <w:t>郑棉：预计09合约震荡整理，观望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3781510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37815109"/>
      <w:bookmarkEnd w:id="4"/>
      <w:r>
        <w:rPr>
          <w:rFonts w:ascii="Times New Roman" w:eastAsia="楷体" w:hAnsi="Times New Roman" w:hint="eastAsia"/>
          <w:b/>
          <w:color w:val="000000" w:themeColor="text1"/>
          <w:sz w:val="24"/>
          <w:szCs w:val="24"/>
        </w:rPr>
        <w:t>股指：</w:t>
      </w:r>
      <w:bookmarkEnd w:id="6"/>
      <w:bookmarkEnd w:id="7"/>
      <w:r w:rsidR="006F6553" w:rsidRPr="006F6553">
        <w:rPr>
          <w:rFonts w:ascii="Times New Roman" w:eastAsia="楷体" w:hAnsi="Times New Roman" w:hint="eastAsia"/>
          <w:b/>
          <w:color w:val="000000" w:themeColor="text1"/>
          <w:sz w:val="24"/>
          <w:szCs w:val="24"/>
        </w:rPr>
        <w:t>低多</w:t>
      </w:r>
      <w:r w:rsidR="006F6553" w:rsidRPr="006F6553">
        <w:rPr>
          <w:rFonts w:ascii="Times New Roman" w:eastAsia="楷体" w:hAnsi="Times New Roman" w:hint="eastAsia"/>
          <w:b/>
          <w:color w:val="000000" w:themeColor="text1"/>
          <w:sz w:val="24"/>
          <w:szCs w:val="24"/>
        </w:rPr>
        <w:t>IM</w:t>
      </w:r>
      <w:bookmarkEnd w:id="8"/>
    </w:p>
    <w:p w:rsidR="003F56A5" w:rsidRDefault="006F6553">
      <w:pPr>
        <w:ind w:leftChars="300" w:left="630"/>
        <w:rPr>
          <w:rFonts w:ascii="Times New Roman" w:eastAsia="楷体" w:hAnsi="Times New Roman"/>
          <w:color w:val="000000" w:themeColor="text1"/>
          <w:sz w:val="24"/>
          <w:szCs w:val="24"/>
        </w:rPr>
      </w:pPr>
      <w:r w:rsidRPr="006F6553">
        <w:rPr>
          <w:rFonts w:ascii="Times New Roman" w:eastAsia="楷体" w:hAnsi="Times New Roman" w:hint="eastAsia"/>
          <w:color w:val="000000" w:themeColor="text1"/>
          <w:sz w:val="24"/>
          <w:szCs w:val="24"/>
        </w:rPr>
        <w:t>美联储</w:t>
      </w:r>
      <w:r w:rsidRPr="006F6553">
        <w:rPr>
          <w:rFonts w:ascii="Times New Roman" w:eastAsia="楷体" w:hAnsi="Times New Roman" w:hint="eastAsia"/>
          <w:color w:val="000000" w:themeColor="text1"/>
          <w:sz w:val="24"/>
          <w:szCs w:val="24"/>
        </w:rPr>
        <w:t>6</w:t>
      </w:r>
      <w:r w:rsidRPr="006F6553">
        <w:rPr>
          <w:rFonts w:ascii="Times New Roman" w:eastAsia="楷体" w:hAnsi="Times New Roman" w:hint="eastAsia"/>
          <w:color w:val="000000" w:themeColor="text1"/>
          <w:sz w:val="24"/>
          <w:szCs w:val="24"/>
        </w:rPr>
        <w:t>月如期暂停加息，但总体表述略偏鹰派，美国务卿访华，中美关系存转好迹象，提振市场风险偏好。国内逆回购超预期降息，</w:t>
      </w:r>
      <w:r w:rsidRPr="006F6553">
        <w:rPr>
          <w:rFonts w:ascii="Times New Roman" w:eastAsia="楷体" w:hAnsi="Times New Roman" w:hint="eastAsia"/>
          <w:color w:val="000000" w:themeColor="text1"/>
          <w:sz w:val="24"/>
          <w:szCs w:val="24"/>
        </w:rPr>
        <w:t xml:space="preserve"> 5</w:t>
      </w:r>
      <w:r w:rsidRPr="006F6553">
        <w:rPr>
          <w:rFonts w:ascii="Times New Roman" w:eastAsia="楷体" w:hAnsi="Times New Roman" w:hint="eastAsia"/>
          <w:color w:val="000000" w:themeColor="text1"/>
          <w:sz w:val="24"/>
          <w:szCs w:val="24"/>
        </w:rPr>
        <w:t>月经济、金融数据走弱，为市场预期后续逆周期政策发力打开空间，流动性宽松下小盘成长相对占优</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3781511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37815111"/>
      <w:r>
        <w:rPr>
          <w:rFonts w:ascii="Times New Roman" w:eastAsia="楷体" w:hAnsi="Times New Roman" w:hint="eastAsia"/>
          <w:b/>
          <w:color w:val="000000" w:themeColor="text1"/>
          <w:sz w:val="24"/>
          <w:szCs w:val="24"/>
        </w:rPr>
        <w:t>贵金属：</w:t>
      </w:r>
      <w:r w:rsidR="006F6553" w:rsidRPr="006F6553">
        <w:rPr>
          <w:rFonts w:ascii="Times New Roman" w:eastAsia="楷体" w:hAnsi="Times New Roman" w:hint="eastAsia"/>
          <w:b/>
          <w:color w:val="000000" w:themeColor="text1"/>
          <w:sz w:val="24"/>
          <w:szCs w:val="24"/>
        </w:rPr>
        <w:t>美联储暂停加息，鹰派表态令贵金属价格承压回落</w:t>
      </w:r>
      <w:bookmarkEnd w:id="10"/>
    </w:p>
    <w:p w:rsidR="003F56A5" w:rsidRDefault="006F6553">
      <w:pPr>
        <w:ind w:leftChars="300" w:left="630"/>
        <w:rPr>
          <w:rFonts w:ascii="Times New Roman" w:eastAsia="楷体" w:hAnsi="Times New Roman"/>
          <w:sz w:val="24"/>
          <w:szCs w:val="24"/>
        </w:rPr>
      </w:pPr>
      <w:r w:rsidRPr="006F6553">
        <w:rPr>
          <w:rFonts w:ascii="Times New Roman" w:eastAsia="楷体" w:hAnsi="Times New Roman" w:hint="eastAsia"/>
          <w:color w:val="000000" w:themeColor="text1"/>
          <w:sz w:val="24"/>
          <w:szCs w:val="24"/>
        </w:rPr>
        <w:t>美联储决定</w:t>
      </w:r>
      <w:r w:rsidRPr="006F6553">
        <w:rPr>
          <w:rFonts w:ascii="Times New Roman" w:eastAsia="楷体" w:hAnsi="Times New Roman" w:hint="eastAsia"/>
          <w:color w:val="000000" w:themeColor="text1"/>
          <w:sz w:val="24"/>
          <w:szCs w:val="24"/>
        </w:rPr>
        <w:t>6</w:t>
      </w:r>
      <w:r w:rsidRPr="006F6553">
        <w:rPr>
          <w:rFonts w:ascii="Times New Roman" w:eastAsia="楷体" w:hAnsi="Times New Roman" w:hint="eastAsia"/>
          <w:color w:val="000000" w:themeColor="text1"/>
          <w:sz w:val="24"/>
          <w:szCs w:val="24"/>
        </w:rPr>
        <w:t>月暂缓计息，利率点阵图显示联储官员预计年内仍有两次各</w:t>
      </w:r>
      <w:r w:rsidRPr="006F6553">
        <w:rPr>
          <w:rFonts w:ascii="Times New Roman" w:eastAsia="楷体" w:hAnsi="Times New Roman" w:hint="eastAsia"/>
          <w:color w:val="000000" w:themeColor="text1"/>
          <w:sz w:val="24"/>
          <w:szCs w:val="24"/>
        </w:rPr>
        <w:t>25bp</w:t>
      </w:r>
      <w:r w:rsidRPr="006F6553">
        <w:rPr>
          <w:rFonts w:ascii="Times New Roman" w:eastAsia="楷体" w:hAnsi="Times New Roman" w:hint="eastAsia"/>
          <w:color w:val="000000" w:themeColor="text1"/>
          <w:sz w:val="24"/>
          <w:szCs w:val="24"/>
        </w:rPr>
        <w:t>的加息。鲍威尔主席表示近期数据表现超出预期，预计经济维持温和增长，存在实现软着陆的路径，</w:t>
      </w:r>
      <w:r w:rsidRPr="006F6553">
        <w:rPr>
          <w:rFonts w:ascii="Times New Roman" w:eastAsia="楷体" w:hAnsi="Times New Roman" w:hint="eastAsia"/>
          <w:color w:val="000000" w:themeColor="text1"/>
          <w:sz w:val="24"/>
          <w:szCs w:val="24"/>
        </w:rPr>
        <w:t>7</w:t>
      </w:r>
      <w:r w:rsidRPr="006F6553">
        <w:rPr>
          <w:rFonts w:ascii="Times New Roman" w:eastAsia="楷体" w:hAnsi="Times New Roman" w:hint="eastAsia"/>
          <w:color w:val="000000" w:themeColor="text1"/>
          <w:sz w:val="24"/>
          <w:szCs w:val="24"/>
        </w:rPr>
        <w:t>月将根据情况决定是否加息，且今年不考虑降息。美国</w:t>
      </w:r>
      <w:r w:rsidRPr="006F6553">
        <w:rPr>
          <w:rFonts w:ascii="Times New Roman" w:eastAsia="楷体" w:hAnsi="Times New Roman" w:hint="eastAsia"/>
          <w:color w:val="000000" w:themeColor="text1"/>
          <w:sz w:val="24"/>
          <w:szCs w:val="24"/>
        </w:rPr>
        <w:t>5</w:t>
      </w:r>
      <w:r w:rsidRPr="006F6553">
        <w:rPr>
          <w:rFonts w:ascii="Times New Roman" w:eastAsia="楷体" w:hAnsi="Times New Roman" w:hint="eastAsia"/>
          <w:color w:val="000000" w:themeColor="text1"/>
          <w:sz w:val="24"/>
          <w:szCs w:val="24"/>
        </w:rPr>
        <w:t>月</w:t>
      </w:r>
      <w:r w:rsidRPr="006F6553">
        <w:rPr>
          <w:rFonts w:ascii="Times New Roman" w:eastAsia="楷体" w:hAnsi="Times New Roman" w:hint="eastAsia"/>
          <w:color w:val="000000" w:themeColor="text1"/>
          <w:sz w:val="24"/>
          <w:szCs w:val="24"/>
        </w:rPr>
        <w:t>PPI</w:t>
      </w:r>
      <w:r w:rsidRPr="006F6553">
        <w:rPr>
          <w:rFonts w:ascii="Times New Roman" w:eastAsia="楷体" w:hAnsi="Times New Roman" w:hint="eastAsia"/>
          <w:color w:val="000000" w:themeColor="text1"/>
          <w:sz w:val="24"/>
          <w:szCs w:val="24"/>
        </w:rPr>
        <w:t>同比增</w:t>
      </w:r>
      <w:r w:rsidRPr="006F6553">
        <w:rPr>
          <w:rFonts w:ascii="Times New Roman" w:eastAsia="楷体" w:hAnsi="Times New Roman" w:hint="eastAsia"/>
          <w:color w:val="000000" w:themeColor="text1"/>
          <w:sz w:val="24"/>
          <w:szCs w:val="24"/>
        </w:rPr>
        <w:t>1.1%</w:t>
      </w:r>
      <w:r w:rsidRPr="006F6553">
        <w:rPr>
          <w:rFonts w:ascii="Times New Roman" w:eastAsia="楷体" w:hAnsi="Times New Roman" w:hint="eastAsia"/>
          <w:color w:val="000000" w:themeColor="text1"/>
          <w:sz w:val="24"/>
          <w:szCs w:val="24"/>
        </w:rPr>
        <w:t>，环比降</w:t>
      </w:r>
      <w:r w:rsidRPr="006F6553">
        <w:rPr>
          <w:rFonts w:ascii="Times New Roman" w:eastAsia="楷体" w:hAnsi="Times New Roman" w:hint="eastAsia"/>
          <w:color w:val="000000" w:themeColor="text1"/>
          <w:sz w:val="24"/>
          <w:szCs w:val="24"/>
        </w:rPr>
        <w:t>0.3%</w:t>
      </w:r>
      <w:r w:rsidRPr="006F6553">
        <w:rPr>
          <w:rFonts w:ascii="Times New Roman" w:eastAsia="楷体" w:hAnsi="Times New Roman" w:hint="eastAsia"/>
          <w:color w:val="000000" w:themeColor="text1"/>
          <w:sz w:val="24"/>
          <w:szCs w:val="24"/>
        </w:rPr>
        <w:t>。美联储主席表态及利率点阵图预测偏向鹰派，受此影响</w:t>
      </w:r>
      <w:r w:rsidRPr="006F6553">
        <w:rPr>
          <w:rFonts w:ascii="Times New Roman" w:eastAsia="楷体" w:hAnsi="Times New Roman" w:hint="eastAsia"/>
          <w:color w:val="000000" w:themeColor="text1"/>
          <w:sz w:val="24"/>
          <w:szCs w:val="24"/>
        </w:rPr>
        <w:t>COMEX</w:t>
      </w:r>
      <w:r w:rsidRPr="006F6553">
        <w:rPr>
          <w:rFonts w:ascii="Times New Roman" w:eastAsia="楷体" w:hAnsi="Times New Roman" w:hint="eastAsia"/>
          <w:color w:val="000000" w:themeColor="text1"/>
          <w:sz w:val="24"/>
          <w:szCs w:val="24"/>
        </w:rPr>
        <w:t>金价回落至</w:t>
      </w:r>
      <w:r w:rsidRPr="006F6553">
        <w:rPr>
          <w:rFonts w:ascii="Times New Roman" w:eastAsia="楷体" w:hAnsi="Times New Roman" w:hint="eastAsia"/>
          <w:color w:val="000000" w:themeColor="text1"/>
          <w:sz w:val="24"/>
          <w:szCs w:val="24"/>
        </w:rPr>
        <w:t>1955</w:t>
      </w:r>
      <w:r w:rsidRPr="006F6553">
        <w:rPr>
          <w:rFonts w:ascii="Times New Roman" w:eastAsia="楷体" w:hAnsi="Times New Roman" w:hint="eastAsia"/>
          <w:color w:val="000000" w:themeColor="text1"/>
          <w:sz w:val="24"/>
          <w:szCs w:val="24"/>
        </w:rPr>
        <w:t>美元</w:t>
      </w:r>
      <w:r w:rsidRPr="006F6553">
        <w:rPr>
          <w:rFonts w:ascii="Times New Roman" w:eastAsia="楷体" w:hAnsi="Times New Roman" w:hint="eastAsia"/>
          <w:color w:val="000000" w:themeColor="text1"/>
          <w:sz w:val="24"/>
          <w:szCs w:val="24"/>
        </w:rPr>
        <w:t>/</w:t>
      </w:r>
      <w:r w:rsidRPr="006F6553">
        <w:rPr>
          <w:rFonts w:ascii="Times New Roman" w:eastAsia="楷体" w:hAnsi="Times New Roman" w:hint="eastAsia"/>
          <w:color w:val="000000" w:themeColor="text1"/>
          <w:sz w:val="24"/>
          <w:szCs w:val="24"/>
        </w:rPr>
        <w:t>盎司，沪金夜盘高开低走、沪银窄幅震荡。美国政策利率峰值及衰退时点后移，中长期内贵金属仍受避险需求所提振，短线消息面因素利空落地后可逐步增配</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3781511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37815113"/>
      <w:r>
        <w:rPr>
          <w:rFonts w:ascii="楷体" w:eastAsia="楷体" w:hAnsi="楷体" w:hint="eastAsia"/>
          <w:b/>
          <w:color w:val="000000" w:themeColor="text1"/>
          <w:sz w:val="24"/>
          <w:szCs w:val="24"/>
        </w:rPr>
        <w:t>螺纹钢：</w:t>
      </w:r>
      <w:bookmarkEnd w:id="16"/>
      <w:bookmarkEnd w:id="17"/>
      <w:r w:rsidR="006F6553" w:rsidRPr="006F6553">
        <w:rPr>
          <w:rFonts w:ascii="楷体" w:eastAsia="楷体" w:hAnsi="楷体" w:hint="eastAsia"/>
          <w:b/>
          <w:color w:val="000000" w:themeColor="text1"/>
          <w:sz w:val="24"/>
          <w:szCs w:val="24"/>
        </w:rPr>
        <w:t>数据披露期，波动放大</w:t>
      </w:r>
      <w:bookmarkEnd w:id="18"/>
    </w:p>
    <w:p w:rsidR="003F56A5" w:rsidRDefault="006F6553">
      <w:pPr>
        <w:ind w:leftChars="300" w:left="630"/>
        <w:rPr>
          <w:rFonts w:ascii="楷体" w:eastAsia="楷体" w:hAnsi="楷体"/>
          <w:color w:val="000000" w:themeColor="text1"/>
          <w:sz w:val="24"/>
          <w:szCs w:val="24"/>
        </w:rPr>
      </w:pPr>
      <w:r w:rsidRPr="006F6553">
        <w:rPr>
          <w:rFonts w:ascii="楷体" w:eastAsia="楷体" w:hAnsi="楷体" w:hint="eastAsia"/>
          <w:color w:val="000000" w:themeColor="text1"/>
          <w:sz w:val="24"/>
          <w:szCs w:val="24"/>
        </w:rPr>
        <w:t>美联储6月加息整体符合市场预期，但对未来利率中枢的上调让市场对未来市场加息的预期较为混乱。今日上午披露国内经济数据，下午披露当周产销数据，预计市场波动或有所放大。整体仍震荡偏强，预计震荡区间（3680,3790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37815114"/>
      <w:r>
        <w:rPr>
          <w:rFonts w:ascii="楷体" w:eastAsia="楷体" w:hAnsi="楷体" w:hint="eastAsia"/>
          <w:b/>
          <w:color w:val="000000" w:themeColor="text1"/>
          <w:sz w:val="24"/>
          <w:szCs w:val="24"/>
        </w:rPr>
        <w:t>焦炭：</w:t>
      </w:r>
      <w:bookmarkEnd w:id="19"/>
      <w:bookmarkEnd w:id="20"/>
      <w:r w:rsidR="006F6553" w:rsidRPr="006F6553">
        <w:rPr>
          <w:rFonts w:ascii="楷体" w:eastAsia="楷体" w:hAnsi="楷体" w:hint="eastAsia"/>
          <w:b/>
          <w:color w:val="000000" w:themeColor="text1"/>
          <w:sz w:val="24"/>
          <w:szCs w:val="24"/>
        </w:rPr>
        <w:t>期现共振走强，或继续偏强震荡</w:t>
      </w:r>
      <w:bookmarkEnd w:id="21"/>
    </w:p>
    <w:p w:rsidR="003F56A5" w:rsidRDefault="006F6553">
      <w:pPr>
        <w:ind w:leftChars="300" w:left="630"/>
        <w:rPr>
          <w:rFonts w:ascii="楷体" w:eastAsia="楷体" w:hAnsi="楷体"/>
          <w:color w:val="000000" w:themeColor="text1"/>
          <w:sz w:val="24"/>
          <w:szCs w:val="24"/>
        </w:rPr>
      </w:pPr>
      <w:r w:rsidRPr="006F6553">
        <w:rPr>
          <w:rFonts w:ascii="楷体" w:eastAsia="楷体" w:hAnsi="楷体" w:hint="eastAsia"/>
          <w:color w:val="000000" w:themeColor="text1"/>
          <w:sz w:val="24"/>
          <w:szCs w:val="24"/>
        </w:rPr>
        <w:t>昨日港口现货涨价50元/吨，复产及预期刺激拉动盘面领涨，盘面偏强运行，预计震荡区间（2100,2200）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37815115"/>
      <w:r>
        <w:rPr>
          <w:rFonts w:ascii="楷体" w:eastAsia="楷体" w:hAnsi="楷体" w:hint="eastAsia"/>
          <w:b/>
          <w:color w:val="000000" w:themeColor="text1"/>
          <w:sz w:val="24"/>
          <w:szCs w:val="24"/>
        </w:rPr>
        <w:t>焦煤：</w:t>
      </w:r>
      <w:r w:rsidR="006F6553" w:rsidRPr="006F6553">
        <w:rPr>
          <w:rFonts w:ascii="楷体" w:eastAsia="楷体" w:hAnsi="楷体" w:hint="eastAsia"/>
          <w:b/>
          <w:sz w:val="24"/>
          <w:szCs w:val="24"/>
        </w:rPr>
        <w:t>期现共振下突破，或继续偏强震荡</w:t>
      </w:r>
      <w:bookmarkEnd w:id="22"/>
    </w:p>
    <w:p w:rsidR="003F56A5" w:rsidRDefault="006F6553">
      <w:pPr>
        <w:ind w:leftChars="300" w:left="630"/>
        <w:rPr>
          <w:rFonts w:ascii="楷体" w:eastAsia="楷体" w:hAnsi="楷体"/>
          <w:bCs/>
          <w:sz w:val="24"/>
          <w:szCs w:val="24"/>
        </w:rPr>
      </w:pPr>
      <w:r w:rsidRPr="006F6553">
        <w:rPr>
          <w:rFonts w:ascii="楷体" w:eastAsia="楷体" w:hAnsi="楷体" w:hint="eastAsia"/>
          <w:sz w:val="24"/>
          <w:szCs w:val="24"/>
        </w:rPr>
        <w:t>昨日蒙煤现货+10元/吨，山西+30元/吨，情绪好转叠加小幅度补库，盘面或继续偏强运行，预计震荡区间（1330，1420）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37815116"/>
      <w:r>
        <w:rPr>
          <w:rFonts w:ascii="楷体" w:eastAsia="楷体" w:hAnsi="楷体" w:hint="eastAsia"/>
          <w:b/>
          <w:color w:val="000000" w:themeColor="text1"/>
          <w:sz w:val="24"/>
          <w:szCs w:val="24"/>
        </w:rPr>
        <w:t>铜：</w:t>
      </w:r>
      <w:bookmarkEnd w:id="23"/>
      <w:bookmarkEnd w:id="24"/>
      <w:r w:rsidR="00772382" w:rsidRPr="00772382">
        <w:rPr>
          <w:rFonts w:ascii="楷体" w:eastAsia="楷体" w:hAnsi="楷体" w:hint="eastAsia"/>
          <w:b/>
          <w:color w:val="000000" w:themeColor="text1"/>
          <w:sz w:val="24"/>
          <w:szCs w:val="24"/>
        </w:rPr>
        <w:t>维持高位震荡</w:t>
      </w:r>
      <w:bookmarkEnd w:id="25"/>
    </w:p>
    <w:p w:rsidR="00772382" w:rsidRPr="00772382" w:rsidRDefault="00772382" w:rsidP="00772382">
      <w:pPr>
        <w:ind w:leftChars="300" w:left="630"/>
        <w:rPr>
          <w:rFonts w:ascii="楷体" w:eastAsia="楷体" w:hAnsi="楷体" w:hint="eastAsia"/>
          <w:color w:val="000000" w:themeColor="text1"/>
          <w:sz w:val="24"/>
          <w:szCs w:val="24"/>
        </w:rPr>
      </w:pPr>
      <w:r w:rsidRPr="00772382">
        <w:rPr>
          <w:rFonts w:ascii="楷体" w:eastAsia="楷体" w:hAnsi="楷体" w:hint="eastAsia"/>
          <w:color w:val="000000" w:themeColor="text1"/>
          <w:sz w:val="24"/>
          <w:szCs w:val="24"/>
        </w:rPr>
        <w:t>(1)宏观：6月15日，欧洲央行公布最新利率决议，将主要再融资利率、存款便利利率、边际贷款利率三大关键利率均上调25个基点，符合市场预期。存款便利利率达到3.50%，为22年来的最高水平，再融资利率达到4.00%，边际贷款率达到4.25%。</w:t>
      </w:r>
    </w:p>
    <w:p w:rsidR="00772382" w:rsidRPr="00772382" w:rsidRDefault="00772382" w:rsidP="00772382">
      <w:pPr>
        <w:ind w:leftChars="300" w:left="630"/>
        <w:rPr>
          <w:rFonts w:ascii="楷体" w:eastAsia="楷体" w:hAnsi="楷体" w:hint="eastAsia"/>
          <w:color w:val="000000" w:themeColor="text1"/>
          <w:sz w:val="24"/>
          <w:szCs w:val="24"/>
        </w:rPr>
      </w:pPr>
      <w:r w:rsidRPr="00772382">
        <w:rPr>
          <w:rFonts w:ascii="楷体" w:eastAsia="楷体" w:hAnsi="楷体" w:hint="eastAsia"/>
          <w:color w:val="000000" w:themeColor="text1"/>
          <w:sz w:val="24"/>
          <w:szCs w:val="24"/>
        </w:rPr>
        <w:lastRenderedPageBreak/>
        <w:t>(2)库存：6月15日，SHFE仓单库存30753吨，增4251吨。LME仓单库存79525吨，减4725吨。</w:t>
      </w:r>
    </w:p>
    <w:p w:rsidR="00772382" w:rsidRPr="00772382" w:rsidRDefault="00772382" w:rsidP="00772382">
      <w:pPr>
        <w:ind w:leftChars="300" w:left="630"/>
        <w:rPr>
          <w:rFonts w:ascii="楷体" w:eastAsia="楷体" w:hAnsi="楷体" w:hint="eastAsia"/>
          <w:color w:val="000000" w:themeColor="text1"/>
          <w:sz w:val="24"/>
          <w:szCs w:val="24"/>
        </w:rPr>
      </w:pPr>
      <w:r w:rsidRPr="00772382">
        <w:rPr>
          <w:rFonts w:ascii="楷体" w:eastAsia="楷体" w:hAnsi="楷体" w:hint="eastAsia"/>
          <w:color w:val="000000" w:themeColor="text1"/>
          <w:sz w:val="24"/>
          <w:szCs w:val="24"/>
        </w:rPr>
        <w:t>(3)精废价差：6月15日，Mysteel精废价差2284，扩大6。目前价差在合理价差1381之上。</w:t>
      </w:r>
    </w:p>
    <w:p w:rsidR="00772382" w:rsidRPr="00772382" w:rsidRDefault="00772382" w:rsidP="00772382">
      <w:pPr>
        <w:ind w:leftChars="300" w:left="630"/>
        <w:rPr>
          <w:rFonts w:ascii="楷体" w:eastAsia="楷体" w:hAnsi="楷体"/>
          <w:color w:val="000000" w:themeColor="text1"/>
          <w:sz w:val="24"/>
          <w:szCs w:val="24"/>
        </w:rPr>
      </w:pPr>
    </w:p>
    <w:p w:rsidR="00127803" w:rsidRPr="00127803" w:rsidRDefault="00772382" w:rsidP="00772382">
      <w:pPr>
        <w:ind w:leftChars="300" w:left="630"/>
        <w:rPr>
          <w:rFonts w:ascii="楷体" w:eastAsia="楷体" w:hAnsi="楷体"/>
          <w:color w:val="000000" w:themeColor="text1"/>
          <w:sz w:val="24"/>
          <w:szCs w:val="24"/>
        </w:rPr>
      </w:pPr>
      <w:r w:rsidRPr="00772382">
        <w:rPr>
          <w:rFonts w:ascii="楷体" w:eastAsia="楷体" w:hAnsi="楷体" w:hint="eastAsia"/>
          <w:color w:val="000000" w:themeColor="text1"/>
          <w:sz w:val="24"/>
          <w:szCs w:val="24"/>
        </w:rPr>
        <w:t>综述：当前海内外共振的宽松预期推升铜价震荡偏强运行。短期支撑价格的主要因素仍在国内政策预期利好的氛围中，暂时没有看到向下的驱动出现。美国5月零售销售意外增长，环比上升0.3%，好于预期，进一步反应美国经济仍具韧性，衰退交易短期难现。基本面，当前供需矛盾不大，难以助力价格走出趋势性行情。预计短期高位震荡为主，关注国内政策力度及落地情况</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37815117"/>
      <w:r>
        <w:rPr>
          <w:rFonts w:ascii="楷体" w:eastAsia="楷体" w:hAnsi="楷体" w:hint="eastAsia"/>
          <w:b/>
          <w:color w:val="000000" w:themeColor="text1"/>
          <w:sz w:val="24"/>
          <w:szCs w:val="24"/>
        </w:rPr>
        <w:t>铝：</w:t>
      </w:r>
      <w:bookmarkEnd w:id="26"/>
      <w:bookmarkEnd w:id="27"/>
      <w:r w:rsidR="00772382" w:rsidRPr="00772382">
        <w:rPr>
          <w:rFonts w:ascii="楷体" w:eastAsia="楷体" w:hAnsi="楷体" w:hint="eastAsia"/>
          <w:b/>
          <w:color w:val="000000" w:themeColor="text1"/>
          <w:sz w:val="24"/>
          <w:szCs w:val="24"/>
        </w:rPr>
        <w:t>宏观利多叠加社库去库支撑价格</w:t>
      </w:r>
      <w:bookmarkEnd w:id="28"/>
    </w:p>
    <w:p w:rsidR="003F56A5" w:rsidRDefault="00491DD7" w:rsidP="00127803">
      <w:pPr>
        <w:ind w:leftChars="300" w:left="630"/>
        <w:rPr>
          <w:rFonts w:ascii="楷体" w:eastAsia="楷体" w:hAnsi="楷体"/>
          <w:color w:val="000000" w:themeColor="text1"/>
          <w:sz w:val="24"/>
          <w:szCs w:val="24"/>
        </w:rPr>
      </w:pPr>
      <w:r w:rsidRPr="00491DD7">
        <w:rPr>
          <w:rFonts w:ascii="楷体" w:eastAsia="楷体" w:hAnsi="楷体" w:hint="eastAsia"/>
          <w:color w:val="000000" w:themeColor="text1"/>
          <w:sz w:val="24"/>
          <w:szCs w:val="24"/>
        </w:rPr>
        <w:t>美国CPI数据同比回落，联储6月暂停加息，国内MLF降息10BP，5月金融数据公布提振市场情绪。电解铝运行产能持续小幅上修，表观供需未出现明显矛盾，云南大幅降水预计后续当地产能部分复产，电解铝成本支撑持续下行刺激冶炼利润走增，电解铝生产企业积极性仍存，铝水比例维持高位，铝棒加工费再度走弱，铝棒产量周度环比小幅下行，多家冶炼厂表示已有亏损，铝棒库存累库，铸锭偏少，国内社会库存持续去库。进入6月后铝市消费步入淡季，下游需求及企业开工率小幅下行。整体来看，铝市供应偏强，需求走弱。短期因宏观情绪叠加库存快速去库价格仍有支撑，实际上方空间有限，建议可逢高布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9" w:name="_Toc137815118"/>
      <w:r>
        <w:rPr>
          <w:rFonts w:ascii="楷体" w:eastAsia="楷体" w:hAnsi="楷体" w:hint="eastAsia"/>
          <w:b/>
          <w:color w:val="000000" w:themeColor="text1"/>
          <w:sz w:val="24"/>
          <w:szCs w:val="24"/>
        </w:rPr>
        <w:t>锌：</w:t>
      </w:r>
      <w:r w:rsidR="006F6553" w:rsidRPr="006F6553">
        <w:rPr>
          <w:rFonts w:ascii="楷体" w:eastAsia="楷体" w:hAnsi="楷体" w:hint="eastAsia"/>
          <w:b/>
          <w:color w:val="000000" w:themeColor="text1"/>
          <w:sz w:val="24"/>
          <w:szCs w:val="24"/>
        </w:rPr>
        <w:t>宏观叠加低库存支撑价格，建议逢高沽空</w:t>
      </w:r>
      <w:bookmarkEnd w:id="29"/>
    </w:p>
    <w:p w:rsidR="003F56A5" w:rsidRDefault="006F6553" w:rsidP="000B0648">
      <w:pPr>
        <w:ind w:leftChars="300" w:left="630"/>
        <w:rPr>
          <w:rFonts w:ascii="楷体" w:eastAsia="楷体" w:hAnsi="楷体"/>
          <w:color w:val="000000" w:themeColor="text1"/>
          <w:sz w:val="24"/>
          <w:szCs w:val="24"/>
        </w:rPr>
      </w:pPr>
      <w:r w:rsidRPr="006F6553">
        <w:rPr>
          <w:rFonts w:ascii="楷体" w:eastAsia="楷体" w:hAnsi="楷体" w:hint="eastAsia"/>
          <w:color w:val="000000" w:themeColor="text1"/>
          <w:sz w:val="24"/>
          <w:szCs w:val="24"/>
        </w:rPr>
        <w:t>美国CPI数据同比回落，联储加息暂停，市场交投情绪提振。海外能源价格回落预期海外冶炼厂持续复产，地缘政治冲突或拖慢海外复产节奏，国内锌精矿产量走弱，进口利润窗口打开将刺激进口，锌精矿加工费震荡下行，矿商及冶炼厂综合利润持续收缩，精炼锌产量维持高位但环比走弱，近期锌价再度走强，精炼锌利润空间修复，锌市整体供应偏强。需求端来看，海外经济衰退市场疲软，国内锌市需求进入淡季，消费乐观预期再度被修正，海内外显性库存保持低位，锌价前期快速下跌企稳反弹但上方可想像空间有限，上触到2万关口压力位置建议逢高沽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7815119"/>
      <w:r>
        <w:rPr>
          <w:rFonts w:ascii="楷体" w:eastAsia="楷体" w:hAnsi="楷体" w:hint="eastAsia"/>
          <w:b/>
          <w:color w:val="000000" w:themeColor="text1"/>
          <w:sz w:val="24"/>
          <w:szCs w:val="24"/>
        </w:rPr>
        <w:t>镍：</w:t>
      </w:r>
      <w:r w:rsidR="00127803" w:rsidRPr="00127803">
        <w:rPr>
          <w:rFonts w:ascii="楷体" w:eastAsia="楷体" w:hAnsi="楷体" w:hint="eastAsia"/>
          <w:b/>
          <w:color w:val="000000" w:themeColor="text1"/>
          <w:sz w:val="24"/>
          <w:szCs w:val="24"/>
        </w:rPr>
        <w:t>下行趋势未变，维持反弹后逢高空思路</w:t>
      </w:r>
      <w:bookmarkEnd w:id="30"/>
    </w:p>
    <w:p w:rsidR="003F56A5" w:rsidRDefault="00127803">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昨日上期所镍仓单日增2287吨，达到2453吨，增幅1378%。近期俄镍镍板大量进口到货，持货商大规模注册仓单，交割品紧缺的情况得到缓解。中期电积镍产能陆续释放，产量不断爬升，预计国内库存有望逐步累增，镍价下行态势未变。操作上维持反弹后逢高空思路</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37815120"/>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6F6553" w:rsidRPr="006F6553">
        <w:rPr>
          <w:rFonts w:ascii="楷体" w:eastAsia="楷体" w:hAnsi="楷体" w:hint="eastAsia"/>
          <w:b/>
          <w:color w:val="000000" w:themeColor="text1"/>
          <w:sz w:val="24"/>
          <w:szCs w:val="24"/>
        </w:rPr>
        <w:t>供应压力走松，铅价延续区间震荡</w:t>
      </w:r>
      <w:bookmarkEnd w:id="31"/>
    </w:p>
    <w:p w:rsidR="008B13D2" w:rsidRPr="008B13D2" w:rsidRDefault="006F6553" w:rsidP="008B13D2">
      <w:pPr>
        <w:ind w:leftChars="300" w:left="630"/>
        <w:rPr>
          <w:rFonts w:ascii="楷体" w:eastAsia="楷体" w:hAnsi="楷体"/>
          <w:color w:val="000000" w:themeColor="text1"/>
          <w:sz w:val="24"/>
          <w:szCs w:val="24"/>
        </w:rPr>
      </w:pPr>
      <w:r w:rsidRPr="006F6553">
        <w:rPr>
          <w:rFonts w:ascii="楷体" w:eastAsia="楷体" w:hAnsi="楷体" w:hint="eastAsia"/>
          <w:color w:val="000000" w:themeColor="text1"/>
          <w:sz w:val="24"/>
          <w:szCs w:val="24"/>
        </w:rPr>
        <w:t>美国CPI数据环比回落，联储6月暂停加息，国内正处于对利多政策释放的强预期窗口，宏观情绪偏暖。国内铅精矿加工费持稳，铅精矿加工费维持稳定，5月国内电解铅产量环比走弱，6月原生铅和再生铅产量均有下滑预期，江苏、内蒙传除受铅价偏弱影响可能小幅减产，供应压力走松，冶</w:t>
      </w:r>
      <w:r w:rsidRPr="006F6553">
        <w:rPr>
          <w:rFonts w:ascii="楷体" w:eastAsia="楷体" w:hAnsi="楷体" w:hint="eastAsia"/>
          <w:color w:val="000000" w:themeColor="text1"/>
          <w:sz w:val="24"/>
          <w:szCs w:val="24"/>
        </w:rPr>
        <w:lastRenderedPageBreak/>
        <w:t>炼利润仍处于低位水平。需求在淡季之下，铅蓄电池成品库存偏高，企业开工率下滑。市场情绪受宏观情绪及供应走紧影响，铅价止跌反弹，淡季消费仍有累库预期限制铅价上方想象空间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37815121"/>
      <w:r>
        <w:rPr>
          <w:rFonts w:ascii="楷体" w:eastAsia="楷体" w:hAnsi="楷体" w:hint="eastAsia"/>
          <w:b/>
          <w:color w:val="000000" w:themeColor="text1"/>
          <w:sz w:val="24"/>
          <w:szCs w:val="24"/>
        </w:rPr>
        <w:t>不锈钢：</w:t>
      </w:r>
      <w:r w:rsidR="00772382" w:rsidRPr="00772382">
        <w:rPr>
          <w:rFonts w:ascii="楷体" w:eastAsia="楷体" w:hAnsi="楷体" w:hint="eastAsia"/>
          <w:b/>
          <w:color w:val="000000" w:themeColor="text1"/>
          <w:sz w:val="24"/>
          <w:szCs w:val="24"/>
        </w:rPr>
        <w:t>本周社会库存转增，价格支撑边际转弱</w:t>
      </w:r>
      <w:bookmarkEnd w:id="32"/>
    </w:p>
    <w:p w:rsidR="003F56A5" w:rsidRDefault="00772382">
      <w:pPr>
        <w:ind w:leftChars="300" w:left="630"/>
        <w:rPr>
          <w:rFonts w:ascii="楷体" w:eastAsia="楷体" w:hAnsi="楷体"/>
          <w:color w:val="000000" w:themeColor="text1"/>
          <w:sz w:val="24"/>
          <w:szCs w:val="24"/>
        </w:rPr>
      </w:pPr>
      <w:r w:rsidRPr="00772382">
        <w:rPr>
          <w:rFonts w:ascii="楷体" w:eastAsia="楷体" w:hAnsi="楷体" w:hint="eastAsia"/>
          <w:color w:val="000000" w:themeColor="text1"/>
          <w:sz w:val="24"/>
          <w:szCs w:val="24"/>
        </w:rPr>
        <w:t>短期宏观情绪推升市场风险偏好，整体有色延续震荡偏强运行，本周不锈钢社会库存结束下滑态势，转为小幅增长，对价格支撑边际转弱，原料端镍铁价格保持弱稳运行，当前不锈钢厂已有一定利润，预期供应弹性压制下，价格继续反弹空间受抑，SS2308波动区间参考14500-15300。操作上，区间上沿附近逢高试空</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37815122"/>
      <w:r>
        <w:rPr>
          <w:rFonts w:ascii="楷体" w:eastAsia="楷体" w:hAnsi="楷体" w:hint="eastAsia"/>
          <w:b/>
          <w:color w:val="000000" w:themeColor="text1"/>
          <w:sz w:val="24"/>
          <w:szCs w:val="24"/>
        </w:rPr>
        <w:t>工业硅：</w:t>
      </w:r>
      <w:r w:rsidR="00772382" w:rsidRPr="00772382">
        <w:rPr>
          <w:rFonts w:ascii="楷体" w:eastAsia="楷体" w:hAnsi="楷体" w:hint="eastAsia"/>
          <w:b/>
          <w:sz w:val="24"/>
          <w:szCs w:val="24"/>
        </w:rPr>
        <w:t>成本支撑逐步显现，预计市场持续下行空间有限</w:t>
      </w:r>
      <w:bookmarkEnd w:id="33"/>
    </w:p>
    <w:p w:rsidR="003F56A5" w:rsidRDefault="00772382" w:rsidP="007103A5">
      <w:pPr>
        <w:ind w:leftChars="300" w:left="630"/>
        <w:rPr>
          <w:rFonts w:ascii="楷体" w:eastAsia="楷体" w:hAnsi="楷体"/>
          <w:sz w:val="24"/>
          <w:szCs w:val="24"/>
        </w:rPr>
      </w:pPr>
      <w:r w:rsidRPr="00772382">
        <w:rPr>
          <w:rFonts w:ascii="楷体" w:eastAsia="楷体" w:hAnsi="楷体" w:hint="eastAsia"/>
          <w:sz w:val="24"/>
          <w:szCs w:val="24"/>
        </w:rPr>
        <w:t>6月15日，Si2308主力合约呈下行走势，收盘价12370元/吨，较上一收盘价涨跌幅-1.36%。供应方面，西南地区逐步进入丰水期，当地工厂维持复产操作，供应恢复符合市场预期;需求方面，下游需求整体偏弱，多以刚需采购为主，短期并无明显改善。综合而言，基本面仍旧偏弱，但盘面几乎已跌至大部分西南工厂丰水期预估成本，成本支撑或逐步显现，预计持续下行空间有限。建议等待反弹机会，再择机布局做空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3781512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37815124"/>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6F6553" w:rsidRPr="006F6553">
        <w:rPr>
          <w:rFonts w:ascii="楷体" w:eastAsia="楷体" w:hAnsi="楷体" w:hint="eastAsia"/>
          <w:b/>
          <w:sz w:val="24"/>
          <w:szCs w:val="24"/>
        </w:rPr>
        <w:t>需求好转难以成为关注重点，RU维持震荡走势为主</w:t>
      </w:r>
      <w:bookmarkEnd w:id="36"/>
    </w:p>
    <w:p w:rsidR="003F56A5" w:rsidRDefault="006F6553">
      <w:pPr>
        <w:ind w:leftChars="300" w:left="630"/>
        <w:rPr>
          <w:rFonts w:ascii="楷体" w:eastAsia="楷体" w:hAnsi="楷体"/>
          <w:sz w:val="24"/>
          <w:szCs w:val="24"/>
        </w:rPr>
      </w:pPr>
      <w:r w:rsidRPr="006F6553">
        <w:rPr>
          <w:rFonts w:ascii="楷体" w:eastAsia="楷体" w:hAnsi="楷体" w:hint="eastAsia"/>
          <w:sz w:val="24"/>
          <w:szCs w:val="24"/>
        </w:rPr>
        <w:t>点评：昨日天胶市场心态小幅好转，胶价涨后有所回落。当前制约RU价格上行的主要矛盾还是偏高的港口库存。尽管上周小幅去库，但目前港口库存绝对值仍处于高位，高库存对行情形成较大压制。橡胶其余基本面来看，供应端，尽管目前产区仍未大规模上量，但随着产区物候条件恢复正常，供给端上量将逐步回归正常。橡胶下游轮胎方面，多数企业内外销订单排产稳定，企业产能利用率将维持在偏高水平，但期间不排除个别企业为控制库存，存临时降负可能。终端汽车方面，5月份乘用车终端销量在175万辆左右，环比继续小幅上升。从分项指数来看，汽车市场需求、平均日销量、经营状况指数环比上升，车市整体温和回暖；重卡方面，5月我国重卡市场大约7.74万辆左右，环比下滑16%，全行业仅仅处于弱复苏阶段，还未完全进入恢复期间。综合来看，近期收储、刺激房地产等题材轮番上演，但都缺乏实质行动。国家“降息”举措利多近期胶市，但还需关注消费端能否显著转好目前，技术面来看胶价处于前期低位，支撑作用显现，下行空间有限。但需求面恢复速度不及预期，以及胶价反弹后套利盘的参与，在无重大利好的前提下胶价短期上行幅度同样有限，且库存的利空因素不可忽视。短期关注前期低点的支撑作用和盘面持仓量和基差的变化情况，后期重点关注国内稳增长政策的推动和实施对国内需求端的拉动作用和轮胎厂成品库存的实质去化，待出现明显的趋势信号后再做入场判断。11500元/吨的位置支撑较强，上方压力位在12200元/吨</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7815125"/>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772382" w:rsidRPr="00772382">
        <w:rPr>
          <w:rFonts w:ascii="楷体" w:eastAsia="楷体" w:hAnsi="楷体" w:hint="eastAsia"/>
          <w:b/>
          <w:color w:val="000000" w:themeColor="text1"/>
          <w:sz w:val="24"/>
          <w:szCs w:val="24"/>
        </w:rPr>
        <w:t>成本油价趋弱 TA反弹空间受限</w:t>
      </w:r>
      <w:bookmarkEnd w:id="37"/>
      <w:r>
        <w:rPr>
          <w:rFonts w:ascii="楷体" w:eastAsia="楷体" w:hAnsi="楷体" w:hint="eastAsia"/>
          <w:b/>
          <w:color w:val="000000" w:themeColor="text1"/>
          <w:sz w:val="24"/>
          <w:szCs w:val="24"/>
        </w:rPr>
        <w:t xml:space="preserve"> </w:t>
      </w:r>
    </w:p>
    <w:p w:rsidR="003F56A5" w:rsidRDefault="00772382" w:rsidP="002C73FE">
      <w:pPr>
        <w:ind w:leftChars="300" w:left="630"/>
        <w:rPr>
          <w:rFonts w:ascii="楷体" w:eastAsia="楷体" w:hAnsi="楷体"/>
          <w:color w:val="000000" w:themeColor="text1"/>
          <w:sz w:val="24"/>
          <w:szCs w:val="24"/>
        </w:rPr>
      </w:pPr>
      <w:r w:rsidRPr="00772382">
        <w:rPr>
          <w:rFonts w:ascii="楷体" w:eastAsia="楷体" w:hAnsi="楷体" w:hint="eastAsia"/>
          <w:color w:val="000000" w:themeColor="text1"/>
          <w:sz w:val="24"/>
          <w:szCs w:val="24"/>
        </w:rPr>
        <w:lastRenderedPageBreak/>
        <w:t>供给方面逸盛大化375万吨降负至5成，威联化学250万吨计划外停车，嘉通250万吨检修，个别装置负荷小幅波动，至周四PTA负荷下降至76.1%（-3.2%），近期PTA加工费压缩至200元/吨附近。PX方面，因浙石化及盛虹装置降负影响，PX原料库存累积幅度不足以满足刚需，供需情况较前期收紧。因两套大装置降负荷拖累PX总体上升幅度，预计后期PX国内负荷提升至78%后继续提升空间不大，短期PTA成本端支撑依然较强。需求方面，本周聚酯装置暂无变动，截至本周四，初步核算国内大陆地区聚酯负荷在92.8%附近。近期聚酯库存低位及产业链利润环比改善，高开工有望维持。展望后市，受PX 两套大型装置降负等因素影响，PX短期开工率虽低位抬升但供需格局改善，PTA成本端支撑仍存。聚酯产业链利润改善且聚酯库存低位，尚有缓冲空间，聚酯近期开工有望高位维持，PTA供需格局近期偏平衡。PTA加工费低位，不排除在后续原料偏紧的态势下开启检修计划，但5月纺织服装出口环比下滑14.3%，终端负反馈持续。综合来看，原油走势趋弱、下游及终端提前透支采购需求VS PTA低加工费、PX短期支撑仍存，PTA短期空单仍可介入操作，仅供参考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7815126"/>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37815127"/>
      <w:r>
        <w:rPr>
          <w:rFonts w:ascii="楷体" w:eastAsia="楷体" w:hAnsi="楷体" w:hint="eastAsia"/>
          <w:b/>
          <w:color w:val="000000" w:themeColor="text1"/>
          <w:sz w:val="24"/>
          <w:szCs w:val="24"/>
        </w:rPr>
        <w:t>聚烯烃：</w:t>
      </w:r>
      <w:r w:rsidR="006F6553" w:rsidRPr="006F6553">
        <w:rPr>
          <w:rFonts w:ascii="楷体" w:eastAsia="楷体" w:hAnsi="楷体" w:hint="eastAsia"/>
          <w:b/>
          <w:color w:val="000000" w:themeColor="text1"/>
          <w:sz w:val="24"/>
          <w:szCs w:val="24"/>
        </w:rPr>
        <w:t>成本支撑减弱 聚烯烃或偏弱震荡</w:t>
      </w:r>
      <w:bookmarkEnd w:id="39"/>
    </w:p>
    <w:p w:rsidR="003F56A5" w:rsidRDefault="006F6553">
      <w:pPr>
        <w:ind w:leftChars="300" w:left="630"/>
        <w:rPr>
          <w:rFonts w:ascii="楷体" w:eastAsia="楷体" w:hAnsi="楷体"/>
          <w:bCs/>
          <w:sz w:val="24"/>
          <w:szCs w:val="24"/>
        </w:rPr>
      </w:pPr>
      <w:r w:rsidRPr="006F6553">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国际能源署报告认为随着替代性能源增加，全球石油需求在近几年将达到高峰；经调整过的美国原油库存意外大幅增加，市场对需求担忧再起，随后美联储预计今年将进一步加息，国际油价下跌；需求方面，PE下游方面，农膜整体需求平平，工厂生产清淡。棚膜工厂多停机检修；PP下游方面，BOPP市场成交刚需有量，整体量较上一交易日增加，BOPP企业未交付订单多数在一周以内，个别可至6月下旬。综合来看，PE方面，原油成本端走势回落，成本支撑减弱，近期检修较为集中，供应压力有所缓解；但下游需求跟进乏力，支撑力度有限，后期还是存在下跌的可能。综上所述预计今日聚乙烯价格震荡偏弱整理。PP方面，</w:t>
      </w:r>
      <w:r w:rsidRPr="006F6553">
        <w:rPr>
          <w:rFonts w:ascii="楷体" w:eastAsia="楷体" w:hAnsi="楷体" w:hint="eastAsia"/>
          <w:color w:val="000000" w:themeColor="text1"/>
          <w:sz w:val="24"/>
          <w:szCs w:val="24"/>
        </w:rPr>
        <w:lastRenderedPageBreak/>
        <w:t>目前聚丙烯现货端矛盾不大，集中性的检修叠加企业生产共聚积极性高位使得拉丝排产比例偏低，市场标品货源流通偏紧现状维持；且石化库存偏低，挺价意愿明显，预计今日PP震荡整理态势</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40" w:name="_Toc137815128"/>
      <w:r>
        <w:rPr>
          <w:rFonts w:ascii="楷体" w:eastAsia="楷体" w:hAnsi="楷体" w:hint="eastAsia"/>
          <w:b/>
          <w:color w:val="000000" w:themeColor="text1"/>
          <w:sz w:val="24"/>
          <w:szCs w:val="24"/>
        </w:rPr>
        <w:t>MEG：</w:t>
      </w:r>
      <w:r w:rsidR="00772382" w:rsidRPr="00772382">
        <w:rPr>
          <w:rFonts w:ascii="楷体" w:eastAsia="楷体" w:hAnsi="楷体" w:hint="eastAsia"/>
          <w:b/>
          <w:color w:val="000000" w:themeColor="text1"/>
          <w:sz w:val="24"/>
          <w:szCs w:val="24"/>
        </w:rPr>
        <w:t>成本下行供应增加 09合约上行驱动不足</w:t>
      </w:r>
      <w:bookmarkEnd w:id="40"/>
    </w:p>
    <w:p w:rsidR="003F56A5" w:rsidRDefault="00772382" w:rsidP="00115EEA">
      <w:pPr>
        <w:ind w:leftChars="300" w:left="630"/>
        <w:rPr>
          <w:rFonts w:ascii="楷体" w:eastAsia="楷体" w:hAnsi="楷体"/>
          <w:color w:val="000000" w:themeColor="text1"/>
          <w:sz w:val="24"/>
          <w:szCs w:val="24"/>
        </w:rPr>
      </w:pPr>
      <w:r w:rsidRPr="00772382">
        <w:rPr>
          <w:rFonts w:ascii="楷体" w:eastAsia="楷体" w:hAnsi="楷体" w:hint="eastAsia"/>
          <w:color w:val="000000" w:themeColor="text1"/>
          <w:sz w:val="24"/>
          <w:szCs w:val="24"/>
        </w:rPr>
        <w:t>供需情况，6.12 华东主港地区MEG港口库存约98.6万吨附近，环比上期减少3.6万吨。截至6月15日，中国大陆地区乙二醇整体开工负荷在57.03%（+2.33%），其中煤制乙二醇开工负荷在60.79%（+3.72%）。 近期乙二醇开工率回升至57%偏上，后续仍有浙江石化（75+80)、海南炼化7月提前回归，煤化工新疆天业、广西华谊等装置计划重启。新装置三江石化新装置投产较为顺利，预计开工将维持偏高负荷运行。进口方面来看，5月中下起随着美国货以及伊朗货陆续抵港，乙二醇主港到货量将逐步增加。聚酯需求端来看，截止6.15，初步核算国内大陆地区聚酯负荷在92.8%高位附近，聚酯负荷见顶。终端方面，部分阶段性订单交货后，上周江浙终端开工率局部回落，江浙加弹综合开工率82%(-1%)，江浙织机综合开工率71%(-3%），江浙印染综合开工率77%（+0%）。展望后市，供应环节增量较为明显，7月国产供应压力较大。且乙二醇海外供应逐步增量中，预计6-7月乙二醇进口增量8-10万吨左右。成本端煤、乙烯走低下带动估值重心下移，市场普遍关注的转产EO的问题，因EO现货弱势及天热转热后走货困难，后续实际转产落地较为困难。近期受聚酯高开工带动下，乙二醇仍能驱动小幅去库。但乙二醇后续供应端增量较为明显，终端新订单偏弱及常规货库存高企，09合约上行驱动不足，底部震荡为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7815129"/>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491DD7" w:rsidRPr="00491DD7">
        <w:rPr>
          <w:rFonts w:ascii="楷体" w:eastAsia="楷体" w:hAnsi="楷体" w:hint="eastAsia"/>
          <w:b/>
          <w:color w:val="000000" w:themeColor="text1"/>
          <w:sz w:val="24"/>
          <w:szCs w:val="24"/>
        </w:rPr>
        <w:t>近期点火较多，需求保持刚需</w:t>
      </w:r>
      <w:bookmarkEnd w:id="41"/>
    </w:p>
    <w:p w:rsidR="00A71A7E" w:rsidRDefault="00491DD7" w:rsidP="0079299D">
      <w:pPr>
        <w:ind w:leftChars="300" w:left="630"/>
        <w:rPr>
          <w:rFonts w:ascii="楷体" w:eastAsia="楷体" w:hAnsi="楷体"/>
          <w:color w:val="000000" w:themeColor="text1"/>
          <w:sz w:val="24"/>
          <w:szCs w:val="24"/>
        </w:rPr>
      </w:pPr>
      <w:r w:rsidRPr="00491DD7">
        <w:rPr>
          <w:rFonts w:ascii="楷体" w:eastAsia="楷体" w:hAnsi="楷体" w:hint="eastAsia"/>
          <w:color w:val="000000" w:themeColor="text1"/>
          <w:sz w:val="24"/>
          <w:szCs w:val="24"/>
        </w:rPr>
        <w:t>今日浮法玻璃现货价格2006，较上交易日-5。供给端，天津台玻600吨浮法线近日已引头子，6月点火较多，产量预增。截止到20230615，全国浮法玻璃总库存5479.6万重箱，环比减少38.5万重箱，降幅-0.70%，同比-30.50%。需求端，周内全国浮法玻璃日度平均产销率良好，维持在90%以上水平，行业整体维持去库状态。当前原片厂处于主动去库阶段，库存向贸易商转移，政策落地后，市场对下游需求持续性担忧仍在，弱现实下情况下上方压力明显，盘面进入震荡市</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37815130"/>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491DD7" w:rsidRPr="00491DD7">
        <w:rPr>
          <w:rFonts w:ascii="楷体" w:eastAsia="楷体" w:hAnsi="楷体" w:hint="eastAsia"/>
          <w:b/>
          <w:color w:val="000000" w:themeColor="text1"/>
          <w:sz w:val="24"/>
          <w:szCs w:val="24"/>
        </w:rPr>
        <w:t>上方压力明显，日内波动加剧</w:t>
      </w:r>
      <w:bookmarkEnd w:id="42"/>
    </w:p>
    <w:p w:rsidR="00A71A7E" w:rsidRDefault="00491DD7" w:rsidP="00A71A7E">
      <w:pPr>
        <w:ind w:leftChars="300" w:left="630"/>
        <w:rPr>
          <w:rFonts w:ascii="楷体" w:eastAsia="楷体" w:hAnsi="楷体"/>
          <w:bCs/>
          <w:sz w:val="24"/>
          <w:szCs w:val="24"/>
        </w:rPr>
      </w:pPr>
      <w:r w:rsidRPr="00491DD7">
        <w:rPr>
          <w:rFonts w:ascii="楷体" w:eastAsia="楷体" w:hAnsi="楷体" w:hint="eastAsia"/>
          <w:color w:val="000000" w:themeColor="text1"/>
          <w:sz w:val="24"/>
          <w:szCs w:val="24"/>
        </w:rPr>
        <w:t>据隆众消息报道：今日国内纯碱市场价格无变化，基本面上，重庆和友计划明日检修三天，需求端，待发订单尚可，部分厂家有封单情况，挺价意愿强烈，但下游多刚需补库，补库量有所增加。整体来看，基本面向好，内外宏观落地，情绪有好转，对期价有一定支撑。但盘面上由于远月扩产明确，上方压力明显，多空分歧加剧，预计宽幅震荡</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3781513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3781513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491DD7" w:rsidRPr="00491DD7">
        <w:rPr>
          <w:rFonts w:ascii="楷体" w:eastAsia="楷体" w:hAnsi="楷体" w:hint="eastAsia"/>
          <w:b/>
          <w:sz w:val="24"/>
          <w:szCs w:val="24"/>
        </w:rPr>
        <w:t>09突破3600附近压力，基差进一步收敛</w:t>
      </w:r>
      <w:bookmarkEnd w:id="44"/>
    </w:p>
    <w:p w:rsidR="003F56A5" w:rsidRDefault="00491DD7">
      <w:pPr>
        <w:ind w:leftChars="300" w:left="630"/>
        <w:rPr>
          <w:rFonts w:ascii="楷体" w:eastAsia="楷体" w:hAnsi="楷体"/>
          <w:sz w:val="24"/>
          <w:szCs w:val="24"/>
        </w:rPr>
      </w:pPr>
      <w:r w:rsidRPr="00491DD7">
        <w:rPr>
          <w:rFonts w:ascii="楷体" w:eastAsia="楷体" w:hAnsi="楷体" w:hint="eastAsia"/>
          <w:sz w:val="24"/>
          <w:szCs w:val="24"/>
        </w:rPr>
        <w:t>国际方面，因NOPA压榨数据超预期，会员单位5月共压榨大豆1.77915亿</w:t>
      </w:r>
      <w:r w:rsidRPr="00491DD7">
        <w:rPr>
          <w:rFonts w:ascii="楷体" w:eastAsia="楷体" w:hAnsi="楷体" w:hint="eastAsia"/>
          <w:sz w:val="24"/>
          <w:szCs w:val="24"/>
        </w:rPr>
        <w:lastRenderedPageBreak/>
        <w:t>蒲式耳，高于4月的1.73232亿蒲式耳和上年同期，叠加天气炒作，美豆大幅拉涨。截至6月12日，美豆播种工作完成96%，上年同期为87%，五年平均进度为86%。美豆优良率为59%，比一周前下滑3%，上年同期为70%。巴西当前基本完成收割，大豆销售量达到预期产量的58.6%，远低于去年同期的69.9%，6月出口预计达1476万吨。国内市场，随着当前大豆到港量增加，油厂已逐步恢复开机压榨，供给端问题解决，主流油厂豆粕现货报价3780-3880元/吨。大豆4-6月到港量较大，5月进口到港1202万吨，环比增66%，阶段性供应压力仍待释放，关注大豆到厂进度及后续油厂开工情况。下游养殖利润表现仍不佳，且在杂粕替代下饲企和养殖企业等对豆粕饲用需求增量有限，在后续供应宽松下，现货基差仍面临着下行压力。菜粕当前供给相对偏紧，虽油厂开机及压榨维持较高水平，但菜籽二季度后到港预计减少。而需求方面在近期天气逐步回暖后，为华南水产需求旺季，替代需求方面，豆粕价格企稳，菜粕性价比仍存，整体供需表现紧张。策略方面，短期预计偏强震荡，建议短多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37815133"/>
      <w:r>
        <w:rPr>
          <w:rFonts w:ascii="楷体" w:eastAsia="楷体" w:hAnsi="楷体" w:hint="eastAsia"/>
          <w:b/>
          <w:color w:val="000000" w:themeColor="text1"/>
          <w:sz w:val="24"/>
          <w:szCs w:val="24"/>
        </w:rPr>
        <w:t>油脂：</w:t>
      </w:r>
      <w:r w:rsidR="006F6553" w:rsidRPr="006F6553">
        <w:rPr>
          <w:rFonts w:ascii="楷体" w:eastAsia="楷体" w:hAnsi="楷体" w:hint="eastAsia"/>
          <w:b/>
          <w:sz w:val="24"/>
          <w:szCs w:val="24"/>
        </w:rPr>
        <w:t>短期宏观情绪提振，但基本面未改变</w:t>
      </w:r>
      <w:bookmarkEnd w:id="45"/>
    </w:p>
    <w:p w:rsidR="003F56A5" w:rsidRDefault="006F6553" w:rsidP="00792D31">
      <w:pPr>
        <w:ind w:leftChars="300" w:left="630"/>
        <w:rPr>
          <w:rFonts w:ascii="楷体" w:eastAsia="楷体" w:hAnsi="楷体"/>
          <w:sz w:val="24"/>
          <w:szCs w:val="24"/>
        </w:rPr>
      </w:pPr>
      <w:r w:rsidRPr="006F6553">
        <w:rPr>
          <w:rFonts w:ascii="楷体" w:eastAsia="楷体" w:hAnsi="楷体" w:hint="eastAsia"/>
          <w:sz w:val="24"/>
          <w:szCs w:val="24"/>
        </w:rPr>
        <w:t>6月美联储议息会议暂停加息，符合市场预期，但年内预计仍有两次加息；而美原油隔夜在EIA库存数据增长下收跌，对内盘油脂支撑减弱。棕榈油，马棕5月产量呈现季节性回升至151.75万吨，环比增26.8%，棕榈油库存量为169万吨，环比增加12.63%，高于预期157-160万吨水平，其主要原因在于产量152万吨，高于预期；而出口则比预期表现得更加羸弱，几乎较4月没有体现出任何增长，5月出口量为107.9万吨。虽市场开始炒作厄尔尼诺现象，但中期无法改变产地棕榈油累库的趋势。国内棕榈油在需求增加及进口下滑下，库存稳步去化。但在近期产地报价下滑，国内进口利润有所修复，6-7月船期买船增加，去库速度逐步放缓。需求端，随着气温回升虽利好棕榈油消费，且近期豆棕价差走阔替代需求或重回棕榈。豆油在供应修复预期下，压力仍存。虽5月初在大豆入关问题下，油厂开机不及预期，豆油供给修复缓慢。但随着5月下旬进口大豆到港增加，豆油供应存边际修复预期。需求，近期因豆棕价差收窄，豆油成交好转，但在后续供应增加下，价格上方仍存压。菜油处于供强需弱格局，但后续供应压力边际减轻。随着进口加籽到港量维持高位，菜籽供应较稳定，4月菜籽进口60万吨，菜油进口31万吨，环比同比均增，且近期菜油进口利润打开，有新增买船，菜油供应较宽松。需求方面，在国产菜籽上市后，浓香菜油偏好增加，进口菜油去库仍需通过对竞争油脂替代来消耗。短期油脂基本尚未改变，预计难以看到大反弹，可关注做多菜棕及菜豆价差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37815134"/>
      <w:r>
        <w:rPr>
          <w:rFonts w:ascii="楷体" w:eastAsia="楷体" w:hAnsi="楷体" w:hint="eastAsia"/>
          <w:b/>
          <w:bCs/>
          <w:color w:val="000000" w:themeColor="text1"/>
        </w:rPr>
        <w:t>玉米与淀粉：</w:t>
      </w:r>
      <w:r w:rsidR="00772382" w:rsidRPr="00772382">
        <w:rPr>
          <w:rFonts w:ascii="楷体" w:eastAsia="楷体" w:hAnsi="楷体" w:hint="eastAsia"/>
          <w:b/>
        </w:rPr>
        <w:t>外盘天气炒作带来期价上涨驱动</w:t>
      </w:r>
      <w:bookmarkEnd w:id="46"/>
    </w:p>
    <w:p w:rsidR="00772382" w:rsidRPr="00772382" w:rsidRDefault="00772382" w:rsidP="00772382">
      <w:pPr>
        <w:pStyle w:val="paragraph"/>
        <w:spacing w:before="60" w:after="60"/>
        <w:ind w:leftChars="300" w:left="630"/>
        <w:rPr>
          <w:rFonts w:ascii="楷体" w:eastAsia="楷体" w:hAnsi="楷体" w:hint="eastAsia"/>
        </w:rPr>
      </w:pPr>
      <w:r w:rsidRPr="00772382">
        <w:rPr>
          <w:rFonts w:ascii="楷体" w:eastAsia="楷体" w:hAnsi="楷体" w:hint="eastAsia"/>
        </w:rPr>
        <w:t>对于玉米而言，短期由于小麦新作上市特别是芽麦带来饲用替代，国内玉米期现货持续震荡调整态势，我们建议继续关注两个方面的上涨驱动，其一是新作单产前景的变数，特别是外盘产区天气；其二是旧作被动补库存，因当前下游需求企业如饲料养殖企业与华北深加工企业原料</w:t>
      </w:r>
      <w:r w:rsidRPr="00772382">
        <w:rPr>
          <w:rFonts w:ascii="楷体" w:eastAsia="楷体" w:hAnsi="楷体" w:hint="eastAsia"/>
        </w:rPr>
        <w:lastRenderedPageBreak/>
        <w:t>库存偏低，而产销区倒挂大概率带动渠道库存去化。在这种情况下，我们维持谨慎看多，建议投资者持有前期多单。</w:t>
      </w:r>
    </w:p>
    <w:p w:rsidR="003F56A5" w:rsidRDefault="00772382" w:rsidP="00772382">
      <w:pPr>
        <w:pStyle w:val="paragraph"/>
        <w:spacing w:before="60" w:beforeAutospacing="0" w:after="60" w:afterAutospacing="0"/>
        <w:ind w:leftChars="300" w:left="630"/>
        <w:rPr>
          <w:rFonts w:ascii="楷体" w:eastAsia="楷体" w:hAnsi="楷体"/>
        </w:rPr>
      </w:pPr>
      <w:r w:rsidRPr="00772382">
        <w:rPr>
          <w:rFonts w:ascii="楷体" w:eastAsia="楷体" w:hAnsi="楷体" w:hint="eastAsia"/>
        </w:rPr>
        <w:t>对于淀粉而言，近期淀粉-玉米价差表现分化，近月略有走扩，而多数合约价差维持在300一线徘徊，在我们看来，主要源于市场对华北玉米原料成本的担忧，因小麦饲用替代或导致华北玉米相对更为弱势，但实际市场所反映出来的是华北-东北玉米价差走扩。在这种情况下，我们维持前期判断，继续认为市场各方面因素诸如基差、原料成本、行业供需和副产品价格均支持价差继续走扩。在这种情况下，我们建议持有前期价差走扩套利，激进投资者可以考虑持有单边多单</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37815135"/>
      <w:r>
        <w:rPr>
          <w:rFonts w:ascii="楷体" w:eastAsia="楷体" w:hAnsi="楷体" w:hint="eastAsia"/>
          <w:b/>
          <w:bCs/>
          <w:color w:val="000000" w:themeColor="text1"/>
        </w:rPr>
        <w:t>畜禽养殖：</w:t>
      </w:r>
      <w:r w:rsidR="00772382" w:rsidRPr="00772382">
        <w:rPr>
          <w:rFonts w:ascii="楷体" w:eastAsia="楷体" w:hAnsi="楷体" w:hint="eastAsia"/>
          <w:b/>
          <w:bCs/>
          <w:color w:val="000000" w:themeColor="text1"/>
        </w:rPr>
        <w:t>期价震荡分化运行</w:t>
      </w:r>
      <w:bookmarkEnd w:id="47"/>
    </w:p>
    <w:p w:rsidR="00772382" w:rsidRPr="00772382" w:rsidRDefault="00772382" w:rsidP="00772382">
      <w:pPr>
        <w:pStyle w:val="paragraph"/>
        <w:spacing w:before="60" w:after="60"/>
        <w:ind w:leftChars="300" w:left="630"/>
        <w:rPr>
          <w:rFonts w:ascii="楷体" w:eastAsia="楷体" w:hAnsi="楷体" w:hint="eastAsia"/>
        </w:rPr>
      </w:pPr>
      <w:r w:rsidRPr="00772382">
        <w:rPr>
          <w:rFonts w:ascii="楷体" w:eastAsia="楷体" w:hAnsi="楷体" w:hint="eastAsia"/>
        </w:rPr>
        <w:t>对于生猪而言，在前期报告中我们指出，3月以来现货表现不及我们之前预期，问题出在供应量，集中在两个方面，其一是春节前堆积的供应量，其二是节前仔猪带来的生猪出栏量。各机构数据显示年后以来供应持续去化，更为重要的是，考虑到去年四季度以来生猪价格下跌和春季前后非瘟疫情导致的仔猪供应下滑，对应后期生猪供应有望阶段性下滑，有望带动生猪价格出现阶段性上涨。对于期价而言，由于5月以来期价持续震荡下行，带动近月合约基差持续走强，这意味期价逐步挤出升水，目前7月和9月合约均低于生猪养殖成本，远月合约亦仅略高于养殖成本线，再加上国家收储政策的潜在支撑，我们倾向于期价下方空间或有限，维持谨慎看多观点。</w:t>
      </w:r>
    </w:p>
    <w:p w:rsidR="003F56A5" w:rsidRDefault="00772382" w:rsidP="00772382">
      <w:pPr>
        <w:pStyle w:val="paragraph"/>
        <w:spacing w:before="60" w:beforeAutospacing="0" w:after="60" w:afterAutospacing="0"/>
        <w:ind w:leftChars="300" w:left="630"/>
        <w:rPr>
          <w:rFonts w:ascii="楷体" w:eastAsia="楷体" w:hAnsi="楷体"/>
        </w:rPr>
      </w:pPr>
      <w:r w:rsidRPr="00772382">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但5月以来，随着鸡蛋现货价格的下跌，蛋鸡养殖利润亦有显著下滑，带动养殖户补栏积极性下滑，与此同时，养殖户淘汰积极性上升，这会导致市场之前的供需改善预期存在较大变数。此外，9月合约一度跌至4070左右，这接近于博亚和讯测算的鸡蛋养殖成本线，考虑到9月处于季节性旺季，供需之外还有季节性规律。我们倾向于鸡蛋期价下方空间或有限，维持谨慎看多观点，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37815136"/>
      <w:r>
        <w:rPr>
          <w:rFonts w:ascii="楷体" w:eastAsia="楷体" w:hAnsi="楷体" w:hint="eastAsia"/>
          <w:b/>
          <w:sz w:val="24"/>
          <w:szCs w:val="24"/>
        </w:rPr>
        <w:t>郑棉：</w:t>
      </w:r>
      <w:r w:rsidR="006F6553" w:rsidRPr="006F6553">
        <w:rPr>
          <w:rFonts w:ascii="楷体" w:eastAsia="楷体" w:hAnsi="楷体" w:hint="eastAsia"/>
          <w:b/>
          <w:sz w:val="24"/>
          <w:szCs w:val="24"/>
        </w:rPr>
        <w:t>预计09合约震荡整理，观望</w:t>
      </w:r>
      <w:bookmarkEnd w:id="48"/>
    </w:p>
    <w:p w:rsidR="003F56A5" w:rsidRDefault="006F6553" w:rsidP="007B3290">
      <w:pPr>
        <w:ind w:leftChars="300" w:left="630"/>
        <w:rPr>
          <w:rFonts w:ascii="楷体" w:eastAsia="楷体" w:hAnsi="楷体"/>
          <w:sz w:val="24"/>
          <w:szCs w:val="24"/>
        </w:rPr>
      </w:pPr>
      <w:r w:rsidRPr="006F6553">
        <w:rPr>
          <w:rFonts w:ascii="楷体" w:eastAsia="楷体" w:hAnsi="楷体" w:hint="eastAsia"/>
          <w:sz w:val="24"/>
          <w:szCs w:val="24"/>
        </w:rPr>
        <w:t>美联储宣布暂停加息，叠加中国刚刚下调政策利率，预计商品本周整体走势偏强。郑棉高位震荡整理，等待棉纱的跟随情况和5月库存报告。国际方面，厄尔尼诺现象为美洲带来更多的降雨，美棉和巴西棉丰产预期增强。尽管其对印度棉或许会造成不利影响，对中国或许也有轻微负面影响，但因美国和巴西是出口大国，价格影响力更强。因此，天气预期对国际棉价施压力。内强外弱，内外价差继续扩大</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lastRenderedPageBreak/>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53A" w:rsidRDefault="0080753A">
      <w:r>
        <w:separator/>
      </w:r>
    </w:p>
  </w:endnote>
  <w:endnote w:type="continuationSeparator" w:id="0">
    <w:p w:rsidR="0080753A" w:rsidRDefault="0080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38368A8" wp14:editId="4352F289">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4667F">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4667F">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53A" w:rsidRDefault="0080753A">
      <w:r>
        <w:separator/>
      </w:r>
    </w:p>
  </w:footnote>
  <w:footnote w:type="continuationSeparator" w:id="0">
    <w:p w:rsidR="0080753A" w:rsidRDefault="008075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11F3EFF8" wp14:editId="5649AD1F">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02F551F" wp14:editId="12E180EC">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772382">
      <w:rPr>
        <w:rFonts w:ascii="Times New Roman" w:eastAsia="楷体" w:hAnsi="Times New Roman" w:hint="eastAsia"/>
        <w:b/>
        <w:bCs/>
        <w:noProof/>
        <w:color w:val="833C0B"/>
        <w:sz w:val="21"/>
      </w:rPr>
      <w:t>2023</w:t>
    </w:r>
    <w:r w:rsidR="00772382">
      <w:rPr>
        <w:rFonts w:ascii="Times New Roman" w:eastAsia="楷体" w:hAnsi="Times New Roman" w:hint="eastAsia"/>
        <w:b/>
        <w:bCs/>
        <w:noProof/>
        <w:color w:val="833C0B"/>
        <w:sz w:val="21"/>
      </w:rPr>
      <w:t>年</w:t>
    </w:r>
    <w:r w:rsidR="00772382">
      <w:rPr>
        <w:rFonts w:ascii="Times New Roman" w:eastAsia="楷体" w:hAnsi="Times New Roman" w:hint="eastAsia"/>
        <w:b/>
        <w:bCs/>
        <w:noProof/>
        <w:color w:val="833C0B"/>
        <w:sz w:val="21"/>
      </w:rPr>
      <w:t>6</w:t>
    </w:r>
    <w:r w:rsidR="00772382">
      <w:rPr>
        <w:rFonts w:ascii="Times New Roman" w:eastAsia="楷体" w:hAnsi="Times New Roman" w:hint="eastAsia"/>
        <w:b/>
        <w:bCs/>
        <w:noProof/>
        <w:color w:val="833C0B"/>
        <w:sz w:val="21"/>
      </w:rPr>
      <w:t>月</w:t>
    </w:r>
    <w:r w:rsidR="00772382">
      <w:rPr>
        <w:rFonts w:ascii="Times New Roman" w:eastAsia="楷体" w:hAnsi="Times New Roman" w:hint="eastAsia"/>
        <w:b/>
        <w:bCs/>
        <w:noProof/>
        <w:color w:val="833C0B"/>
        <w:sz w:val="21"/>
      </w:rPr>
      <w:t>16</w:t>
    </w:r>
    <w:r w:rsidR="00772382">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C102A"/>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382D"/>
    <w:rsid w:val="004A3F85"/>
    <w:rsid w:val="004A65B5"/>
    <w:rsid w:val="004B4D4D"/>
    <w:rsid w:val="004C11A7"/>
    <w:rsid w:val="004C5F3F"/>
    <w:rsid w:val="004E58A5"/>
    <w:rsid w:val="004E6093"/>
    <w:rsid w:val="005145ED"/>
    <w:rsid w:val="00533D1C"/>
    <w:rsid w:val="00535DC9"/>
    <w:rsid w:val="00540298"/>
    <w:rsid w:val="00541F3F"/>
    <w:rsid w:val="00547DD7"/>
    <w:rsid w:val="00551A8D"/>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6F6553"/>
    <w:rsid w:val="00710028"/>
    <w:rsid w:val="007103A5"/>
    <w:rsid w:val="0072164F"/>
    <w:rsid w:val="007253E7"/>
    <w:rsid w:val="0072736C"/>
    <w:rsid w:val="007315D8"/>
    <w:rsid w:val="00743CFD"/>
    <w:rsid w:val="007664C1"/>
    <w:rsid w:val="00772382"/>
    <w:rsid w:val="00785519"/>
    <w:rsid w:val="007866A5"/>
    <w:rsid w:val="0079299D"/>
    <w:rsid w:val="00792D31"/>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42079"/>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582A"/>
    <w:rsid w:val="00D17FB1"/>
    <w:rsid w:val="00D309C4"/>
    <w:rsid w:val="00D45E53"/>
    <w:rsid w:val="00D47039"/>
    <w:rsid w:val="00D55EAF"/>
    <w:rsid w:val="00D63655"/>
    <w:rsid w:val="00D75630"/>
    <w:rsid w:val="00D842AA"/>
    <w:rsid w:val="00D86D76"/>
    <w:rsid w:val="00D87130"/>
    <w:rsid w:val="00D93E0B"/>
    <w:rsid w:val="00DA7546"/>
    <w:rsid w:val="00DE02C4"/>
    <w:rsid w:val="00DF1796"/>
    <w:rsid w:val="00DF270D"/>
    <w:rsid w:val="00DF3B28"/>
    <w:rsid w:val="00DF56EC"/>
    <w:rsid w:val="00E020F2"/>
    <w:rsid w:val="00E12059"/>
    <w:rsid w:val="00E25D21"/>
    <w:rsid w:val="00E31716"/>
    <w:rsid w:val="00E32B95"/>
    <w:rsid w:val="00E34551"/>
    <w:rsid w:val="00E34EAB"/>
    <w:rsid w:val="00E373B2"/>
    <w:rsid w:val="00E40036"/>
    <w:rsid w:val="00E45000"/>
    <w:rsid w:val="00E451FD"/>
    <w:rsid w:val="00E4667F"/>
    <w:rsid w:val="00E556EC"/>
    <w:rsid w:val="00E55B22"/>
    <w:rsid w:val="00E60D44"/>
    <w:rsid w:val="00E64502"/>
    <w:rsid w:val="00E771D2"/>
    <w:rsid w:val="00E80EDB"/>
    <w:rsid w:val="00E84794"/>
    <w:rsid w:val="00E847DF"/>
    <w:rsid w:val="00E90013"/>
    <w:rsid w:val="00E928BB"/>
    <w:rsid w:val="00EA0CCD"/>
    <w:rsid w:val="00EA28CA"/>
    <w:rsid w:val="00EB4C04"/>
    <w:rsid w:val="00EB56F2"/>
    <w:rsid w:val="00EC2B12"/>
    <w:rsid w:val="00EC4D59"/>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64D65"/>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679D8-65AF-4614-8693-25F72A9C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10</Pages>
  <Words>1550</Words>
  <Characters>8840</Characters>
  <Application>Microsoft Office Word</Application>
  <DocSecurity>0</DocSecurity>
  <Lines>73</Lines>
  <Paragraphs>20</Paragraphs>
  <ScaleCrop>false</ScaleCrop>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7</cp:revision>
  <cp:lastPrinted>2023-06-08T02:23:00Z</cp:lastPrinted>
  <dcterms:created xsi:type="dcterms:W3CDTF">2022-11-15T10:06:00Z</dcterms:created>
  <dcterms:modified xsi:type="dcterms:W3CDTF">2023-06-16T05:37:00Z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