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A5" w:rsidRDefault="00CC3FFA">
      <w:pPr>
        <w:jc w:val="center"/>
        <w:rPr>
          <w:rFonts w:ascii="Times New Roman" w:eastAsia="楷体" w:hAnsi="Times New Roman" w:cs="Times New Roman"/>
          <w:b/>
          <w:color w:val="823C0B"/>
          <w:sz w:val="32"/>
          <w:szCs w:val="32"/>
        </w:rPr>
      </w:pPr>
      <w:bookmarkStart w:id="0" w:name="_top"/>
      <w:bookmarkEnd w:id="0"/>
      <w:r>
        <w:rPr>
          <w:rFonts w:ascii="Times New Roman" w:eastAsia="楷体" w:hAnsi="Times New Roman" w:cs="Times New Roman"/>
          <w:b/>
          <w:color w:val="823C0B"/>
          <w:sz w:val="32"/>
          <w:szCs w:val="32"/>
        </w:rPr>
        <w:t>广州期货早间直通车</w:t>
      </w:r>
    </w:p>
    <w:p w:rsidR="003F56A5" w:rsidRDefault="003F56A5">
      <w:pPr>
        <w:jc w:val="right"/>
        <w:rPr>
          <w:rFonts w:ascii="Times New Roman" w:eastAsia="楷体" w:hAnsi="Times New Roman" w:cs="Times New Roman"/>
          <w:b/>
          <w:color w:val="823C0B"/>
          <w:sz w:val="24"/>
        </w:rPr>
      </w:pPr>
    </w:p>
    <w:p w:rsidR="003F56A5" w:rsidRDefault="00CC3FFA">
      <w:pPr>
        <w:jc w:val="center"/>
        <w:rPr>
          <w:rFonts w:ascii="Times New Roman" w:eastAsia="楷体" w:hAnsi="Times New Roman" w:cs="Times New Roman"/>
          <w:b/>
          <w:color w:val="823C0B"/>
          <w:sz w:val="24"/>
        </w:rPr>
      </w:pPr>
      <w:r>
        <w:rPr>
          <w:rFonts w:ascii="Times New Roman" w:eastAsia="楷体" w:hAnsi="Times New Roman" w:cs="Times New Roman"/>
          <w:b/>
          <w:color w:val="823C0B"/>
          <w:sz w:val="24"/>
        </w:rPr>
        <w:t>投资咨询业务资格：证监许可【</w:t>
      </w:r>
      <w:r>
        <w:rPr>
          <w:rFonts w:ascii="Times New Roman" w:eastAsia="楷体" w:hAnsi="Times New Roman" w:cs="Times New Roman"/>
          <w:b/>
          <w:color w:val="823C0B"/>
          <w:sz w:val="24"/>
        </w:rPr>
        <w:t>2012</w:t>
      </w:r>
      <w:r>
        <w:rPr>
          <w:rFonts w:ascii="Times New Roman" w:eastAsia="楷体" w:hAnsi="Times New Roman" w:cs="Times New Roman"/>
          <w:b/>
          <w:color w:val="823C0B"/>
          <w:sz w:val="24"/>
        </w:rPr>
        <w:t>】</w:t>
      </w:r>
      <w:r>
        <w:rPr>
          <w:rFonts w:ascii="Times New Roman" w:eastAsia="楷体" w:hAnsi="Times New Roman" w:cs="Times New Roman"/>
          <w:b/>
          <w:color w:val="823C0B"/>
          <w:sz w:val="24"/>
        </w:rPr>
        <w:t>1497</w:t>
      </w:r>
      <w:r>
        <w:rPr>
          <w:rFonts w:ascii="Times New Roman" w:eastAsia="楷体" w:hAnsi="Times New Roman" w:cs="Times New Roman"/>
          <w:b/>
          <w:color w:val="823C0B"/>
          <w:sz w:val="24"/>
        </w:rPr>
        <w:t>号</w:t>
      </w:r>
    </w:p>
    <w:p w:rsidR="003F56A5" w:rsidRDefault="003F56A5">
      <w:pPr>
        <w:jc w:val="center"/>
        <w:rPr>
          <w:rFonts w:ascii="Times New Roman" w:eastAsia="楷体" w:hAnsi="Times New Roman"/>
          <w:b/>
          <w:color w:val="823C0B"/>
          <w:sz w:val="30"/>
          <w:szCs w:val="30"/>
        </w:rPr>
      </w:pPr>
    </w:p>
    <w:p w:rsidR="003F56A5" w:rsidRDefault="00CC3FFA">
      <w:pPr>
        <w:jc w:val="center"/>
        <w:rPr>
          <w:rFonts w:ascii="Times New Roman" w:eastAsia="楷体" w:hAnsi="Times New Roman"/>
          <w:b/>
        </w:rPr>
      </w:pPr>
      <w:r>
        <w:rPr>
          <w:rFonts w:ascii="Times New Roman" w:eastAsia="楷体" w:hAnsi="Times New Roman" w:hint="eastAsia"/>
          <w:b/>
          <w:color w:val="823C0B"/>
          <w:sz w:val="30"/>
          <w:szCs w:val="30"/>
        </w:rPr>
        <w:t>评论品种一览</w:t>
      </w:r>
    </w:p>
    <w:sdt>
      <w:sdtPr>
        <w:rPr>
          <w:rFonts w:asciiTheme="minorHAnsi" w:eastAsia="宋体" w:hAnsiTheme="minorHAnsi" w:cstheme="minorBidi"/>
          <w:b/>
          <w:bCs/>
          <w:color w:val="auto"/>
          <w:kern w:val="2"/>
          <w:sz w:val="21"/>
          <w:szCs w:val="21"/>
          <w:lang w:val="zh-CN"/>
        </w:rPr>
        <w:id w:val="1355533930"/>
        <w:docPartObj>
          <w:docPartGallery w:val="Table of Contents"/>
          <w:docPartUnique/>
        </w:docPartObj>
      </w:sdtPr>
      <w:sdtEndPr/>
      <w:sdtContent>
        <w:p w:rsidR="003F56A5" w:rsidRDefault="003F56A5">
          <w:pPr>
            <w:pStyle w:val="TOC1"/>
            <w:rPr>
              <w:b/>
              <w:bCs/>
            </w:rPr>
          </w:pPr>
        </w:p>
        <w:p w:rsidR="00612D79" w:rsidRDefault="00CC3FFA">
          <w:pPr>
            <w:pStyle w:val="11"/>
            <w:tabs>
              <w:tab w:val="right" w:leader="dot" w:pos="8296"/>
            </w:tabs>
            <w:rPr>
              <w:rFonts w:eastAsiaTheme="minorEastAsia"/>
              <w:noProof/>
              <w:szCs w:val="22"/>
            </w:rPr>
          </w:pPr>
          <w:r>
            <w:rPr>
              <w:b/>
              <w:bCs/>
            </w:rPr>
            <w:fldChar w:fldCharType="begin"/>
          </w:r>
          <w:r>
            <w:rPr>
              <w:b/>
              <w:bCs/>
            </w:rPr>
            <w:instrText xml:space="preserve"> TOC \o "1-3" \n \h \z \u </w:instrText>
          </w:r>
          <w:r>
            <w:rPr>
              <w:b/>
              <w:bCs/>
            </w:rPr>
            <w:fldChar w:fldCharType="separate"/>
          </w:r>
          <w:bookmarkStart w:id="1" w:name="_GoBack"/>
          <w:bookmarkEnd w:id="1"/>
          <w:r w:rsidR="00612D79" w:rsidRPr="005A31DD">
            <w:rPr>
              <w:rStyle w:val="a9"/>
              <w:noProof/>
            </w:rPr>
            <w:fldChar w:fldCharType="begin"/>
          </w:r>
          <w:r w:rsidR="00612D79" w:rsidRPr="005A31DD">
            <w:rPr>
              <w:rStyle w:val="a9"/>
              <w:noProof/>
            </w:rPr>
            <w:instrText xml:space="preserve"> </w:instrText>
          </w:r>
          <w:r w:rsidR="00612D79">
            <w:rPr>
              <w:noProof/>
            </w:rPr>
            <w:instrText>HYPERLINK \l "_Toc137715366"</w:instrText>
          </w:r>
          <w:r w:rsidR="00612D79" w:rsidRPr="005A31DD">
            <w:rPr>
              <w:rStyle w:val="a9"/>
              <w:noProof/>
            </w:rPr>
            <w:instrText xml:space="preserve"> </w:instrText>
          </w:r>
          <w:r w:rsidR="00612D79" w:rsidRPr="005A31DD">
            <w:rPr>
              <w:rStyle w:val="a9"/>
              <w:noProof/>
            </w:rPr>
          </w:r>
          <w:r w:rsidR="00612D79" w:rsidRPr="005A31DD">
            <w:rPr>
              <w:rStyle w:val="a9"/>
              <w:noProof/>
            </w:rPr>
            <w:fldChar w:fldCharType="separate"/>
          </w:r>
          <w:r w:rsidR="00612D79" w:rsidRPr="005A31DD">
            <w:rPr>
              <w:rStyle w:val="a9"/>
              <w:rFonts w:ascii="Times New Roman" w:eastAsia="楷体" w:hAnsi="Times New Roman"/>
              <w:b/>
              <w:noProof/>
            </w:rPr>
            <w:t>[</w:t>
          </w:r>
          <w:r w:rsidR="00612D79" w:rsidRPr="005A31DD">
            <w:rPr>
              <w:rStyle w:val="a9"/>
              <w:rFonts w:ascii="Times New Roman" w:eastAsia="楷体" w:hAnsi="Times New Roman"/>
              <w:b/>
              <w:noProof/>
            </w:rPr>
            <w:t>金融</w:t>
          </w:r>
          <w:r w:rsidR="00612D79" w:rsidRPr="005A31DD">
            <w:rPr>
              <w:rStyle w:val="a9"/>
              <w:rFonts w:ascii="Times New Roman" w:eastAsia="楷体" w:hAnsi="Times New Roman"/>
              <w:b/>
              <w:noProof/>
            </w:rPr>
            <w:t>]</w:t>
          </w:r>
          <w:r w:rsidR="00612D79" w:rsidRPr="005A31DD">
            <w:rPr>
              <w:rStyle w:val="a9"/>
              <w:noProof/>
            </w:rPr>
            <w:fldChar w:fldCharType="end"/>
          </w:r>
        </w:p>
        <w:p w:rsidR="00612D79" w:rsidRDefault="00612D79">
          <w:pPr>
            <w:pStyle w:val="23"/>
            <w:tabs>
              <w:tab w:val="right" w:leader="dot" w:pos="8296"/>
            </w:tabs>
            <w:rPr>
              <w:rFonts w:eastAsiaTheme="minorEastAsia"/>
              <w:noProof/>
              <w:szCs w:val="22"/>
            </w:rPr>
          </w:pPr>
          <w:hyperlink w:anchor="_Toc137715367" w:history="1">
            <w:r w:rsidRPr="005A31DD">
              <w:rPr>
                <w:rStyle w:val="a9"/>
                <w:rFonts w:ascii="Times New Roman" w:eastAsia="楷体" w:hAnsi="Times New Roman"/>
                <w:b/>
                <w:noProof/>
              </w:rPr>
              <w:t>股指：低多</w:t>
            </w:r>
            <w:r w:rsidRPr="005A31DD">
              <w:rPr>
                <w:rStyle w:val="a9"/>
                <w:rFonts w:ascii="Times New Roman" w:eastAsia="楷体" w:hAnsi="Times New Roman"/>
                <w:b/>
                <w:noProof/>
              </w:rPr>
              <w:t>IM</w:t>
            </w:r>
          </w:hyperlink>
        </w:p>
        <w:p w:rsidR="00612D79" w:rsidRDefault="00612D79">
          <w:pPr>
            <w:pStyle w:val="11"/>
            <w:tabs>
              <w:tab w:val="right" w:leader="dot" w:pos="8296"/>
            </w:tabs>
            <w:rPr>
              <w:rFonts w:eastAsiaTheme="minorEastAsia"/>
              <w:noProof/>
              <w:szCs w:val="22"/>
            </w:rPr>
          </w:pPr>
          <w:hyperlink w:anchor="_Toc137715368" w:history="1">
            <w:r w:rsidRPr="005A31DD">
              <w:rPr>
                <w:rStyle w:val="a9"/>
                <w:rFonts w:ascii="Times New Roman" w:eastAsia="楷体" w:hAnsi="Times New Roman"/>
                <w:b/>
                <w:noProof/>
              </w:rPr>
              <w:t>[</w:t>
            </w:r>
            <w:r w:rsidRPr="005A31DD">
              <w:rPr>
                <w:rStyle w:val="a9"/>
                <w:rFonts w:ascii="Times New Roman" w:eastAsia="楷体" w:hAnsi="Times New Roman"/>
                <w:b/>
                <w:noProof/>
              </w:rPr>
              <w:t>贵金属</w:t>
            </w:r>
            <w:r w:rsidRPr="005A31DD">
              <w:rPr>
                <w:rStyle w:val="a9"/>
                <w:rFonts w:ascii="Times New Roman" w:eastAsia="楷体" w:hAnsi="Times New Roman"/>
                <w:b/>
                <w:noProof/>
              </w:rPr>
              <w:t>]</w:t>
            </w:r>
          </w:hyperlink>
        </w:p>
        <w:p w:rsidR="00612D79" w:rsidRDefault="00612D79">
          <w:pPr>
            <w:pStyle w:val="23"/>
            <w:tabs>
              <w:tab w:val="right" w:leader="dot" w:pos="8296"/>
            </w:tabs>
            <w:rPr>
              <w:rFonts w:eastAsiaTheme="minorEastAsia"/>
              <w:noProof/>
              <w:szCs w:val="22"/>
            </w:rPr>
          </w:pPr>
          <w:hyperlink w:anchor="_Toc137715369" w:history="1">
            <w:r w:rsidRPr="005A31DD">
              <w:rPr>
                <w:rStyle w:val="a9"/>
                <w:rFonts w:ascii="Times New Roman" w:eastAsia="楷体" w:hAnsi="Times New Roman"/>
                <w:b/>
                <w:noProof/>
              </w:rPr>
              <w:t>贵金属：美联储暂停加息，鹰派表态令贵金属价格承压回落</w:t>
            </w:r>
          </w:hyperlink>
        </w:p>
        <w:p w:rsidR="00612D79" w:rsidRDefault="00612D79">
          <w:pPr>
            <w:pStyle w:val="11"/>
            <w:tabs>
              <w:tab w:val="right" w:leader="dot" w:pos="8296"/>
            </w:tabs>
            <w:rPr>
              <w:rFonts w:eastAsiaTheme="minorEastAsia"/>
              <w:noProof/>
              <w:szCs w:val="22"/>
            </w:rPr>
          </w:pPr>
          <w:hyperlink w:anchor="_Toc137715370" w:history="1">
            <w:r w:rsidRPr="005A31DD">
              <w:rPr>
                <w:rStyle w:val="a9"/>
                <w:rFonts w:ascii="Times New Roman" w:eastAsia="楷体" w:hAnsi="Times New Roman"/>
                <w:b/>
                <w:noProof/>
              </w:rPr>
              <w:t>[</w:t>
            </w:r>
            <w:r w:rsidRPr="005A31DD">
              <w:rPr>
                <w:rStyle w:val="a9"/>
                <w:rFonts w:ascii="Times New Roman" w:eastAsia="楷体" w:hAnsi="Times New Roman"/>
                <w:b/>
                <w:noProof/>
              </w:rPr>
              <w:t>金属</w:t>
            </w:r>
            <w:r w:rsidRPr="005A31DD">
              <w:rPr>
                <w:rStyle w:val="a9"/>
                <w:rFonts w:ascii="Times New Roman" w:eastAsia="楷体" w:hAnsi="Times New Roman"/>
                <w:b/>
                <w:noProof/>
              </w:rPr>
              <w:t>]</w:t>
            </w:r>
          </w:hyperlink>
        </w:p>
        <w:p w:rsidR="00612D79" w:rsidRDefault="00612D79">
          <w:pPr>
            <w:pStyle w:val="23"/>
            <w:tabs>
              <w:tab w:val="right" w:leader="dot" w:pos="8296"/>
            </w:tabs>
            <w:rPr>
              <w:rFonts w:eastAsiaTheme="minorEastAsia"/>
              <w:noProof/>
              <w:szCs w:val="22"/>
            </w:rPr>
          </w:pPr>
          <w:hyperlink w:anchor="_Toc137715371" w:history="1">
            <w:r w:rsidRPr="005A31DD">
              <w:rPr>
                <w:rStyle w:val="a9"/>
                <w:rFonts w:ascii="楷体" w:eastAsia="楷体" w:hAnsi="楷体"/>
                <w:b/>
                <w:noProof/>
              </w:rPr>
              <w:t>螺纹钢：数据披露期，波动放大</w:t>
            </w:r>
          </w:hyperlink>
        </w:p>
        <w:p w:rsidR="00612D79" w:rsidRDefault="00612D79">
          <w:pPr>
            <w:pStyle w:val="23"/>
            <w:tabs>
              <w:tab w:val="right" w:leader="dot" w:pos="8296"/>
            </w:tabs>
            <w:rPr>
              <w:rFonts w:eastAsiaTheme="minorEastAsia"/>
              <w:noProof/>
              <w:szCs w:val="22"/>
            </w:rPr>
          </w:pPr>
          <w:hyperlink w:anchor="_Toc137715372" w:history="1">
            <w:r w:rsidRPr="005A31DD">
              <w:rPr>
                <w:rStyle w:val="a9"/>
                <w:rFonts w:ascii="楷体" w:eastAsia="楷体" w:hAnsi="楷体"/>
                <w:b/>
                <w:noProof/>
              </w:rPr>
              <w:t>焦炭：期现共振走强，或继续偏强震荡</w:t>
            </w:r>
          </w:hyperlink>
        </w:p>
        <w:p w:rsidR="00612D79" w:rsidRDefault="00612D79">
          <w:pPr>
            <w:pStyle w:val="23"/>
            <w:tabs>
              <w:tab w:val="right" w:leader="dot" w:pos="8296"/>
            </w:tabs>
            <w:rPr>
              <w:rFonts w:eastAsiaTheme="minorEastAsia"/>
              <w:noProof/>
              <w:szCs w:val="22"/>
            </w:rPr>
          </w:pPr>
          <w:hyperlink w:anchor="_Toc137715373" w:history="1">
            <w:r w:rsidRPr="005A31DD">
              <w:rPr>
                <w:rStyle w:val="a9"/>
                <w:rFonts w:ascii="楷体" w:eastAsia="楷体" w:hAnsi="楷体"/>
                <w:b/>
                <w:noProof/>
              </w:rPr>
              <w:t>焦煤：期现共振下突破，或继续偏强震荡</w:t>
            </w:r>
          </w:hyperlink>
        </w:p>
        <w:p w:rsidR="00612D79" w:rsidRDefault="00612D79">
          <w:pPr>
            <w:pStyle w:val="23"/>
            <w:tabs>
              <w:tab w:val="right" w:leader="dot" w:pos="8296"/>
            </w:tabs>
            <w:rPr>
              <w:rFonts w:eastAsiaTheme="minorEastAsia"/>
              <w:noProof/>
              <w:szCs w:val="22"/>
            </w:rPr>
          </w:pPr>
          <w:hyperlink w:anchor="_Toc137715374" w:history="1">
            <w:r w:rsidRPr="005A31DD">
              <w:rPr>
                <w:rStyle w:val="a9"/>
                <w:rFonts w:ascii="楷体" w:eastAsia="楷体" w:hAnsi="楷体"/>
                <w:b/>
                <w:noProof/>
              </w:rPr>
              <w:t>铜：短期内外宽松预期共振，铜价震荡偏强运行</w:t>
            </w:r>
          </w:hyperlink>
        </w:p>
        <w:p w:rsidR="00612D79" w:rsidRDefault="00612D79">
          <w:pPr>
            <w:pStyle w:val="23"/>
            <w:tabs>
              <w:tab w:val="right" w:leader="dot" w:pos="8296"/>
            </w:tabs>
            <w:rPr>
              <w:rFonts w:eastAsiaTheme="minorEastAsia"/>
              <w:noProof/>
              <w:szCs w:val="22"/>
            </w:rPr>
          </w:pPr>
          <w:hyperlink w:anchor="_Toc137715375" w:history="1">
            <w:r w:rsidRPr="005A31DD">
              <w:rPr>
                <w:rStyle w:val="a9"/>
                <w:rFonts w:ascii="楷体" w:eastAsia="楷体" w:hAnsi="楷体"/>
                <w:b/>
                <w:noProof/>
              </w:rPr>
              <w:t>铝：宏观释放利多，铝价上方压力位震荡</w:t>
            </w:r>
          </w:hyperlink>
        </w:p>
        <w:p w:rsidR="00612D79" w:rsidRDefault="00612D79">
          <w:pPr>
            <w:pStyle w:val="23"/>
            <w:tabs>
              <w:tab w:val="right" w:leader="dot" w:pos="8296"/>
            </w:tabs>
            <w:rPr>
              <w:rFonts w:eastAsiaTheme="minorEastAsia"/>
              <w:noProof/>
              <w:szCs w:val="22"/>
            </w:rPr>
          </w:pPr>
          <w:hyperlink w:anchor="_Toc137715376" w:history="1">
            <w:r w:rsidRPr="005A31DD">
              <w:rPr>
                <w:rStyle w:val="a9"/>
                <w:rFonts w:ascii="楷体" w:eastAsia="楷体" w:hAnsi="楷体"/>
                <w:b/>
                <w:noProof/>
              </w:rPr>
              <w:t>锌：宏观叠加低库存支撑价格，建议逢高沽空</w:t>
            </w:r>
          </w:hyperlink>
        </w:p>
        <w:p w:rsidR="00612D79" w:rsidRDefault="00612D79">
          <w:pPr>
            <w:pStyle w:val="23"/>
            <w:tabs>
              <w:tab w:val="right" w:leader="dot" w:pos="8296"/>
            </w:tabs>
            <w:rPr>
              <w:rFonts w:eastAsiaTheme="minorEastAsia"/>
              <w:noProof/>
              <w:szCs w:val="22"/>
            </w:rPr>
          </w:pPr>
          <w:hyperlink w:anchor="_Toc137715377" w:history="1">
            <w:r w:rsidRPr="005A31DD">
              <w:rPr>
                <w:rStyle w:val="a9"/>
                <w:rFonts w:ascii="楷体" w:eastAsia="楷体" w:hAnsi="楷体"/>
                <w:b/>
                <w:noProof/>
              </w:rPr>
              <w:t>镍：下行趋势未变，维持反弹后逢高空思路</w:t>
            </w:r>
          </w:hyperlink>
        </w:p>
        <w:p w:rsidR="00612D79" w:rsidRDefault="00612D79">
          <w:pPr>
            <w:pStyle w:val="23"/>
            <w:tabs>
              <w:tab w:val="right" w:leader="dot" w:pos="8296"/>
            </w:tabs>
            <w:rPr>
              <w:rFonts w:eastAsiaTheme="minorEastAsia"/>
              <w:noProof/>
              <w:szCs w:val="22"/>
            </w:rPr>
          </w:pPr>
          <w:hyperlink w:anchor="_Toc137715378" w:history="1">
            <w:r w:rsidRPr="005A31DD">
              <w:rPr>
                <w:rStyle w:val="a9"/>
                <w:rFonts w:ascii="楷体" w:eastAsia="楷体" w:hAnsi="楷体"/>
                <w:b/>
                <w:noProof/>
              </w:rPr>
              <w:t>铅：供应压力走松，铅价延续区间震荡</w:t>
            </w:r>
          </w:hyperlink>
        </w:p>
        <w:p w:rsidR="00612D79" w:rsidRDefault="00612D79">
          <w:pPr>
            <w:pStyle w:val="23"/>
            <w:tabs>
              <w:tab w:val="right" w:leader="dot" w:pos="8296"/>
            </w:tabs>
            <w:rPr>
              <w:rFonts w:eastAsiaTheme="minorEastAsia"/>
              <w:noProof/>
              <w:szCs w:val="22"/>
            </w:rPr>
          </w:pPr>
          <w:hyperlink w:anchor="_Toc137715379" w:history="1">
            <w:r w:rsidRPr="005A31DD">
              <w:rPr>
                <w:rStyle w:val="a9"/>
                <w:rFonts w:ascii="楷体" w:eastAsia="楷体" w:hAnsi="楷体"/>
                <w:b/>
                <w:noProof/>
              </w:rPr>
              <w:t>不锈钢：偏区间震荡为主</w:t>
            </w:r>
          </w:hyperlink>
        </w:p>
        <w:p w:rsidR="00612D79" w:rsidRDefault="00612D79">
          <w:pPr>
            <w:pStyle w:val="23"/>
            <w:tabs>
              <w:tab w:val="right" w:leader="dot" w:pos="8296"/>
            </w:tabs>
            <w:rPr>
              <w:rFonts w:eastAsiaTheme="minorEastAsia"/>
              <w:noProof/>
              <w:szCs w:val="22"/>
            </w:rPr>
          </w:pPr>
          <w:hyperlink w:anchor="_Toc137715380" w:history="1">
            <w:r w:rsidRPr="005A31DD">
              <w:rPr>
                <w:rStyle w:val="a9"/>
                <w:rFonts w:ascii="楷体" w:eastAsia="楷体" w:hAnsi="楷体"/>
                <w:b/>
                <w:noProof/>
              </w:rPr>
              <w:t>工业硅：成本支撑已逐步显现，短期市场或阶段性企稳</w:t>
            </w:r>
          </w:hyperlink>
        </w:p>
        <w:p w:rsidR="00612D79" w:rsidRDefault="00612D79">
          <w:pPr>
            <w:pStyle w:val="11"/>
            <w:tabs>
              <w:tab w:val="right" w:leader="dot" w:pos="8296"/>
            </w:tabs>
            <w:rPr>
              <w:rFonts w:eastAsiaTheme="minorEastAsia"/>
              <w:noProof/>
              <w:szCs w:val="22"/>
            </w:rPr>
          </w:pPr>
          <w:hyperlink w:anchor="_Toc137715381" w:history="1">
            <w:r w:rsidRPr="005A31DD">
              <w:rPr>
                <w:rStyle w:val="a9"/>
                <w:rFonts w:ascii="Times New Roman" w:eastAsia="楷体" w:hAnsi="Times New Roman"/>
                <w:b/>
                <w:noProof/>
              </w:rPr>
              <w:t>[</w:t>
            </w:r>
            <w:r w:rsidRPr="005A31DD">
              <w:rPr>
                <w:rStyle w:val="a9"/>
                <w:rFonts w:ascii="Times New Roman" w:eastAsia="楷体" w:hAnsi="Times New Roman"/>
                <w:b/>
                <w:noProof/>
              </w:rPr>
              <w:t>化工</w:t>
            </w:r>
            <w:r w:rsidRPr="005A31DD">
              <w:rPr>
                <w:rStyle w:val="a9"/>
                <w:rFonts w:ascii="Times New Roman" w:eastAsia="楷体" w:hAnsi="Times New Roman"/>
                <w:b/>
                <w:noProof/>
              </w:rPr>
              <w:t>]</w:t>
            </w:r>
          </w:hyperlink>
        </w:p>
        <w:p w:rsidR="00612D79" w:rsidRDefault="00612D79">
          <w:pPr>
            <w:pStyle w:val="23"/>
            <w:tabs>
              <w:tab w:val="right" w:leader="dot" w:pos="8296"/>
            </w:tabs>
            <w:rPr>
              <w:rFonts w:eastAsiaTheme="minorEastAsia"/>
              <w:noProof/>
              <w:szCs w:val="22"/>
            </w:rPr>
          </w:pPr>
          <w:hyperlink w:anchor="_Toc137715382" w:history="1">
            <w:r w:rsidRPr="005A31DD">
              <w:rPr>
                <w:rStyle w:val="a9"/>
                <w:rFonts w:ascii="Times New Roman" w:eastAsia="楷体" w:hAnsi="Times New Roman"/>
                <w:b/>
                <w:noProof/>
              </w:rPr>
              <w:t>天然橡胶</w:t>
            </w:r>
            <w:r w:rsidRPr="005A31DD">
              <w:rPr>
                <w:rStyle w:val="a9"/>
                <w:rFonts w:ascii="Times New Roman" w:eastAsia="楷体" w:hAnsi="Times New Roman"/>
                <w:b/>
                <w:noProof/>
              </w:rPr>
              <w:t>:</w:t>
            </w:r>
            <w:r w:rsidRPr="005A31DD">
              <w:rPr>
                <w:rStyle w:val="a9"/>
                <w:rFonts w:ascii="楷体" w:eastAsia="楷体" w:hAnsi="楷体"/>
                <w:b/>
                <w:noProof/>
              </w:rPr>
              <w:t xml:space="preserve"> 需求好转难以成为关注重点，RU维持震荡走势为主</w:t>
            </w:r>
          </w:hyperlink>
        </w:p>
        <w:p w:rsidR="00612D79" w:rsidRDefault="00612D79">
          <w:pPr>
            <w:pStyle w:val="23"/>
            <w:tabs>
              <w:tab w:val="right" w:leader="dot" w:pos="8296"/>
            </w:tabs>
            <w:rPr>
              <w:rFonts w:eastAsiaTheme="minorEastAsia"/>
              <w:noProof/>
              <w:szCs w:val="22"/>
            </w:rPr>
          </w:pPr>
          <w:hyperlink w:anchor="_Toc137715383" w:history="1">
            <w:r w:rsidRPr="005A31DD">
              <w:rPr>
                <w:rStyle w:val="a9"/>
                <w:rFonts w:ascii="楷体" w:eastAsia="楷体" w:hAnsi="楷体"/>
                <w:b/>
                <w:noProof/>
              </w:rPr>
              <w:t>PTA：成本油价趋弱 TA反弹空间受限</w:t>
            </w:r>
          </w:hyperlink>
        </w:p>
        <w:p w:rsidR="00612D79" w:rsidRDefault="00612D79">
          <w:pPr>
            <w:pStyle w:val="23"/>
            <w:tabs>
              <w:tab w:val="right" w:leader="dot" w:pos="8296"/>
            </w:tabs>
            <w:rPr>
              <w:rFonts w:eastAsiaTheme="minorEastAsia"/>
              <w:noProof/>
              <w:szCs w:val="22"/>
            </w:rPr>
          </w:pPr>
          <w:hyperlink w:anchor="_Toc137715384" w:history="1">
            <w:r w:rsidRPr="005A31DD">
              <w:rPr>
                <w:rStyle w:val="a9"/>
                <w:rFonts w:ascii="楷体" w:eastAsia="楷体" w:hAnsi="楷体"/>
                <w:b/>
                <w:noProof/>
              </w:rPr>
              <w:t>PVC：高库存+弱复苏 驱动不足</w:t>
            </w:r>
          </w:hyperlink>
        </w:p>
        <w:p w:rsidR="00612D79" w:rsidRDefault="00612D79">
          <w:pPr>
            <w:pStyle w:val="23"/>
            <w:tabs>
              <w:tab w:val="right" w:leader="dot" w:pos="8296"/>
            </w:tabs>
            <w:rPr>
              <w:rFonts w:eastAsiaTheme="minorEastAsia"/>
              <w:noProof/>
              <w:szCs w:val="22"/>
            </w:rPr>
          </w:pPr>
          <w:hyperlink w:anchor="_Toc137715385" w:history="1">
            <w:r w:rsidRPr="005A31DD">
              <w:rPr>
                <w:rStyle w:val="a9"/>
                <w:rFonts w:ascii="楷体" w:eastAsia="楷体" w:hAnsi="楷体"/>
                <w:b/>
                <w:noProof/>
              </w:rPr>
              <w:t>聚烯烃：成本支撑减弱 聚烯烃或偏弱震荡</w:t>
            </w:r>
          </w:hyperlink>
        </w:p>
        <w:p w:rsidR="00612D79" w:rsidRDefault="00612D79">
          <w:pPr>
            <w:pStyle w:val="23"/>
            <w:tabs>
              <w:tab w:val="right" w:leader="dot" w:pos="8296"/>
            </w:tabs>
            <w:rPr>
              <w:rFonts w:eastAsiaTheme="minorEastAsia"/>
              <w:noProof/>
              <w:szCs w:val="22"/>
            </w:rPr>
          </w:pPr>
          <w:hyperlink w:anchor="_Toc137715386" w:history="1">
            <w:r w:rsidRPr="005A31DD">
              <w:rPr>
                <w:rStyle w:val="a9"/>
                <w:rFonts w:ascii="楷体" w:eastAsia="楷体" w:hAnsi="楷体"/>
                <w:b/>
                <w:noProof/>
              </w:rPr>
              <w:t>MEG：成本下行供应增加 09合约上行驱动不足</w:t>
            </w:r>
          </w:hyperlink>
        </w:p>
        <w:p w:rsidR="00612D79" w:rsidRDefault="00612D79">
          <w:pPr>
            <w:pStyle w:val="23"/>
            <w:tabs>
              <w:tab w:val="right" w:leader="dot" w:pos="8296"/>
            </w:tabs>
            <w:rPr>
              <w:rFonts w:eastAsiaTheme="minorEastAsia"/>
              <w:noProof/>
              <w:szCs w:val="22"/>
            </w:rPr>
          </w:pPr>
          <w:hyperlink w:anchor="_Toc137715387" w:history="1">
            <w:r w:rsidRPr="005A31DD">
              <w:rPr>
                <w:rStyle w:val="a9"/>
                <w:rFonts w:ascii="楷体" w:eastAsia="楷体" w:hAnsi="楷体"/>
                <w:b/>
                <w:noProof/>
              </w:rPr>
              <w:t>玻璃：强预期弱现实，盘面宽幅震荡</w:t>
            </w:r>
          </w:hyperlink>
        </w:p>
        <w:p w:rsidR="00612D79" w:rsidRDefault="00612D79">
          <w:pPr>
            <w:pStyle w:val="23"/>
            <w:tabs>
              <w:tab w:val="right" w:leader="dot" w:pos="8296"/>
            </w:tabs>
            <w:rPr>
              <w:rFonts w:eastAsiaTheme="minorEastAsia"/>
              <w:noProof/>
              <w:szCs w:val="22"/>
            </w:rPr>
          </w:pPr>
          <w:hyperlink w:anchor="_Toc137715388" w:history="1">
            <w:r w:rsidRPr="005A31DD">
              <w:rPr>
                <w:rStyle w:val="a9"/>
                <w:rFonts w:ascii="楷体" w:eastAsia="楷体" w:hAnsi="楷体"/>
                <w:b/>
                <w:noProof/>
              </w:rPr>
              <w:t>纯碱：基差快速修复，反弹高度有限</w:t>
            </w:r>
          </w:hyperlink>
        </w:p>
        <w:p w:rsidR="00612D79" w:rsidRDefault="00612D79">
          <w:pPr>
            <w:pStyle w:val="11"/>
            <w:tabs>
              <w:tab w:val="right" w:leader="dot" w:pos="8296"/>
            </w:tabs>
            <w:rPr>
              <w:rFonts w:eastAsiaTheme="minorEastAsia"/>
              <w:noProof/>
              <w:szCs w:val="22"/>
            </w:rPr>
          </w:pPr>
          <w:hyperlink w:anchor="_Toc137715389" w:history="1">
            <w:r w:rsidRPr="005A31DD">
              <w:rPr>
                <w:rStyle w:val="a9"/>
                <w:rFonts w:ascii="Times New Roman" w:eastAsia="楷体" w:hAnsi="Times New Roman"/>
                <w:b/>
                <w:noProof/>
              </w:rPr>
              <w:t>[</w:t>
            </w:r>
            <w:r w:rsidRPr="005A31DD">
              <w:rPr>
                <w:rStyle w:val="a9"/>
                <w:rFonts w:ascii="Times New Roman" w:eastAsia="楷体" w:hAnsi="Times New Roman"/>
                <w:b/>
                <w:noProof/>
              </w:rPr>
              <w:t>农产品</w:t>
            </w:r>
            <w:r w:rsidRPr="005A31DD">
              <w:rPr>
                <w:rStyle w:val="a9"/>
                <w:rFonts w:ascii="Times New Roman" w:eastAsia="楷体" w:hAnsi="Times New Roman"/>
                <w:b/>
                <w:noProof/>
              </w:rPr>
              <w:t>]</w:t>
            </w:r>
          </w:hyperlink>
        </w:p>
        <w:p w:rsidR="00612D79" w:rsidRDefault="00612D79">
          <w:pPr>
            <w:pStyle w:val="23"/>
            <w:tabs>
              <w:tab w:val="right" w:leader="dot" w:pos="8296"/>
            </w:tabs>
            <w:rPr>
              <w:rFonts w:eastAsiaTheme="minorEastAsia"/>
              <w:noProof/>
              <w:szCs w:val="22"/>
            </w:rPr>
          </w:pPr>
          <w:hyperlink w:anchor="_Toc137715390" w:history="1">
            <w:r w:rsidRPr="005A31DD">
              <w:rPr>
                <w:rStyle w:val="a9"/>
                <w:rFonts w:ascii="楷体" w:eastAsia="楷体" w:hAnsi="楷体"/>
                <w:b/>
                <w:noProof/>
              </w:rPr>
              <w:t>豆粕/菜粕：美豆优良率继续走低，偏强震荡</w:t>
            </w:r>
          </w:hyperlink>
        </w:p>
        <w:p w:rsidR="00612D79" w:rsidRDefault="00612D79">
          <w:pPr>
            <w:pStyle w:val="23"/>
            <w:tabs>
              <w:tab w:val="right" w:leader="dot" w:pos="8296"/>
            </w:tabs>
            <w:rPr>
              <w:rFonts w:eastAsiaTheme="minorEastAsia"/>
              <w:noProof/>
              <w:szCs w:val="22"/>
            </w:rPr>
          </w:pPr>
          <w:hyperlink w:anchor="_Toc137715391" w:history="1">
            <w:r w:rsidRPr="005A31DD">
              <w:rPr>
                <w:rStyle w:val="a9"/>
                <w:rFonts w:ascii="楷体" w:eastAsia="楷体" w:hAnsi="楷体"/>
                <w:b/>
                <w:noProof/>
              </w:rPr>
              <w:t>油脂：短期宏观情绪提振，但基本面未改变</w:t>
            </w:r>
          </w:hyperlink>
        </w:p>
        <w:p w:rsidR="00612D79" w:rsidRDefault="00612D79">
          <w:pPr>
            <w:pStyle w:val="23"/>
            <w:tabs>
              <w:tab w:val="right" w:leader="dot" w:pos="8296"/>
            </w:tabs>
            <w:rPr>
              <w:rFonts w:eastAsiaTheme="minorEastAsia"/>
              <w:noProof/>
              <w:szCs w:val="22"/>
            </w:rPr>
          </w:pPr>
          <w:hyperlink w:anchor="_Toc137715392" w:history="1">
            <w:r w:rsidRPr="005A31DD">
              <w:rPr>
                <w:rStyle w:val="a9"/>
                <w:rFonts w:ascii="楷体" w:eastAsia="楷体" w:hAnsi="楷体"/>
                <w:b/>
                <w:bCs/>
                <w:noProof/>
              </w:rPr>
              <w:t>玉米与淀粉：</w:t>
            </w:r>
            <w:r w:rsidRPr="005A31DD">
              <w:rPr>
                <w:rStyle w:val="a9"/>
                <w:rFonts w:ascii="楷体" w:eastAsia="楷体" w:hAnsi="楷体"/>
                <w:b/>
                <w:noProof/>
              </w:rPr>
              <w:t>期价震荡偏强运行</w:t>
            </w:r>
          </w:hyperlink>
        </w:p>
        <w:p w:rsidR="00612D79" w:rsidRDefault="00612D79">
          <w:pPr>
            <w:pStyle w:val="23"/>
            <w:tabs>
              <w:tab w:val="right" w:leader="dot" w:pos="8296"/>
            </w:tabs>
            <w:rPr>
              <w:rFonts w:eastAsiaTheme="minorEastAsia"/>
              <w:noProof/>
              <w:szCs w:val="22"/>
            </w:rPr>
          </w:pPr>
          <w:hyperlink w:anchor="_Toc137715393" w:history="1">
            <w:r w:rsidRPr="005A31DD">
              <w:rPr>
                <w:rStyle w:val="a9"/>
                <w:rFonts w:ascii="楷体" w:eastAsia="楷体" w:hAnsi="楷体"/>
                <w:b/>
                <w:bCs/>
                <w:noProof/>
              </w:rPr>
              <w:t>畜禽养殖：生猪期价持续反弹</w:t>
            </w:r>
          </w:hyperlink>
        </w:p>
        <w:p w:rsidR="00612D79" w:rsidRDefault="00612D79">
          <w:pPr>
            <w:pStyle w:val="23"/>
            <w:tabs>
              <w:tab w:val="right" w:leader="dot" w:pos="8296"/>
            </w:tabs>
            <w:rPr>
              <w:rFonts w:eastAsiaTheme="minorEastAsia"/>
              <w:noProof/>
              <w:szCs w:val="22"/>
            </w:rPr>
          </w:pPr>
          <w:hyperlink w:anchor="_Toc137715394" w:history="1">
            <w:r w:rsidRPr="005A31DD">
              <w:rPr>
                <w:rStyle w:val="a9"/>
                <w:rFonts w:ascii="楷体" w:eastAsia="楷体" w:hAnsi="楷体"/>
                <w:b/>
                <w:noProof/>
              </w:rPr>
              <w:t>郑棉：预计09合约震荡整理，观望</w:t>
            </w:r>
          </w:hyperlink>
        </w:p>
        <w:p w:rsidR="003F56A5" w:rsidRPr="008F2A6E" w:rsidRDefault="00CC3FFA">
          <w:r>
            <w:rPr>
              <w:bCs/>
            </w:rPr>
            <w:fldChar w:fldCharType="end"/>
          </w:r>
        </w:p>
      </w:sdtContent>
    </w:sdt>
    <w:p w:rsidR="003F56A5" w:rsidRDefault="003F56A5">
      <w:pPr>
        <w:rPr>
          <w:rFonts w:ascii="Times New Roman" w:eastAsia="楷体" w:hAnsi="Times New Roman" w:cs="Times New Roman"/>
          <w:b/>
          <w:color w:val="823C0B"/>
          <w:sz w:val="24"/>
        </w:rPr>
      </w:pPr>
    </w:p>
    <w:p w:rsidR="003F56A5" w:rsidRDefault="003F56A5">
      <w:pPr>
        <w:rPr>
          <w:rFonts w:ascii="Times New Roman" w:eastAsia="楷体" w:hAnsi="Times New Roman" w:cs="Times New Roman"/>
          <w:b/>
          <w:color w:val="823C0B"/>
          <w:sz w:val="24"/>
        </w:rPr>
      </w:pPr>
    </w:p>
    <w:p w:rsidR="003F56A5" w:rsidRDefault="00CC3FFA">
      <w:pPr>
        <w:rPr>
          <w:rFonts w:ascii="Times New Roman" w:eastAsia="楷体" w:hAnsi="Times New Roman" w:cs="Times New Roman"/>
          <w:b/>
          <w:color w:val="823C0B"/>
          <w:sz w:val="24"/>
        </w:rPr>
        <w:sectPr w:rsidR="003F56A5">
          <w:headerReference w:type="default" r:id="rId9"/>
          <w:footerReference w:type="default" r:id="rId10"/>
          <w:headerReference w:type="first" r:id="rId11"/>
          <w:pgSz w:w="11906" w:h="16838"/>
          <w:pgMar w:top="1440" w:right="1800" w:bottom="1440" w:left="1800" w:header="850" w:footer="1077" w:gutter="0"/>
          <w:cols w:space="425"/>
          <w:titlePg/>
          <w:docGrid w:type="lines" w:linePitch="312"/>
        </w:sectPr>
      </w:pPr>
      <w:r>
        <w:rPr>
          <w:rFonts w:ascii="Times New Roman" w:eastAsia="楷体" w:hAnsi="Times New Roman" w:cs="Times New Roman" w:hint="eastAsia"/>
          <w:b/>
          <w:color w:val="823C0B"/>
          <w:sz w:val="24"/>
        </w:rPr>
        <w:t>本文观点、结论和建议等仅供参考，并不构成操作依据！请阅读文末免责声明。</w:t>
      </w:r>
    </w:p>
    <w:p w:rsidR="003F56A5" w:rsidRDefault="003F56A5">
      <w:pPr>
        <w:rPr>
          <w:rFonts w:ascii="Times New Roman" w:eastAsia="楷体" w:hAnsi="Times New Roman" w:cs="Times New Roman"/>
          <w:b/>
          <w:color w:val="823C0B"/>
          <w:sz w:val="24"/>
        </w:rPr>
      </w:pPr>
    </w:p>
    <w:p w:rsidR="003F56A5" w:rsidRDefault="00CC3FFA">
      <w:pPr>
        <w:jc w:val="center"/>
        <w:rPr>
          <w:rFonts w:ascii="Times New Roman" w:eastAsia="楷体" w:hAnsi="Times New Roman"/>
          <w:b/>
          <w:color w:val="823C0B"/>
          <w:sz w:val="30"/>
          <w:szCs w:val="30"/>
        </w:rPr>
      </w:pPr>
      <w:r>
        <w:rPr>
          <w:rFonts w:ascii="Times New Roman" w:eastAsia="楷体" w:hAnsi="Times New Roman" w:hint="eastAsia"/>
          <w:b/>
          <w:color w:val="823C0B"/>
          <w:sz w:val="30"/>
          <w:szCs w:val="30"/>
        </w:rPr>
        <w:t>本日早评</w:t>
      </w:r>
    </w:p>
    <w:p w:rsidR="003F56A5" w:rsidRDefault="00CC3FFA">
      <w:pPr>
        <w:pBdr>
          <w:top w:val="single" w:sz="4" w:space="0" w:color="auto"/>
        </w:pBdr>
        <w:outlineLvl w:val="0"/>
        <w:rPr>
          <w:rFonts w:ascii="Times New Roman" w:eastAsia="楷体" w:hAnsi="Times New Roman"/>
          <w:b/>
          <w:color w:val="823C0B"/>
        </w:rPr>
      </w:pPr>
      <w:bookmarkStart w:id="2" w:name="_Toc19317"/>
      <w:bookmarkStart w:id="3" w:name="_Toc18033"/>
      <w:bookmarkStart w:id="4" w:name="金融"/>
      <w:bookmarkStart w:id="5" w:name="_Toc137715366"/>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金融</w:t>
      </w:r>
      <w:r>
        <w:rPr>
          <w:rFonts w:ascii="Times New Roman" w:eastAsia="楷体" w:hAnsi="Times New Roman" w:hint="eastAsia"/>
          <w:b/>
          <w:color w:val="823C0B"/>
          <w:sz w:val="30"/>
          <w:szCs w:val="30"/>
        </w:rPr>
        <w:t>]</w:t>
      </w:r>
      <w:bookmarkEnd w:id="2"/>
      <w:bookmarkEnd w:id="3"/>
      <w:bookmarkEnd w:id="5"/>
    </w:p>
    <w:p w:rsidR="003F56A5" w:rsidRDefault="00CC3FFA">
      <w:pPr>
        <w:ind w:leftChars="200" w:left="420"/>
        <w:outlineLvl w:val="1"/>
        <w:rPr>
          <w:rFonts w:ascii="Times New Roman" w:eastAsia="楷体" w:hAnsi="Times New Roman"/>
          <w:b/>
          <w:color w:val="000000" w:themeColor="text1"/>
          <w:sz w:val="24"/>
          <w:szCs w:val="24"/>
        </w:rPr>
      </w:pPr>
      <w:bookmarkStart w:id="6" w:name="_Toc965"/>
      <w:bookmarkStart w:id="7" w:name="_Toc16295"/>
      <w:bookmarkStart w:id="8" w:name="_Toc137715367"/>
      <w:bookmarkEnd w:id="4"/>
      <w:r>
        <w:rPr>
          <w:rFonts w:ascii="Times New Roman" w:eastAsia="楷体" w:hAnsi="Times New Roman" w:hint="eastAsia"/>
          <w:b/>
          <w:color w:val="000000" w:themeColor="text1"/>
          <w:sz w:val="24"/>
          <w:szCs w:val="24"/>
        </w:rPr>
        <w:t>股指：</w:t>
      </w:r>
      <w:bookmarkEnd w:id="6"/>
      <w:bookmarkEnd w:id="7"/>
      <w:r w:rsidR="006F6553" w:rsidRPr="006F6553">
        <w:rPr>
          <w:rFonts w:ascii="Times New Roman" w:eastAsia="楷体" w:hAnsi="Times New Roman" w:hint="eastAsia"/>
          <w:b/>
          <w:color w:val="000000" w:themeColor="text1"/>
          <w:sz w:val="24"/>
          <w:szCs w:val="24"/>
        </w:rPr>
        <w:t>低多</w:t>
      </w:r>
      <w:r w:rsidR="006F6553" w:rsidRPr="006F6553">
        <w:rPr>
          <w:rFonts w:ascii="Times New Roman" w:eastAsia="楷体" w:hAnsi="Times New Roman" w:hint="eastAsia"/>
          <w:b/>
          <w:color w:val="000000" w:themeColor="text1"/>
          <w:sz w:val="24"/>
          <w:szCs w:val="24"/>
        </w:rPr>
        <w:t>IM</w:t>
      </w:r>
      <w:bookmarkEnd w:id="8"/>
    </w:p>
    <w:p w:rsidR="003F56A5" w:rsidRDefault="006F6553">
      <w:pPr>
        <w:ind w:leftChars="300" w:left="630"/>
        <w:rPr>
          <w:rFonts w:ascii="Times New Roman" w:eastAsia="楷体" w:hAnsi="Times New Roman"/>
          <w:color w:val="000000" w:themeColor="text1"/>
          <w:sz w:val="24"/>
          <w:szCs w:val="24"/>
        </w:rPr>
      </w:pPr>
      <w:r w:rsidRPr="006F6553">
        <w:rPr>
          <w:rFonts w:ascii="Times New Roman" w:eastAsia="楷体" w:hAnsi="Times New Roman" w:hint="eastAsia"/>
          <w:color w:val="000000" w:themeColor="text1"/>
          <w:sz w:val="24"/>
          <w:szCs w:val="24"/>
        </w:rPr>
        <w:t>美联储</w:t>
      </w:r>
      <w:r w:rsidRPr="006F6553">
        <w:rPr>
          <w:rFonts w:ascii="Times New Roman" w:eastAsia="楷体" w:hAnsi="Times New Roman" w:hint="eastAsia"/>
          <w:color w:val="000000" w:themeColor="text1"/>
          <w:sz w:val="24"/>
          <w:szCs w:val="24"/>
        </w:rPr>
        <w:t>6</w:t>
      </w:r>
      <w:r w:rsidRPr="006F6553">
        <w:rPr>
          <w:rFonts w:ascii="Times New Roman" w:eastAsia="楷体" w:hAnsi="Times New Roman" w:hint="eastAsia"/>
          <w:color w:val="000000" w:themeColor="text1"/>
          <w:sz w:val="24"/>
          <w:szCs w:val="24"/>
        </w:rPr>
        <w:t>月如期暂停加息，但总体表述略偏鹰派，美国务卿访华，中美关系存转好迹象，提振市场风险偏好。国内逆回购超预期降息，</w:t>
      </w:r>
      <w:r w:rsidRPr="006F6553">
        <w:rPr>
          <w:rFonts w:ascii="Times New Roman" w:eastAsia="楷体" w:hAnsi="Times New Roman" w:hint="eastAsia"/>
          <w:color w:val="000000" w:themeColor="text1"/>
          <w:sz w:val="24"/>
          <w:szCs w:val="24"/>
        </w:rPr>
        <w:t xml:space="preserve"> 5</w:t>
      </w:r>
      <w:r w:rsidRPr="006F6553">
        <w:rPr>
          <w:rFonts w:ascii="Times New Roman" w:eastAsia="楷体" w:hAnsi="Times New Roman" w:hint="eastAsia"/>
          <w:color w:val="000000" w:themeColor="text1"/>
          <w:sz w:val="24"/>
          <w:szCs w:val="24"/>
        </w:rPr>
        <w:t>月经济、金融数据走弱，为市场预期后续逆周期政策发力打开空间，流动性宽松下小盘成长相对占优</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rPr>
      </w:pPr>
      <w:bookmarkStart w:id="9" w:name="_Toc137715368"/>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贵金属</w:t>
      </w:r>
      <w:r>
        <w:rPr>
          <w:rFonts w:ascii="Times New Roman" w:eastAsia="楷体" w:hAnsi="Times New Roman" w:hint="eastAsia"/>
          <w:b/>
          <w:color w:val="823C0B"/>
          <w:sz w:val="30"/>
          <w:szCs w:val="30"/>
        </w:rPr>
        <w:t>]</w:t>
      </w:r>
      <w:bookmarkEnd w:id="9"/>
    </w:p>
    <w:p w:rsidR="003F56A5" w:rsidRDefault="00CC3FFA">
      <w:pPr>
        <w:ind w:leftChars="200" w:left="420"/>
        <w:outlineLvl w:val="1"/>
        <w:rPr>
          <w:rFonts w:ascii="Times New Roman" w:eastAsia="楷体" w:hAnsi="Times New Roman"/>
          <w:b/>
          <w:color w:val="000000" w:themeColor="text1"/>
          <w:sz w:val="24"/>
          <w:szCs w:val="24"/>
        </w:rPr>
      </w:pPr>
      <w:bookmarkStart w:id="10" w:name="_Toc137715369"/>
      <w:r>
        <w:rPr>
          <w:rFonts w:ascii="Times New Roman" w:eastAsia="楷体" w:hAnsi="Times New Roman" w:hint="eastAsia"/>
          <w:b/>
          <w:color w:val="000000" w:themeColor="text1"/>
          <w:sz w:val="24"/>
          <w:szCs w:val="24"/>
        </w:rPr>
        <w:t>贵金属：</w:t>
      </w:r>
      <w:r w:rsidR="006F6553" w:rsidRPr="006F6553">
        <w:rPr>
          <w:rFonts w:ascii="Times New Roman" w:eastAsia="楷体" w:hAnsi="Times New Roman" w:hint="eastAsia"/>
          <w:b/>
          <w:color w:val="000000" w:themeColor="text1"/>
          <w:sz w:val="24"/>
          <w:szCs w:val="24"/>
        </w:rPr>
        <w:t>美联储暂停加息，鹰派表态令贵金属价格承压回落</w:t>
      </w:r>
      <w:bookmarkEnd w:id="10"/>
    </w:p>
    <w:p w:rsidR="003F56A5" w:rsidRDefault="006F6553">
      <w:pPr>
        <w:ind w:leftChars="300" w:left="630"/>
        <w:rPr>
          <w:rFonts w:ascii="Times New Roman" w:eastAsia="楷体" w:hAnsi="Times New Roman"/>
          <w:sz w:val="24"/>
          <w:szCs w:val="24"/>
        </w:rPr>
      </w:pPr>
      <w:r w:rsidRPr="006F6553">
        <w:rPr>
          <w:rFonts w:ascii="Times New Roman" w:eastAsia="楷体" w:hAnsi="Times New Roman" w:hint="eastAsia"/>
          <w:color w:val="000000" w:themeColor="text1"/>
          <w:sz w:val="24"/>
          <w:szCs w:val="24"/>
        </w:rPr>
        <w:t>美联储决定</w:t>
      </w:r>
      <w:r w:rsidRPr="006F6553">
        <w:rPr>
          <w:rFonts w:ascii="Times New Roman" w:eastAsia="楷体" w:hAnsi="Times New Roman" w:hint="eastAsia"/>
          <w:color w:val="000000" w:themeColor="text1"/>
          <w:sz w:val="24"/>
          <w:szCs w:val="24"/>
        </w:rPr>
        <w:t>6</w:t>
      </w:r>
      <w:r w:rsidRPr="006F6553">
        <w:rPr>
          <w:rFonts w:ascii="Times New Roman" w:eastAsia="楷体" w:hAnsi="Times New Roman" w:hint="eastAsia"/>
          <w:color w:val="000000" w:themeColor="text1"/>
          <w:sz w:val="24"/>
          <w:szCs w:val="24"/>
        </w:rPr>
        <w:t>月暂缓计息，利率点阵图显示联储官员预计年内仍有两次各</w:t>
      </w:r>
      <w:r w:rsidRPr="006F6553">
        <w:rPr>
          <w:rFonts w:ascii="Times New Roman" w:eastAsia="楷体" w:hAnsi="Times New Roman" w:hint="eastAsia"/>
          <w:color w:val="000000" w:themeColor="text1"/>
          <w:sz w:val="24"/>
          <w:szCs w:val="24"/>
        </w:rPr>
        <w:t>25bp</w:t>
      </w:r>
      <w:r w:rsidRPr="006F6553">
        <w:rPr>
          <w:rFonts w:ascii="Times New Roman" w:eastAsia="楷体" w:hAnsi="Times New Roman" w:hint="eastAsia"/>
          <w:color w:val="000000" w:themeColor="text1"/>
          <w:sz w:val="24"/>
          <w:szCs w:val="24"/>
        </w:rPr>
        <w:t>的加息。鲍威尔主席表示近期数据表现超出预期，预计经济维持温和增长，存在实现软着陆的路径，</w:t>
      </w:r>
      <w:r w:rsidRPr="006F6553">
        <w:rPr>
          <w:rFonts w:ascii="Times New Roman" w:eastAsia="楷体" w:hAnsi="Times New Roman" w:hint="eastAsia"/>
          <w:color w:val="000000" w:themeColor="text1"/>
          <w:sz w:val="24"/>
          <w:szCs w:val="24"/>
        </w:rPr>
        <w:t>7</w:t>
      </w:r>
      <w:r w:rsidRPr="006F6553">
        <w:rPr>
          <w:rFonts w:ascii="Times New Roman" w:eastAsia="楷体" w:hAnsi="Times New Roman" w:hint="eastAsia"/>
          <w:color w:val="000000" w:themeColor="text1"/>
          <w:sz w:val="24"/>
          <w:szCs w:val="24"/>
        </w:rPr>
        <w:t>月将根据情况决定是否加息，且今年不考虑降息。美国</w:t>
      </w:r>
      <w:r w:rsidRPr="006F6553">
        <w:rPr>
          <w:rFonts w:ascii="Times New Roman" w:eastAsia="楷体" w:hAnsi="Times New Roman" w:hint="eastAsia"/>
          <w:color w:val="000000" w:themeColor="text1"/>
          <w:sz w:val="24"/>
          <w:szCs w:val="24"/>
        </w:rPr>
        <w:t>5</w:t>
      </w:r>
      <w:r w:rsidRPr="006F6553">
        <w:rPr>
          <w:rFonts w:ascii="Times New Roman" w:eastAsia="楷体" w:hAnsi="Times New Roman" w:hint="eastAsia"/>
          <w:color w:val="000000" w:themeColor="text1"/>
          <w:sz w:val="24"/>
          <w:szCs w:val="24"/>
        </w:rPr>
        <w:t>月</w:t>
      </w:r>
      <w:r w:rsidRPr="006F6553">
        <w:rPr>
          <w:rFonts w:ascii="Times New Roman" w:eastAsia="楷体" w:hAnsi="Times New Roman" w:hint="eastAsia"/>
          <w:color w:val="000000" w:themeColor="text1"/>
          <w:sz w:val="24"/>
          <w:szCs w:val="24"/>
        </w:rPr>
        <w:t>PPI</w:t>
      </w:r>
      <w:r w:rsidRPr="006F6553">
        <w:rPr>
          <w:rFonts w:ascii="Times New Roman" w:eastAsia="楷体" w:hAnsi="Times New Roman" w:hint="eastAsia"/>
          <w:color w:val="000000" w:themeColor="text1"/>
          <w:sz w:val="24"/>
          <w:szCs w:val="24"/>
        </w:rPr>
        <w:t>同比增</w:t>
      </w:r>
      <w:r w:rsidRPr="006F6553">
        <w:rPr>
          <w:rFonts w:ascii="Times New Roman" w:eastAsia="楷体" w:hAnsi="Times New Roman" w:hint="eastAsia"/>
          <w:color w:val="000000" w:themeColor="text1"/>
          <w:sz w:val="24"/>
          <w:szCs w:val="24"/>
        </w:rPr>
        <w:t>1.1%</w:t>
      </w:r>
      <w:r w:rsidRPr="006F6553">
        <w:rPr>
          <w:rFonts w:ascii="Times New Roman" w:eastAsia="楷体" w:hAnsi="Times New Roman" w:hint="eastAsia"/>
          <w:color w:val="000000" w:themeColor="text1"/>
          <w:sz w:val="24"/>
          <w:szCs w:val="24"/>
        </w:rPr>
        <w:t>，环比降</w:t>
      </w:r>
      <w:r w:rsidRPr="006F6553">
        <w:rPr>
          <w:rFonts w:ascii="Times New Roman" w:eastAsia="楷体" w:hAnsi="Times New Roman" w:hint="eastAsia"/>
          <w:color w:val="000000" w:themeColor="text1"/>
          <w:sz w:val="24"/>
          <w:szCs w:val="24"/>
        </w:rPr>
        <w:t>0.3%</w:t>
      </w:r>
      <w:r w:rsidRPr="006F6553">
        <w:rPr>
          <w:rFonts w:ascii="Times New Roman" w:eastAsia="楷体" w:hAnsi="Times New Roman" w:hint="eastAsia"/>
          <w:color w:val="000000" w:themeColor="text1"/>
          <w:sz w:val="24"/>
          <w:szCs w:val="24"/>
        </w:rPr>
        <w:t>。美联储主席表态及利率点阵图预测偏向鹰派，受此影响</w:t>
      </w:r>
      <w:r w:rsidRPr="006F6553">
        <w:rPr>
          <w:rFonts w:ascii="Times New Roman" w:eastAsia="楷体" w:hAnsi="Times New Roman" w:hint="eastAsia"/>
          <w:color w:val="000000" w:themeColor="text1"/>
          <w:sz w:val="24"/>
          <w:szCs w:val="24"/>
        </w:rPr>
        <w:t>COMEX</w:t>
      </w:r>
      <w:r w:rsidRPr="006F6553">
        <w:rPr>
          <w:rFonts w:ascii="Times New Roman" w:eastAsia="楷体" w:hAnsi="Times New Roman" w:hint="eastAsia"/>
          <w:color w:val="000000" w:themeColor="text1"/>
          <w:sz w:val="24"/>
          <w:szCs w:val="24"/>
        </w:rPr>
        <w:t>金价回落至</w:t>
      </w:r>
      <w:r w:rsidRPr="006F6553">
        <w:rPr>
          <w:rFonts w:ascii="Times New Roman" w:eastAsia="楷体" w:hAnsi="Times New Roman" w:hint="eastAsia"/>
          <w:color w:val="000000" w:themeColor="text1"/>
          <w:sz w:val="24"/>
          <w:szCs w:val="24"/>
        </w:rPr>
        <w:t>1955</w:t>
      </w:r>
      <w:r w:rsidRPr="006F6553">
        <w:rPr>
          <w:rFonts w:ascii="Times New Roman" w:eastAsia="楷体" w:hAnsi="Times New Roman" w:hint="eastAsia"/>
          <w:color w:val="000000" w:themeColor="text1"/>
          <w:sz w:val="24"/>
          <w:szCs w:val="24"/>
        </w:rPr>
        <w:t>美元</w:t>
      </w:r>
      <w:r w:rsidRPr="006F6553">
        <w:rPr>
          <w:rFonts w:ascii="Times New Roman" w:eastAsia="楷体" w:hAnsi="Times New Roman" w:hint="eastAsia"/>
          <w:color w:val="000000" w:themeColor="text1"/>
          <w:sz w:val="24"/>
          <w:szCs w:val="24"/>
        </w:rPr>
        <w:t>/</w:t>
      </w:r>
      <w:r w:rsidRPr="006F6553">
        <w:rPr>
          <w:rFonts w:ascii="Times New Roman" w:eastAsia="楷体" w:hAnsi="Times New Roman" w:hint="eastAsia"/>
          <w:color w:val="000000" w:themeColor="text1"/>
          <w:sz w:val="24"/>
          <w:szCs w:val="24"/>
        </w:rPr>
        <w:t>盎司，沪金夜盘高开低走、沪银窄幅震荡。美国政策利率峰值及衰退时点后移，中长期内贵金属仍受避险需求所提振，短线消息面因素利空落地后可逐步增配</w:t>
      </w:r>
      <w:r w:rsidR="00CC3FFA">
        <w:rPr>
          <w:rFonts w:ascii="Times New Roman" w:eastAsia="楷体" w:hAnsi="Times New Roman" w:hint="eastAsia"/>
          <w:color w:val="000000" w:themeColor="text1"/>
          <w:sz w:val="24"/>
          <w:szCs w:val="24"/>
        </w:rPr>
        <w:t>。</w:t>
      </w:r>
    </w:p>
    <w:p w:rsidR="003F56A5" w:rsidRDefault="003F56A5">
      <w:pPr>
        <w:ind w:leftChars="300" w:left="630"/>
        <w:rPr>
          <w:rFonts w:ascii="Times New Roman" w:eastAsia="楷体" w:hAnsi="Times New Roman"/>
          <w:color w:val="000000" w:themeColor="text1"/>
          <w:sz w:val="24"/>
          <w:szCs w:val="24"/>
        </w:rPr>
      </w:pPr>
    </w:p>
    <w:p w:rsidR="003F56A5" w:rsidRDefault="00CC3FFA">
      <w:pPr>
        <w:pBdr>
          <w:top w:val="single" w:sz="4" w:space="0" w:color="auto"/>
        </w:pBdr>
        <w:outlineLvl w:val="0"/>
        <w:rPr>
          <w:rFonts w:ascii="Times New Roman" w:eastAsia="楷体" w:hAnsi="Times New Roman"/>
          <w:b/>
          <w:color w:val="823C0B"/>
          <w:sz w:val="30"/>
          <w:szCs w:val="30"/>
        </w:rPr>
      </w:pPr>
      <w:bookmarkStart w:id="11" w:name="_Toc3096"/>
      <w:bookmarkStart w:id="12" w:name="金属"/>
      <w:bookmarkStart w:id="13" w:name="_Toc20891"/>
      <w:bookmarkStart w:id="14" w:name="农产品"/>
      <w:bookmarkStart w:id="15" w:name="_Toc137715370"/>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金属</w:t>
      </w:r>
      <w:r>
        <w:rPr>
          <w:rFonts w:ascii="Times New Roman" w:eastAsia="楷体" w:hAnsi="Times New Roman" w:hint="eastAsia"/>
          <w:b/>
          <w:color w:val="823C0B"/>
          <w:sz w:val="30"/>
          <w:szCs w:val="30"/>
        </w:rPr>
        <w:t>]</w:t>
      </w:r>
      <w:bookmarkEnd w:id="11"/>
      <w:bookmarkEnd w:id="12"/>
      <w:bookmarkEnd w:id="13"/>
      <w:bookmarkEnd w:id="15"/>
    </w:p>
    <w:p w:rsidR="003F56A5" w:rsidRDefault="00CC3FFA">
      <w:pPr>
        <w:ind w:leftChars="200" w:left="420"/>
        <w:outlineLvl w:val="1"/>
        <w:rPr>
          <w:rFonts w:ascii="楷体" w:eastAsia="楷体" w:hAnsi="楷体"/>
          <w:b/>
          <w:color w:val="000000" w:themeColor="text1"/>
          <w:sz w:val="24"/>
          <w:szCs w:val="24"/>
        </w:rPr>
      </w:pPr>
      <w:bookmarkStart w:id="16" w:name="_Toc27831"/>
      <w:bookmarkStart w:id="17" w:name="_Toc5371"/>
      <w:bookmarkStart w:id="18" w:name="_Toc137715371"/>
      <w:r>
        <w:rPr>
          <w:rFonts w:ascii="楷体" w:eastAsia="楷体" w:hAnsi="楷体" w:hint="eastAsia"/>
          <w:b/>
          <w:color w:val="000000" w:themeColor="text1"/>
          <w:sz w:val="24"/>
          <w:szCs w:val="24"/>
        </w:rPr>
        <w:t>螺纹钢：</w:t>
      </w:r>
      <w:bookmarkEnd w:id="16"/>
      <w:bookmarkEnd w:id="17"/>
      <w:r w:rsidR="006F6553" w:rsidRPr="006F6553">
        <w:rPr>
          <w:rFonts w:ascii="楷体" w:eastAsia="楷体" w:hAnsi="楷体" w:hint="eastAsia"/>
          <w:b/>
          <w:color w:val="000000" w:themeColor="text1"/>
          <w:sz w:val="24"/>
          <w:szCs w:val="24"/>
        </w:rPr>
        <w:t>数据披露期，波动放大</w:t>
      </w:r>
      <w:bookmarkEnd w:id="18"/>
    </w:p>
    <w:p w:rsidR="003F56A5" w:rsidRDefault="006F6553">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美联储6月加息整体符合市场预期，但对未来利率中枢的上调让市场对未来市场加息的预期较为混乱。今日上午披露国内经济数据，下午披露当周产销数据，预计市场波动或有所放大。整体仍震荡偏强，预计震荡区间（3680,3790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19" w:name="_Toc4790"/>
      <w:bookmarkStart w:id="20" w:name="_Toc11356"/>
      <w:bookmarkStart w:id="21" w:name="_Toc137715372"/>
      <w:r>
        <w:rPr>
          <w:rFonts w:ascii="楷体" w:eastAsia="楷体" w:hAnsi="楷体" w:hint="eastAsia"/>
          <w:b/>
          <w:color w:val="000000" w:themeColor="text1"/>
          <w:sz w:val="24"/>
          <w:szCs w:val="24"/>
        </w:rPr>
        <w:t>焦炭：</w:t>
      </w:r>
      <w:bookmarkEnd w:id="19"/>
      <w:bookmarkEnd w:id="20"/>
      <w:r w:rsidR="006F6553" w:rsidRPr="006F6553">
        <w:rPr>
          <w:rFonts w:ascii="楷体" w:eastAsia="楷体" w:hAnsi="楷体" w:hint="eastAsia"/>
          <w:b/>
          <w:color w:val="000000" w:themeColor="text1"/>
          <w:sz w:val="24"/>
          <w:szCs w:val="24"/>
        </w:rPr>
        <w:t>期现共振走强，或继续偏强震荡</w:t>
      </w:r>
      <w:bookmarkEnd w:id="21"/>
    </w:p>
    <w:p w:rsidR="003F56A5" w:rsidRDefault="006F6553">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昨日港口现货涨价50元/吨，复产及预期刺激拉动盘面领涨，盘面偏强运行，预计震荡区间（2100,2200）</w:t>
      </w:r>
      <w:r w:rsidR="00CC3FFA">
        <w:rPr>
          <w:rFonts w:ascii="楷体" w:eastAsia="楷体" w:hAnsi="楷体" w:hint="eastAsia"/>
          <w:color w:val="000000" w:themeColor="text1"/>
          <w:sz w:val="24"/>
          <w:szCs w:val="24"/>
        </w:rPr>
        <w:t>。</w:t>
      </w:r>
    </w:p>
    <w:p w:rsidR="003F56A5" w:rsidRDefault="003F56A5">
      <w:pPr>
        <w:ind w:leftChars="100" w:left="210"/>
        <w:rPr>
          <w:rFonts w:ascii="楷体" w:eastAsia="楷体" w:hAnsi="楷体"/>
          <w:bCs/>
          <w:sz w:val="24"/>
          <w:szCs w:val="24"/>
        </w:rPr>
      </w:pPr>
    </w:p>
    <w:p w:rsidR="003F56A5" w:rsidRPr="00535DC9" w:rsidRDefault="00CC3FFA" w:rsidP="00535DC9">
      <w:pPr>
        <w:ind w:leftChars="200" w:left="420"/>
        <w:outlineLvl w:val="1"/>
        <w:rPr>
          <w:rFonts w:ascii="楷体" w:eastAsia="楷体" w:hAnsi="楷体"/>
          <w:b/>
          <w:sz w:val="24"/>
          <w:szCs w:val="24"/>
        </w:rPr>
      </w:pPr>
      <w:bookmarkStart w:id="22" w:name="_Toc137715373"/>
      <w:r>
        <w:rPr>
          <w:rFonts w:ascii="楷体" w:eastAsia="楷体" w:hAnsi="楷体" w:hint="eastAsia"/>
          <w:b/>
          <w:color w:val="000000" w:themeColor="text1"/>
          <w:sz w:val="24"/>
          <w:szCs w:val="24"/>
        </w:rPr>
        <w:t>焦煤：</w:t>
      </w:r>
      <w:r w:rsidR="006F6553" w:rsidRPr="006F6553">
        <w:rPr>
          <w:rFonts w:ascii="楷体" w:eastAsia="楷体" w:hAnsi="楷体" w:hint="eastAsia"/>
          <w:b/>
          <w:sz w:val="24"/>
          <w:szCs w:val="24"/>
        </w:rPr>
        <w:t>期现共振下突破，或继续偏强震荡</w:t>
      </w:r>
      <w:bookmarkEnd w:id="22"/>
    </w:p>
    <w:p w:rsidR="003F56A5" w:rsidRDefault="006F6553">
      <w:pPr>
        <w:ind w:leftChars="300" w:left="630"/>
        <w:rPr>
          <w:rFonts w:ascii="楷体" w:eastAsia="楷体" w:hAnsi="楷体"/>
          <w:bCs/>
          <w:sz w:val="24"/>
          <w:szCs w:val="24"/>
        </w:rPr>
      </w:pPr>
      <w:r w:rsidRPr="006F6553">
        <w:rPr>
          <w:rFonts w:ascii="楷体" w:eastAsia="楷体" w:hAnsi="楷体" w:hint="eastAsia"/>
          <w:sz w:val="24"/>
          <w:szCs w:val="24"/>
        </w:rPr>
        <w:t>昨日蒙煤现货+10元/吨，山西+30元/吨，情绪好转叠加小幅度补库，盘面或继续偏强运行，预计震荡区间（1330，1420）</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23" w:name="_Toc9719"/>
      <w:bookmarkStart w:id="24" w:name="_Toc25617"/>
      <w:bookmarkStart w:id="25" w:name="_Toc137715374"/>
      <w:r>
        <w:rPr>
          <w:rFonts w:ascii="楷体" w:eastAsia="楷体" w:hAnsi="楷体" w:hint="eastAsia"/>
          <w:b/>
          <w:color w:val="000000" w:themeColor="text1"/>
          <w:sz w:val="24"/>
          <w:szCs w:val="24"/>
        </w:rPr>
        <w:t>铜：</w:t>
      </w:r>
      <w:bookmarkEnd w:id="23"/>
      <w:bookmarkEnd w:id="24"/>
      <w:r w:rsidR="006F6553" w:rsidRPr="006F6553">
        <w:rPr>
          <w:rFonts w:ascii="楷体" w:eastAsia="楷体" w:hAnsi="楷体" w:hint="eastAsia"/>
          <w:b/>
          <w:color w:val="000000" w:themeColor="text1"/>
          <w:sz w:val="24"/>
          <w:szCs w:val="24"/>
        </w:rPr>
        <w:t>短期内外宽松预期共振，铜价震荡偏强运行</w:t>
      </w:r>
      <w:bookmarkEnd w:id="25"/>
    </w:p>
    <w:p w:rsidR="006F6553" w:rsidRPr="006F6553" w:rsidRDefault="006F6553" w:rsidP="006F6553">
      <w:pPr>
        <w:ind w:leftChars="300" w:left="630"/>
        <w:rPr>
          <w:rFonts w:ascii="楷体" w:eastAsia="楷体" w:hAnsi="楷体" w:hint="eastAsia"/>
          <w:color w:val="000000" w:themeColor="text1"/>
          <w:sz w:val="24"/>
          <w:szCs w:val="24"/>
        </w:rPr>
      </w:pPr>
      <w:r w:rsidRPr="006F6553">
        <w:rPr>
          <w:rFonts w:ascii="楷体" w:eastAsia="楷体" w:hAnsi="楷体" w:hint="eastAsia"/>
          <w:color w:val="000000" w:themeColor="text1"/>
          <w:sz w:val="24"/>
          <w:szCs w:val="24"/>
        </w:rPr>
        <w:t>(1)宏观：美联储宣布维持5%至5.25%的联邦基金利率目标区间不变，在连续加息10次之后，美联储终于停下了脚步，但暗示今年可能还会再加息两次。</w:t>
      </w:r>
    </w:p>
    <w:p w:rsidR="006F6553" w:rsidRPr="006F6553" w:rsidRDefault="006F6553" w:rsidP="006F6553">
      <w:pPr>
        <w:ind w:leftChars="300" w:left="630"/>
        <w:rPr>
          <w:rFonts w:ascii="楷体" w:eastAsia="楷体" w:hAnsi="楷体" w:hint="eastAsia"/>
          <w:color w:val="000000" w:themeColor="text1"/>
          <w:sz w:val="24"/>
          <w:szCs w:val="24"/>
        </w:rPr>
      </w:pPr>
      <w:r w:rsidRPr="006F6553">
        <w:rPr>
          <w:rFonts w:ascii="楷体" w:eastAsia="楷体" w:hAnsi="楷体" w:hint="eastAsia"/>
          <w:color w:val="000000" w:themeColor="text1"/>
          <w:sz w:val="24"/>
          <w:szCs w:val="24"/>
        </w:rPr>
        <w:t>(2)库存：6月14日，SHFE仓单库存26502吨，减775吨。LME仓单库存</w:t>
      </w:r>
      <w:r w:rsidRPr="006F6553">
        <w:rPr>
          <w:rFonts w:ascii="楷体" w:eastAsia="楷体" w:hAnsi="楷体" w:hint="eastAsia"/>
          <w:color w:val="000000" w:themeColor="text1"/>
          <w:sz w:val="24"/>
          <w:szCs w:val="24"/>
        </w:rPr>
        <w:lastRenderedPageBreak/>
        <w:t>84250吨，减5050吨。</w:t>
      </w:r>
    </w:p>
    <w:p w:rsidR="006F6553" w:rsidRPr="006F6553" w:rsidRDefault="006F6553" w:rsidP="006F6553">
      <w:pPr>
        <w:ind w:leftChars="300" w:left="630"/>
        <w:rPr>
          <w:rFonts w:ascii="楷体" w:eastAsia="楷体" w:hAnsi="楷体" w:hint="eastAsia"/>
          <w:color w:val="000000" w:themeColor="text1"/>
          <w:sz w:val="24"/>
          <w:szCs w:val="24"/>
        </w:rPr>
      </w:pPr>
      <w:r w:rsidRPr="006F6553">
        <w:rPr>
          <w:rFonts w:ascii="楷体" w:eastAsia="楷体" w:hAnsi="楷体" w:hint="eastAsia"/>
          <w:color w:val="000000" w:themeColor="text1"/>
          <w:sz w:val="24"/>
          <w:szCs w:val="24"/>
        </w:rPr>
        <w:t>(3)精废价差：6月14日，Mysteel精废价差2278，扩大298。目前价差在合理价差1382之上。</w:t>
      </w:r>
    </w:p>
    <w:p w:rsidR="006F6553" w:rsidRPr="006F6553" w:rsidRDefault="006F6553" w:rsidP="006F6553">
      <w:pPr>
        <w:ind w:leftChars="300" w:left="630"/>
        <w:rPr>
          <w:rFonts w:ascii="楷体" w:eastAsia="楷体" w:hAnsi="楷体"/>
          <w:color w:val="000000" w:themeColor="text1"/>
          <w:sz w:val="24"/>
          <w:szCs w:val="24"/>
        </w:rPr>
      </w:pPr>
    </w:p>
    <w:p w:rsidR="00127803" w:rsidRPr="00127803" w:rsidRDefault="006F6553" w:rsidP="006F6553">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综述：隔夜美联储终于停下了加息的脚步，但释放了鹰派信号：在点阵图和经济展望中暗示，今年可能还要有两次加息。并将今年GDP增速预期上调至1% ，之前3月预计增速为0.4%。当前海内外共振的宽松预期推升铜价震荡偏强运行。基本面，沪铜现货升水逐步回落，“软逼仓”难以继续带动铜价走高。短期继续关注国内政策力度及落地情况。盘面CU2308合约在68000附近预期压力较大</w:t>
      </w:r>
      <w:r w:rsidR="00127803" w:rsidRPr="00127803">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Pr="002C73FE" w:rsidRDefault="00CC3FFA" w:rsidP="002C73FE">
      <w:pPr>
        <w:ind w:leftChars="200" w:left="420"/>
        <w:outlineLvl w:val="1"/>
        <w:rPr>
          <w:rFonts w:ascii="楷体" w:eastAsia="楷体" w:hAnsi="楷体"/>
          <w:b/>
          <w:color w:val="000000" w:themeColor="text1"/>
          <w:sz w:val="24"/>
          <w:szCs w:val="24"/>
        </w:rPr>
      </w:pPr>
      <w:bookmarkStart w:id="26" w:name="_Toc8897"/>
      <w:bookmarkStart w:id="27" w:name="_Toc6247"/>
      <w:bookmarkStart w:id="28" w:name="_Toc137715375"/>
      <w:r>
        <w:rPr>
          <w:rFonts w:ascii="楷体" w:eastAsia="楷体" w:hAnsi="楷体" w:hint="eastAsia"/>
          <w:b/>
          <w:color w:val="000000" w:themeColor="text1"/>
          <w:sz w:val="24"/>
          <w:szCs w:val="24"/>
        </w:rPr>
        <w:t>铝：</w:t>
      </w:r>
      <w:bookmarkEnd w:id="26"/>
      <w:bookmarkEnd w:id="27"/>
      <w:r w:rsidR="006F6553" w:rsidRPr="006F6553">
        <w:rPr>
          <w:rFonts w:ascii="楷体" w:eastAsia="楷体" w:hAnsi="楷体" w:hint="eastAsia"/>
          <w:b/>
          <w:color w:val="000000" w:themeColor="text1"/>
          <w:sz w:val="24"/>
          <w:szCs w:val="24"/>
        </w:rPr>
        <w:t>宏观释放利多，铝价上方压力位震荡</w:t>
      </w:r>
      <w:bookmarkEnd w:id="28"/>
    </w:p>
    <w:p w:rsidR="003F56A5" w:rsidRDefault="006F6553" w:rsidP="00127803">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美国CPI数据同比回落，联储6月暂停加息，国内MLF降息10BP，5月金融数据公布提振市场情绪。电解铝运行产能持续小幅上修，表观供需未出现明显矛盾，云南大幅降水预计后续当地产能部分复产，电解铝成本支撑持续下行刺激冶炼利润走增，电解铝生产企业积极性仍存，铝水比例维持高位，铝棒加工费再度走弱，铝棒产量周度环比小幅下行，多家冶炼厂表示已有亏损，铝棒库存累库，铸锭偏少，国内库存持续去库。进入6月后铝市消费步入淡季，下游需求及企业开工率小幅下行。整体来看，铝市供应偏强，需求走弱。目前价格在靠近18500上方压力位置运行，短期因宏观情绪叠加库存快速去库价格仍有支撑，实际上方空间有限，建议可逢高布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Pr="00666DE4" w:rsidRDefault="00CC3FFA" w:rsidP="00666DE4">
      <w:pPr>
        <w:ind w:leftChars="200" w:left="420"/>
        <w:outlineLvl w:val="1"/>
        <w:rPr>
          <w:rFonts w:ascii="楷体" w:eastAsia="楷体" w:hAnsi="楷体"/>
          <w:b/>
          <w:color w:val="000000" w:themeColor="text1"/>
          <w:sz w:val="24"/>
          <w:szCs w:val="24"/>
        </w:rPr>
      </w:pPr>
      <w:bookmarkStart w:id="29" w:name="_Toc137715376"/>
      <w:r>
        <w:rPr>
          <w:rFonts w:ascii="楷体" w:eastAsia="楷体" w:hAnsi="楷体" w:hint="eastAsia"/>
          <w:b/>
          <w:color w:val="000000" w:themeColor="text1"/>
          <w:sz w:val="24"/>
          <w:szCs w:val="24"/>
        </w:rPr>
        <w:t>锌：</w:t>
      </w:r>
      <w:r w:rsidR="006F6553" w:rsidRPr="006F6553">
        <w:rPr>
          <w:rFonts w:ascii="楷体" w:eastAsia="楷体" w:hAnsi="楷体" w:hint="eastAsia"/>
          <w:b/>
          <w:color w:val="000000" w:themeColor="text1"/>
          <w:sz w:val="24"/>
          <w:szCs w:val="24"/>
        </w:rPr>
        <w:t>宏观叠加低库存支撑价格，建议逢高沽空</w:t>
      </w:r>
      <w:bookmarkEnd w:id="29"/>
    </w:p>
    <w:p w:rsidR="003F56A5" w:rsidRDefault="006F6553" w:rsidP="000B0648">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美国CPI数据同比回落，联储加息暂停，市场交投情绪提振。海外能源价格回落预期海外冶炼厂持续复产，地缘政治冲突或拖慢海外复产节奏，国内锌精矿产量走弱，进口利润窗口打开将刺激进口，锌精矿加工费震荡下行，矿商及冶炼厂综合利润持续收缩，精炼锌产量维持高位但环比走弱，近期锌价再度走强，精炼锌利润空间修复，锌市整体供应偏强。需求端来看，海外经济衰退市场疲软，国内锌市需求进入淡季，消费乐观预期再度被修正，海内外显性库存保持低位，锌价前期快速下跌企稳反弹但上方可想像空间有限，上触到2万关口压力位置建议逢高沽空</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0" w:name="_Toc137715377"/>
      <w:r>
        <w:rPr>
          <w:rFonts w:ascii="楷体" w:eastAsia="楷体" w:hAnsi="楷体" w:hint="eastAsia"/>
          <w:b/>
          <w:color w:val="000000" w:themeColor="text1"/>
          <w:sz w:val="24"/>
          <w:szCs w:val="24"/>
        </w:rPr>
        <w:t>镍：</w:t>
      </w:r>
      <w:r w:rsidR="00127803" w:rsidRPr="00127803">
        <w:rPr>
          <w:rFonts w:ascii="楷体" w:eastAsia="楷体" w:hAnsi="楷体" w:hint="eastAsia"/>
          <w:b/>
          <w:color w:val="000000" w:themeColor="text1"/>
          <w:sz w:val="24"/>
          <w:szCs w:val="24"/>
        </w:rPr>
        <w:t>下行趋势未变，维持反弹后逢高空思路</w:t>
      </w:r>
      <w:bookmarkEnd w:id="30"/>
    </w:p>
    <w:p w:rsidR="003F56A5" w:rsidRDefault="00127803">
      <w:pPr>
        <w:ind w:leftChars="300" w:left="630"/>
        <w:rPr>
          <w:rFonts w:ascii="楷体" w:eastAsia="楷体" w:hAnsi="楷体"/>
          <w:color w:val="000000" w:themeColor="text1"/>
          <w:sz w:val="24"/>
          <w:szCs w:val="24"/>
        </w:rPr>
      </w:pPr>
      <w:r w:rsidRPr="00127803">
        <w:rPr>
          <w:rFonts w:ascii="楷体" w:eastAsia="楷体" w:hAnsi="楷体" w:hint="eastAsia"/>
          <w:color w:val="000000" w:themeColor="text1"/>
          <w:sz w:val="24"/>
          <w:szCs w:val="24"/>
        </w:rPr>
        <w:t>昨日上期所镍仓单日增2287吨，达到2453吨，增幅1378%。近期俄镍镍板大量进口到货，持货商大规模注册仓单，交割品紧缺的情况得到缓解。中期电积镍产能陆续释放，产量不断爬升，预计国内库存有望逐步累增，镍价下行态势未变。操作上维持反弹后逢高空思路</w:t>
      </w:r>
      <w:r w:rsidR="00CC3FFA">
        <w:rPr>
          <w:rFonts w:ascii="楷体" w:eastAsia="楷体" w:hAnsi="楷体" w:hint="eastAsia"/>
          <w:color w:val="000000" w:themeColor="text1"/>
          <w:sz w:val="24"/>
          <w:szCs w:val="24"/>
        </w:rPr>
        <w:t>。</w:t>
      </w:r>
    </w:p>
    <w:p w:rsidR="008B13D2" w:rsidRDefault="008B13D2">
      <w:pPr>
        <w:ind w:leftChars="300" w:left="630"/>
        <w:rPr>
          <w:rFonts w:ascii="楷体" w:eastAsia="楷体" w:hAnsi="楷体"/>
          <w:color w:val="000000" w:themeColor="text1"/>
          <w:sz w:val="24"/>
          <w:szCs w:val="24"/>
        </w:rPr>
      </w:pPr>
    </w:p>
    <w:p w:rsidR="008B13D2" w:rsidRPr="004E6093" w:rsidRDefault="0079299D" w:rsidP="004E6093">
      <w:pPr>
        <w:ind w:leftChars="200" w:left="420"/>
        <w:outlineLvl w:val="1"/>
        <w:rPr>
          <w:rFonts w:ascii="楷体" w:eastAsia="楷体" w:hAnsi="楷体"/>
          <w:b/>
          <w:color w:val="000000" w:themeColor="text1"/>
          <w:sz w:val="24"/>
          <w:szCs w:val="24"/>
        </w:rPr>
      </w:pPr>
      <w:bookmarkStart w:id="31" w:name="_Toc137715378"/>
      <w:r>
        <w:rPr>
          <w:rFonts w:ascii="楷体" w:eastAsia="楷体" w:hAnsi="楷体" w:hint="eastAsia"/>
          <w:b/>
          <w:color w:val="000000" w:themeColor="text1"/>
          <w:sz w:val="24"/>
          <w:szCs w:val="24"/>
        </w:rPr>
        <w:t>铅</w:t>
      </w:r>
      <w:r w:rsidR="008B13D2">
        <w:rPr>
          <w:rFonts w:ascii="楷体" w:eastAsia="楷体" w:hAnsi="楷体" w:hint="eastAsia"/>
          <w:b/>
          <w:color w:val="000000" w:themeColor="text1"/>
          <w:sz w:val="24"/>
          <w:szCs w:val="24"/>
        </w:rPr>
        <w:t>：</w:t>
      </w:r>
      <w:r w:rsidR="006F6553" w:rsidRPr="006F6553">
        <w:rPr>
          <w:rFonts w:ascii="楷体" w:eastAsia="楷体" w:hAnsi="楷体" w:hint="eastAsia"/>
          <w:b/>
          <w:color w:val="000000" w:themeColor="text1"/>
          <w:sz w:val="24"/>
          <w:szCs w:val="24"/>
        </w:rPr>
        <w:t>供应压力走松，铅价延续区间震荡</w:t>
      </w:r>
      <w:bookmarkEnd w:id="31"/>
    </w:p>
    <w:p w:rsidR="008B13D2" w:rsidRPr="008B13D2" w:rsidRDefault="006F6553" w:rsidP="008B13D2">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美国CPI数据环比回落，联储6月暂停加息，国内正处于对利多政策释放的强预期窗口，宏观情绪偏暖。国内铅精矿加工费持稳，铅精矿加工费维持稳定，5月国内电解铅产量环比走弱，6月原生铅和再生铅产量均有下滑预期，江苏、内蒙传除受铅价偏弱影响可能小幅减产，供应压力走松，冶</w:t>
      </w:r>
      <w:r w:rsidRPr="006F6553">
        <w:rPr>
          <w:rFonts w:ascii="楷体" w:eastAsia="楷体" w:hAnsi="楷体" w:hint="eastAsia"/>
          <w:color w:val="000000" w:themeColor="text1"/>
          <w:sz w:val="24"/>
          <w:szCs w:val="24"/>
        </w:rPr>
        <w:lastRenderedPageBreak/>
        <w:t>炼利润仍处于低位水平。需求在淡季之下，铅蓄电池成品库存偏高，企业开工率下滑。市场情绪受宏观情绪及供应走紧影响，铅价止跌反弹，淡季消费仍有累库预期限制铅价上方想象空间</w:t>
      </w:r>
      <w:r w:rsidR="008B13D2">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2" w:name="_Toc137715379"/>
      <w:r>
        <w:rPr>
          <w:rFonts w:ascii="楷体" w:eastAsia="楷体" w:hAnsi="楷体" w:hint="eastAsia"/>
          <w:b/>
          <w:color w:val="000000" w:themeColor="text1"/>
          <w:sz w:val="24"/>
          <w:szCs w:val="24"/>
        </w:rPr>
        <w:t>不锈钢：</w:t>
      </w:r>
      <w:r w:rsidR="000C102A" w:rsidRPr="000C102A">
        <w:rPr>
          <w:rFonts w:ascii="楷体" w:eastAsia="楷体" w:hAnsi="楷体" w:hint="eastAsia"/>
          <w:b/>
          <w:color w:val="000000" w:themeColor="text1"/>
          <w:sz w:val="24"/>
          <w:szCs w:val="24"/>
        </w:rPr>
        <w:t>偏区间震荡为主</w:t>
      </w:r>
      <w:bookmarkEnd w:id="32"/>
    </w:p>
    <w:p w:rsidR="003F56A5" w:rsidRDefault="000C102A">
      <w:pPr>
        <w:ind w:leftChars="300" w:left="630"/>
        <w:rPr>
          <w:rFonts w:ascii="楷体" w:eastAsia="楷体" w:hAnsi="楷体"/>
          <w:color w:val="000000" w:themeColor="text1"/>
          <w:sz w:val="24"/>
          <w:szCs w:val="24"/>
        </w:rPr>
      </w:pPr>
      <w:r w:rsidRPr="000C102A">
        <w:rPr>
          <w:rFonts w:ascii="楷体" w:eastAsia="楷体" w:hAnsi="楷体" w:hint="eastAsia"/>
          <w:color w:val="000000" w:themeColor="text1"/>
          <w:sz w:val="24"/>
          <w:szCs w:val="24"/>
        </w:rPr>
        <w:t>昨中国央行意外降低7天逆回购利率，推升市场对于更多刺激政策预期，整体市场风险偏好回升，提振不锈钢价。基本面，不锈钢社会库存延续下滑态势，并降到中性偏低水平，成为支撑SS的主要因素，原料看，短期镍铁价格持稳运行，自身供需相对过剩，预期在成本端支撑力度不大。当前价格已给出钢厂一定利润，供应弹性较大且需求未见明显走强下，价格难有持续上行动能，预计偏区间震荡为主，SS2308参考14500-15300</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33" w:name="_Toc137715380"/>
      <w:r>
        <w:rPr>
          <w:rFonts w:ascii="楷体" w:eastAsia="楷体" w:hAnsi="楷体" w:hint="eastAsia"/>
          <w:b/>
          <w:color w:val="000000" w:themeColor="text1"/>
          <w:sz w:val="24"/>
          <w:szCs w:val="24"/>
        </w:rPr>
        <w:t>工业硅：</w:t>
      </w:r>
      <w:r w:rsidR="006F6553" w:rsidRPr="006F6553">
        <w:rPr>
          <w:rFonts w:ascii="楷体" w:eastAsia="楷体" w:hAnsi="楷体" w:hint="eastAsia"/>
          <w:b/>
          <w:sz w:val="24"/>
          <w:szCs w:val="24"/>
        </w:rPr>
        <w:t>成本支撑已逐步显现，短期市场或阶段性企稳</w:t>
      </w:r>
      <w:bookmarkEnd w:id="33"/>
    </w:p>
    <w:p w:rsidR="003F56A5" w:rsidRDefault="006F6553" w:rsidP="007103A5">
      <w:pPr>
        <w:ind w:leftChars="300" w:left="630"/>
        <w:rPr>
          <w:rFonts w:ascii="楷体" w:eastAsia="楷体" w:hAnsi="楷体"/>
          <w:sz w:val="24"/>
          <w:szCs w:val="24"/>
        </w:rPr>
      </w:pPr>
      <w:r w:rsidRPr="006F6553">
        <w:rPr>
          <w:rFonts w:ascii="楷体" w:eastAsia="楷体" w:hAnsi="楷体" w:hint="eastAsia"/>
          <w:sz w:val="24"/>
          <w:szCs w:val="24"/>
        </w:rPr>
        <w:t>6月14日，Si2308主力合约呈震荡走势，收盘价12540元/吨，较上一收盘价涨跌幅＋0.04%。供应方面，西南地区逐步进入丰水期，当地工厂维持复产操作，供应恢复符合市场预期;需求方面，下游需求整体偏弱，多以刚需采购为主，短期并无明显改善。综合而言，基本面仍旧偏弱，但盘面几乎已跌至大部分西南工厂丰水期预估成本，成本支撑已逐步显现，短期市场或将阶段性企稳。建议等待反弹机会，再择机布局做空机会</w:t>
      </w:r>
      <w:r w:rsidR="00CC3FFA">
        <w:rPr>
          <w:rFonts w:ascii="楷体" w:eastAsia="楷体" w:hAnsi="楷体" w:hint="eastAsia"/>
          <w:sz w:val="24"/>
          <w:szCs w:val="24"/>
        </w:rPr>
        <w:t>。</w:t>
      </w:r>
    </w:p>
    <w:p w:rsidR="003F56A5" w:rsidRDefault="003F56A5">
      <w:pPr>
        <w:ind w:firstLineChars="200" w:firstLine="420"/>
        <w:rPr>
          <w:rFonts w:ascii="Times New Roman" w:eastAsia="楷体" w:hAnsi="Times New Roman"/>
          <w:bCs/>
        </w:rPr>
      </w:pPr>
    </w:p>
    <w:p w:rsidR="003F56A5" w:rsidRDefault="003F56A5">
      <w:pPr>
        <w:ind w:firstLineChars="200" w:firstLine="420"/>
        <w:rPr>
          <w:rFonts w:ascii="Times New Roman" w:eastAsia="楷体" w:hAnsi="Times New Roman"/>
          <w:bCs/>
        </w:rPr>
      </w:pPr>
    </w:p>
    <w:p w:rsidR="003F56A5" w:rsidRDefault="00CC3FFA">
      <w:pPr>
        <w:pBdr>
          <w:top w:val="single" w:sz="4" w:space="0" w:color="auto"/>
        </w:pBdr>
        <w:outlineLvl w:val="0"/>
        <w:rPr>
          <w:rFonts w:ascii="Times New Roman" w:eastAsia="楷体" w:hAnsi="Times New Roman"/>
          <w:b/>
          <w:color w:val="823C0B"/>
          <w:sz w:val="30"/>
          <w:szCs w:val="30"/>
        </w:rPr>
      </w:pPr>
      <w:bookmarkStart w:id="34" w:name="化工"/>
      <w:r>
        <w:rPr>
          <w:rFonts w:ascii="Times New Roman" w:eastAsia="楷体" w:hAnsi="Times New Roman" w:hint="eastAsia"/>
          <w:b/>
          <w:color w:val="823C0B"/>
          <w:sz w:val="30"/>
          <w:szCs w:val="30"/>
        </w:rPr>
        <w:t xml:space="preserve"> </w:t>
      </w:r>
      <w:bookmarkStart w:id="35" w:name="_Toc137715381"/>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化工</w:t>
      </w:r>
      <w:r>
        <w:rPr>
          <w:rFonts w:ascii="Times New Roman" w:eastAsia="楷体" w:hAnsi="Times New Roman" w:hint="eastAsia"/>
          <w:b/>
          <w:color w:val="823C0B"/>
          <w:sz w:val="30"/>
          <w:szCs w:val="30"/>
        </w:rPr>
        <w:t>]</w:t>
      </w:r>
      <w:bookmarkEnd w:id="34"/>
      <w:bookmarkEnd w:id="35"/>
    </w:p>
    <w:p w:rsidR="003F56A5" w:rsidRPr="005B790A" w:rsidRDefault="00CC3FFA" w:rsidP="005B790A">
      <w:pPr>
        <w:ind w:firstLineChars="200" w:firstLine="482"/>
        <w:outlineLvl w:val="1"/>
        <w:rPr>
          <w:rFonts w:ascii="楷体" w:eastAsia="楷体" w:hAnsi="楷体"/>
          <w:b/>
          <w:sz w:val="24"/>
          <w:szCs w:val="24"/>
        </w:rPr>
      </w:pPr>
      <w:bookmarkStart w:id="36" w:name="_Toc137715382"/>
      <w:r>
        <w:rPr>
          <w:rFonts w:ascii="Times New Roman" w:eastAsia="楷体" w:hAnsi="Times New Roman" w:hint="eastAsia"/>
          <w:b/>
          <w:color w:val="000000" w:themeColor="text1"/>
          <w:sz w:val="24"/>
          <w:szCs w:val="24"/>
        </w:rPr>
        <w:t>天然橡胶</w:t>
      </w:r>
      <w:r>
        <w:rPr>
          <w:rFonts w:ascii="Times New Roman" w:eastAsia="楷体" w:hAnsi="Times New Roman" w:hint="eastAsia"/>
          <w:b/>
          <w:color w:val="000000" w:themeColor="text1"/>
          <w:sz w:val="24"/>
          <w:szCs w:val="24"/>
        </w:rPr>
        <w:t>:</w:t>
      </w:r>
      <w:r w:rsidR="00B17165" w:rsidRPr="00B17165">
        <w:rPr>
          <w:rFonts w:ascii="楷体" w:eastAsia="楷体" w:hAnsi="楷体" w:hint="eastAsia"/>
          <w:b/>
          <w:sz w:val="24"/>
          <w:szCs w:val="24"/>
        </w:rPr>
        <w:t xml:space="preserve"> </w:t>
      </w:r>
      <w:r w:rsidR="006F6553" w:rsidRPr="006F6553">
        <w:rPr>
          <w:rFonts w:ascii="楷体" w:eastAsia="楷体" w:hAnsi="楷体" w:hint="eastAsia"/>
          <w:b/>
          <w:sz w:val="24"/>
          <w:szCs w:val="24"/>
        </w:rPr>
        <w:t>需求好转难以成为关注重点，RU维持震荡走势为主</w:t>
      </w:r>
      <w:bookmarkEnd w:id="36"/>
    </w:p>
    <w:p w:rsidR="003F56A5" w:rsidRDefault="006F6553">
      <w:pPr>
        <w:ind w:leftChars="300" w:left="630"/>
        <w:rPr>
          <w:rFonts w:ascii="楷体" w:eastAsia="楷体" w:hAnsi="楷体"/>
          <w:sz w:val="24"/>
          <w:szCs w:val="24"/>
        </w:rPr>
      </w:pPr>
      <w:r w:rsidRPr="006F6553">
        <w:rPr>
          <w:rFonts w:ascii="楷体" w:eastAsia="楷体" w:hAnsi="楷体" w:hint="eastAsia"/>
          <w:sz w:val="24"/>
          <w:szCs w:val="24"/>
        </w:rPr>
        <w:t>点评：昨日天胶市场心态小幅好转，胶价涨后有所回落。当前制约RU价格上行的主要矛盾还是偏高的港口库存。尽管上周小幅去库，但目前港口库存绝对值仍处于高位，高库存对行情形成较大压制。橡胶其余基本面来看，供应端，尽管目前产区仍未大规模上量，但随着产区物候条件恢复正常，供给端上量将逐步回归正常。橡胶下游轮胎方面，多数企业内外销订单排产稳定，企业产能利用率将维持在偏高水平，但期间不排除个别企业为控制库存，存临时降负可能。终端汽车方面，5月份乘用车终端销量在175万辆左右，环比继续小幅上升。从分项指数来看，汽车市场需求、平均日销量、经营状况指数环比上升，车市整体温和回暖；重卡方面，5月我国重卡市场大约7.74万辆左右，环比下滑16%，全行业仅仅处于弱复苏阶段，还未完全进入恢复期间。综合来看，近期收储、刺激房地产等题材轮番上演，但都缺乏实质行动。国家“降息”举措利多近期胶市，但还需关注消费端能否显著转好目前，技术面来看胶价处于前期低位，支撑作用显现，下行空间有限。但需求面恢复速度不及预期，以及胶价反弹后套利盘的参与，在无重大利好的前提下胶价短期上行幅度同样有限，且库存的利空因素不可忽视。短期关注前期低点的支撑作用和盘面持仓量和基差的变化情况，后期重点关注国内稳增长政策的推动和实施对国内需求端的拉动作用和轮胎厂成品库存的实质去化，待出现明显的趋势信号后再做入场判断。11500元/吨的位置支撑较强，上方压力位在12200元/吨</w:t>
      </w:r>
      <w:r w:rsidR="00CC3FFA">
        <w:rPr>
          <w:rFonts w:ascii="楷体" w:eastAsia="楷体" w:hAnsi="楷体" w:hint="eastAsia"/>
          <w:sz w:val="24"/>
          <w:szCs w:val="24"/>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color w:val="000000" w:themeColor="text1"/>
          <w:sz w:val="24"/>
          <w:szCs w:val="24"/>
        </w:rPr>
      </w:pPr>
      <w:bookmarkStart w:id="37" w:name="_Toc137715383"/>
      <w:r>
        <w:rPr>
          <w:rFonts w:ascii="楷体" w:eastAsia="楷体" w:hAnsi="楷体"/>
          <w:b/>
          <w:color w:val="000000" w:themeColor="text1"/>
          <w:sz w:val="24"/>
          <w:szCs w:val="24"/>
        </w:rPr>
        <w:lastRenderedPageBreak/>
        <w:t>PTA</w:t>
      </w:r>
      <w:r>
        <w:rPr>
          <w:rFonts w:ascii="楷体" w:eastAsia="楷体" w:hAnsi="楷体" w:hint="eastAsia"/>
          <w:b/>
          <w:color w:val="000000" w:themeColor="text1"/>
          <w:sz w:val="24"/>
          <w:szCs w:val="24"/>
        </w:rPr>
        <w:t>：</w:t>
      </w:r>
      <w:r w:rsidR="006F6553" w:rsidRPr="006F6553">
        <w:rPr>
          <w:rFonts w:ascii="楷体" w:eastAsia="楷体" w:hAnsi="楷体" w:hint="eastAsia"/>
          <w:b/>
          <w:color w:val="000000" w:themeColor="text1"/>
          <w:sz w:val="24"/>
          <w:szCs w:val="24"/>
        </w:rPr>
        <w:t>成本油价趋弱 TA反弹空间受限</w:t>
      </w:r>
      <w:bookmarkEnd w:id="37"/>
      <w:r>
        <w:rPr>
          <w:rFonts w:ascii="楷体" w:eastAsia="楷体" w:hAnsi="楷体" w:hint="eastAsia"/>
          <w:b/>
          <w:color w:val="000000" w:themeColor="text1"/>
          <w:sz w:val="24"/>
          <w:szCs w:val="24"/>
        </w:rPr>
        <w:t xml:space="preserve"> </w:t>
      </w:r>
    </w:p>
    <w:p w:rsidR="003F56A5" w:rsidRDefault="006F6553" w:rsidP="002C73FE">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供给方面，威联化学、能投，百宏，亚东装置重启并正常运行，三房巷120万吨装置重启中，独山能源6月上重启，台化120万吨装置计划内停车，至6.8 PTA负荷上调至79.3%（+6.6%）。而加工费方面，PTA加工费压缩至200元/吨附近，受聚酯高开工驱动近期供应商暂无检修计划。PX方面，因浙石化及盛虹装置降负影响，PX原料库存累积幅度不足以满足刚需，供需情况较前期收紧，预计后期PX国内负荷提升至78%后继续提升空间不大，短期PTA成本端支撑依然较强。需求方面，上周没有整套聚酯装置变动，主要为前期减产检修装置的近一步修复。截至6.8，初步核算国内大陆地区聚酯负荷在92.8%附近，近期聚酯库存低位及产业链利润环比改善，高开工有望维持。展望后市，受PX 两套大型装置降负等因素影响，PX短期开工率虽低位抬升但供需格局改善，PTA成本端支撑仍存。终端虽有负反馈，但聚酯产业链利润改善且聚酯库存低位，尚有缓冲空间，聚酯近期开工有望高位维持，PTA供需格局近期偏平衡。PTA加工费低位，不排除在后续原料偏紧的态势下开启检修计划，短期PTA供需格局尚可，风险点留意原油破位下行风险，仅供参考</w:t>
      </w:r>
      <w:r w:rsidR="00CC3FFA">
        <w:rPr>
          <w:rFonts w:ascii="楷体" w:eastAsia="楷体" w:hAnsi="楷体" w:hint="eastAsia"/>
          <w:color w:val="000000" w:themeColor="text1"/>
          <w:sz w:val="24"/>
          <w:szCs w:val="24"/>
        </w:rPr>
        <w:t>。</w:t>
      </w:r>
    </w:p>
    <w:p w:rsidR="003F56A5" w:rsidRDefault="003F56A5">
      <w:pPr>
        <w:ind w:leftChars="300" w:left="630"/>
        <w:rPr>
          <w:rFonts w:ascii="楷体" w:eastAsia="楷体" w:hAnsi="楷体"/>
          <w:color w:val="000000" w:themeColor="text1"/>
          <w:sz w:val="24"/>
          <w:szCs w:val="24"/>
        </w:rPr>
      </w:pPr>
    </w:p>
    <w:p w:rsidR="003F56A5" w:rsidRDefault="00CC3FFA">
      <w:pPr>
        <w:ind w:leftChars="200" w:left="420"/>
        <w:outlineLvl w:val="1"/>
        <w:rPr>
          <w:rFonts w:ascii="楷体" w:eastAsia="楷体" w:hAnsi="楷体"/>
          <w:b/>
          <w:color w:val="000000" w:themeColor="text1"/>
          <w:sz w:val="24"/>
          <w:szCs w:val="24"/>
        </w:rPr>
      </w:pPr>
      <w:bookmarkStart w:id="38" w:name="_Toc137715384"/>
      <w:r>
        <w:rPr>
          <w:rFonts w:ascii="楷体" w:eastAsia="楷体" w:hAnsi="楷体" w:hint="eastAsia"/>
          <w:b/>
          <w:color w:val="000000" w:themeColor="text1"/>
          <w:sz w:val="24"/>
          <w:szCs w:val="24"/>
        </w:rPr>
        <w:t>PVC：</w:t>
      </w:r>
      <w:r w:rsidR="00E34EAB" w:rsidRPr="00E34EAB">
        <w:rPr>
          <w:rFonts w:ascii="楷体" w:eastAsia="楷体" w:hAnsi="楷体" w:hint="eastAsia"/>
          <w:b/>
          <w:color w:val="000000" w:themeColor="text1"/>
          <w:sz w:val="24"/>
          <w:szCs w:val="24"/>
        </w:rPr>
        <w:t>高库存+弱复苏 驱动不足</w:t>
      </w:r>
      <w:bookmarkEnd w:id="38"/>
    </w:p>
    <w:p w:rsidR="003F56A5" w:rsidRDefault="00E34EAB">
      <w:pPr>
        <w:ind w:leftChars="300" w:left="630"/>
        <w:rPr>
          <w:rFonts w:ascii="楷体" w:eastAsia="楷体" w:hAnsi="楷体"/>
          <w:color w:val="000000" w:themeColor="text1"/>
          <w:sz w:val="24"/>
          <w:szCs w:val="24"/>
        </w:rPr>
      </w:pPr>
      <w:r w:rsidRPr="00E34EAB">
        <w:rPr>
          <w:rFonts w:ascii="楷体" w:eastAsia="楷体" w:hAnsi="楷体" w:hint="eastAsia"/>
          <w:color w:val="000000" w:themeColor="text1"/>
          <w:sz w:val="24"/>
          <w:szCs w:val="24"/>
        </w:rPr>
        <w:t>本周国内PVC行业开工负荷率小幅下降，据卓创资讯数据显示，本周PVC整体开工负荷率76.74%，环比下降0.72%；其中电石法PVC开工负荷率73.15%，环比下降1.40%；乙烯法PVC开工负荷率89.03%，环比增加1.61%。乙烯法产品出口较多，开工率提升对供给压力不大。从下游开工情况来看，近期下游开工走弱。本周管材开工率62.%，较上周下滑7.73%；型材开工率51.25%，较上周降1.25%。由于终端需求不佳，PVC下游企业以刚需补库为主，以华东地区为例，如果现货回落到6000元/吨左右，下游补库意向强烈。且前几日V期货触底6000附近下游成交单日华东+华南超过7万吨。但一旦反弹至6300附近，下游对于原料高价又较为抵触。综合来看，PVC近期受高库存及温和复苏的需求使得价格缺乏明显的向上驱动。短期来看供需关系的好转较为缓慢，预计上半年需求端的增长有限，PVC 行情持续上涨缺乏驱动。维持6000-6300区间操作为主</w:t>
      </w:r>
      <w:r w:rsidR="00CC3FFA">
        <w:rPr>
          <w:rFonts w:ascii="楷体" w:eastAsia="楷体" w:hAnsi="楷体" w:hint="eastAsia"/>
          <w:color w:val="000000" w:themeColor="text1"/>
          <w:sz w:val="24"/>
          <w:szCs w:val="24"/>
        </w:rPr>
        <w:t>。</w:t>
      </w:r>
    </w:p>
    <w:p w:rsidR="003F56A5" w:rsidRDefault="003F56A5">
      <w:pPr>
        <w:rPr>
          <w:rFonts w:ascii="楷体" w:eastAsia="楷体" w:hAnsi="楷体"/>
          <w:bCs/>
          <w:sz w:val="24"/>
          <w:szCs w:val="24"/>
        </w:rPr>
      </w:pPr>
    </w:p>
    <w:p w:rsidR="003F56A5" w:rsidRPr="00E373B2" w:rsidRDefault="00CC3FFA" w:rsidP="00E373B2">
      <w:pPr>
        <w:ind w:leftChars="200" w:left="420"/>
        <w:outlineLvl w:val="1"/>
        <w:rPr>
          <w:rFonts w:ascii="楷体" w:eastAsia="楷体" w:hAnsi="楷体"/>
          <w:b/>
          <w:color w:val="000000" w:themeColor="text1"/>
          <w:sz w:val="24"/>
          <w:szCs w:val="24"/>
        </w:rPr>
      </w:pPr>
      <w:bookmarkStart w:id="39" w:name="_Toc137715385"/>
      <w:r>
        <w:rPr>
          <w:rFonts w:ascii="楷体" w:eastAsia="楷体" w:hAnsi="楷体" w:hint="eastAsia"/>
          <w:b/>
          <w:color w:val="000000" w:themeColor="text1"/>
          <w:sz w:val="24"/>
          <w:szCs w:val="24"/>
        </w:rPr>
        <w:t>聚烯烃：</w:t>
      </w:r>
      <w:r w:rsidR="006F6553" w:rsidRPr="006F6553">
        <w:rPr>
          <w:rFonts w:ascii="楷体" w:eastAsia="楷体" w:hAnsi="楷体" w:hint="eastAsia"/>
          <w:b/>
          <w:color w:val="000000" w:themeColor="text1"/>
          <w:sz w:val="24"/>
          <w:szCs w:val="24"/>
        </w:rPr>
        <w:t>成本支撑减弱 聚烯烃或偏弱震荡</w:t>
      </w:r>
      <w:bookmarkEnd w:id="39"/>
    </w:p>
    <w:p w:rsidR="003F56A5" w:rsidRDefault="006F6553">
      <w:pPr>
        <w:ind w:leftChars="300" w:left="630"/>
        <w:rPr>
          <w:rFonts w:ascii="楷体" w:eastAsia="楷体" w:hAnsi="楷体"/>
          <w:bCs/>
          <w:sz w:val="24"/>
          <w:szCs w:val="24"/>
        </w:rPr>
      </w:pPr>
      <w:r w:rsidRPr="006F6553">
        <w:rPr>
          <w:rFonts w:ascii="楷体" w:eastAsia="楷体" w:hAnsi="楷体" w:hint="eastAsia"/>
          <w:color w:val="000000" w:themeColor="text1"/>
          <w:sz w:val="24"/>
          <w:szCs w:val="24"/>
        </w:rPr>
        <w:t>近期聚烯烃窄幅波动。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国际能源署报告认为随着替代性能源增加，全球石油需求在近几年将达到高峰；经调整过的美国原油库存意外大幅增加，市场对需求担忧再起，随后美联储预计今年将进一步加息，国际油价下跌；需求方面，PE下游方面，农膜整体需求平平，工厂生产清淡。棚膜工厂多停机检修；PP下游方面，BOPP市场成交刚需有量，整体量较上一交易日增加，BOPP企业未交付订单多数在一周以内，个别可至6月下旬。综合来看，PE方面，原油成本端走势回落，成本支撑减弱，近期检修较为集中，供应压力有所缓解；但下游需求跟进乏力，支撑力度有限，后期还是</w:t>
      </w:r>
      <w:r w:rsidRPr="006F6553">
        <w:rPr>
          <w:rFonts w:ascii="楷体" w:eastAsia="楷体" w:hAnsi="楷体" w:hint="eastAsia"/>
          <w:color w:val="000000" w:themeColor="text1"/>
          <w:sz w:val="24"/>
          <w:szCs w:val="24"/>
        </w:rPr>
        <w:lastRenderedPageBreak/>
        <w:t>存在下跌的可能。综上所述预计今日聚乙烯价格震荡偏弱整理。PP方面，目前聚丙烯现货端矛盾不大，集中性的检修叠加企业生产共聚积极性高位使得拉丝排产比例偏低，市场标品货源流通偏紧现状维持；且石化库存偏低，挺价意愿明显，预计今日PP震荡整理态势</w:t>
      </w:r>
      <w:r w:rsidR="00CC3FFA">
        <w:rPr>
          <w:rFonts w:ascii="楷体" w:eastAsia="楷体" w:hAnsi="楷体" w:hint="eastAsia"/>
          <w:color w:val="000000" w:themeColor="text1"/>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color w:val="000000" w:themeColor="text1"/>
          <w:sz w:val="24"/>
          <w:szCs w:val="24"/>
        </w:rPr>
      </w:pPr>
      <w:bookmarkStart w:id="40" w:name="_Toc137715386"/>
      <w:r>
        <w:rPr>
          <w:rFonts w:ascii="楷体" w:eastAsia="楷体" w:hAnsi="楷体" w:hint="eastAsia"/>
          <w:b/>
          <w:color w:val="000000" w:themeColor="text1"/>
          <w:sz w:val="24"/>
          <w:szCs w:val="24"/>
        </w:rPr>
        <w:t>MEG：</w:t>
      </w:r>
      <w:r w:rsidR="006F6553" w:rsidRPr="006F6553">
        <w:rPr>
          <w:rFonts w:ascii="楷体" w:eastAsia="楷体" w:hAnsi="楷体" w:hint="eastAsia"/>
          <w:b/>
          <w:color w:val="000000" w:themeColor="text1"/>
          <w:sz w:val="24"/>
          <w:szCs w:val="24"/>
        </w:rPr>
        <w:t>成本下行供应增加 09合约上行驱动不足</w:t>
      </w:r>
      <w:bookmarkEnd w:id="40"/>
    </w:p>
    <w:p w:rsidR="003F56A5" w:rsidRDefault="006F6553" w:rsidP="00115EEA">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供需情况，6.12 华东主港地区MEG港口库存约98.6万吨附近，环比上期减少3.6万吨。截至2023年6月18日，国内乙二醇华东总到港量预计在9.1万吨，较上一期减少5.4万吨。截至6月8日，中国大陆地区乙二醇整体开工负荷在54.70%（+0.18%），其中煤制乙二醇开工负荷在57.06%（-1.98%）。 近期乙二醇开工率回升至54%偏上，后续仍有浙江石化（75+80)、海南炼化7月提前回归，煤化工新疆天业、广西华谊等装置计划重启。新装置三江石化新装置投产较为顺利，预计下月将维持偏高负荷运行。聚酯需求端来看，截止6.8，初步核算国内大陆地区聚酯负荷在92.8%高位附近，聚酯负荷见顶。终端方面，部分阶段性订单交货后，上周江浙终端开工率局部回落，江浙加弹综合开工率82%(-1%)，江浙织机综合开工率71%(-3%），江浙印染综合开工率77%（+0%）。展望后市，供应环节增量较为明显，7月国产供应压力较大。且乙二醇海外供应逐步增量中，预计6-7月乙二醇进口增量8-10万吨左右。成本端煤、乙烯走低下带动估值重心下移，市场普遍关注的转产EO的问题，因EO现货弱势及天热转热后走货困难，后续实际转产落地较为困难。近期受聚酯高开工带动下，乙二醇仍能驱动小幅去库。但乙二醇后续供应端增量较为明显，终端新订单偏弱及常规货库存高企，09合约上行驱动不足，底部震荡为主，仅供参考</w:t>
      </w:r>
      <w:r w:rsidR="00CC3FFA">
        <w:rPr>
          <w:rFonts w:ascii="楷体" w:eastAsia="楷体" w:hAnsi="楷体" w:hint="eastAsia"/>
          <w:color w:val="000000" w:themeColor="text1"/>
          <w:sz w:val="24"/>
          <w:szCs w:val="24"/>
        </w:rPr>
        <w:t>。</w:t>
      </w:r>
    </w:p>
    <w:p w:rsidR="00A71A7E" w:rsidRDefault="00A71A7E" w:rsidP="00E45000">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1" w:name="_Toc137715387"/>
      <w:r>
        <w:rPr>
          <w:rFonts w:ascii="楷体" w:eastAsia="楷体" w:hAnsi="楷体" w:hint="eastAsia"/>
          <w:b/>
          <w:color w:val="000000" w:themeColor="text1"/>
          <w:sz w:val="24"/>
          <w:szCs w:val="24"/>
        </w:rPr>
        <w:t>玻璃</w:t>
      </w:r>
      <w:r w:rsidR="00A71A7E">
        <w:rPr>
          <w:rFonts w:ascii="楷体" w:eastAsia="楷体" w:hAnsi="楷体" w:hint="eastAsia"/>
          <w:b/>
          <w:color w:val="000000" w:themeColor="text1"/>
          <w:sz w:val="24"/>
          <w:szCs w:val="24"/>
        </w:rPr>
        <w:t>：</w:t>
      </w:r>
      <w:r w:rsidR="006F6553" w:rsidRPr="006F6553">
        <w:rPr>
          <w:rFonts w:ascii="楷体" w:eastAsia="楷体" w:hAnsi="楷体" w:hint="eastAsia"/>
          <w:b/>
          <w:color w:val="000000" w:themeColor="text1"/>
          <w:sz w:val="24"/>
          <w:szCs w:val="24"/>
        </w:rPr>
        <w:t>强预期弱现实，盘面宽幅震荡</w:t>
      </w:r>
      <w:bookmarkEnd w:id="41"/>
    </w:p>
    <w:p w:rsidR="00A71A7E" w:rsidRDefault="006F6553" w:rsidP="0079299D">
      <w:pPr>
        <w:ind w:leftChars="300" w:left="630"/>
        <w:rPr>
          <w:rFonts w:ascii="楷体" w:eastAsia="楷体" w:hAnsi="楷体"/>
          <w:color w:val="000000" w:themeColor="text1"/>
          <w:sz w:val="24"/>
          <w:szCs w:val="24"/>
        </w:rPr>
      </w:pPr>
      <w:r w:rsidRPr="006F6553">
        <w:rPr>
          <w:rFonts w:ascii="楷体" w:eastAsia="楷体" w:hAnsi="楷体" w:hint="eastAsia"/>
          <w:color w:val="000000" w:themeColor="text1"/>
          <w:sz w:val="24"/>
          <w:szCs w:val="24"/>
        </w:rPr>
        <w:t>隆众资讯6月14日报道：今日浮法玻璃现货价格2011，较上交易日-3。供给端，天津台玻600吨浮法线近日已引头子，6月点火较多，产量预增。需求端，下游深加工订单平淡，库存不多，适当补库，产销持续好转。市场再次进去强预期弱现实情况，盘面主要受宏观政策影响有所反复，但淡季下实际需求并未出现明显好转，弱现实下情况下上方压力明显，维持震荡走势判断</w:t>
      </w:r>
      <w:r w:rsidR="00A71A7E">
        <w:rPr>
          <w:rFonts w:ascii="楷体" w:eastAsia="楷体" w:hAnsi="楷体" w:hint="eastAsia"/>
          <w:color w:val="000000" w:themeColor="text1"/>
          <w:sz w:val="24"/>
          <w:szCs w:val="24"/>
        </w:rPr>
        <w:t>。</w:t>
      </w:r>
    </w:p>
    <w:p w:rsidR="00A71A7E" w:rsidRDefault="00A71A7E" w:rsidP="00A71A7E">
      <w:pPr>
        <w:ind w:leftChars="300" w:left="630"/>
        <w:rPr>
          <w:rFonts w:ascii="楷体" w:eastAsia="楷体" w:hAnsi="楷体"/>
          <w:bCs/>
          <w:sz w:val="24"/>
          <w:szCs w:val="24"/>
        </w:rPr>
      </w:pPr>
    </w:p>
    <w:p w:rsidR="00A71A7E" w:rsidRDefault="0079299D" w:rsidP="00A71A7E">
      <w:pPr>
        <w:ind w:leftChars="200" w:left="420"/>
        <w:outlineLvl w:val="1"/>
        <w:rPr>
          <w:rFonts w:ascii="楷体" w:eastAsia="楷体" w:hAnsi="楷体"/>
          <w:b/>
          <w:color w:val="000000" w:themeColor="text1"/>
          <w:sz w:val="24"/>
          <w:szCs w:val="24"/>
        </w:rPr>
      </w:pPr>
      <w:bookmarkStart w:id="42" w:name="_Toc137715388"/>
      <w:r>
        <w:rPr>
          <w:rFonts w:ascii="楷体" w:eastAsia="楷体" w:hAnsi="楷体" w:hint="eastAsia"/>
          <w:b/>
          <w:color w:val="000000" w:themeColor="text1"/>
          <w:sz w:val="24"/>
          <w:szCs w:val="24"/>
        </w:rPr>
        <w:t>纯碱</w:t>
      </w:r>
      <w:r w:rsidR="00A71A7E">
        <w:rPr>
          <w:rFonts w:ascii="楷体" w:eastAsia="楷体" w:hAnsi="楷体" w:hint="eastAsia"/>
          <w:b/>
          <w:color w:val="000000" w:themeColor="text1"/>
          <w:sz w:val="24"/>
          <w:szCs w:val="24"/>
        </w:rPr>
        <w:t>：</w:t>
      </w:r>
      <w:r w:rsidR="006F6553" w:rsidRPr="006F6553">
        <w:rPr>
          <w:rFonts w:ascii="楷体" w:eastAsia="楷体" w:hAnsi="楷体" w:hint="eastAsia"/>
          <w:b/>
          <w:color w:val="000000" w:themeColor="text1"/>
          <w:sz w:val="24"/>
          <w:szCs w:val="24"/>
        </w:rPr>
        <w:t>基差快速修复，反弹高度有限</w:t>
      </w:r>
      <w:bookmarkEnd w:id="42"/>
    </w:p>
    <w:p w:rsidR="00A71A7E" w:rsidRDefault="006F6553" w:rsidP="00A71A7E">
      <w:pPr>
        <w:ind w:leftChars="300" w:left="630"/>
        <w:rPr>
          <w:rFonts w:ascii="楷体" w:eastAsia="楷体" w:hAnsi="楷体"/>
          <w:bCs/>
          <w:sz w:val="24"/>
          <w:szCs w:val="24"/>
        </w:rPr>
      </w:pPr>
      <w:r w:rsidRPr="006F6553">
        <w:rPr>
          <w:rFonts w:ascii="楷体" w:eastAsia="楷体" w:hAnsi="楷体" w:hint="eastAsia"/>
          <w:color w:val="000000" w:themeColor="text1"/>
          <w:sz w:val="24"/>
          <w:szCs w:val="24"/>
        </w:rPr>
        <w:t>据隆众消息报道：今日国内纯碱市场价格无变化，基本面检修将至，加上碱厂挺价和连续三周去库，现货较强。盘面大幅反弹后，近月合约补贴水后基差大幅修复，估值偏高。且中长期来看，扩产后远月过剩明确，若反弹较多，仍建议逢高沽空。上方压力区间（1700，1750）</w:t>
      </w:r>
      <w:r w:rsidR="00A71A7E">
        <w:rPr>
          <w:rFonts w:ascii="楷体" w:eastAsia="楷体" w:hAnsi="楷体" w:hint="eastAsia"/>
          <w:color w:val="000000" w:themeColor="text1"/>
          <w:sz w:val="24"/>
          <w:szCs w:val="24"/>
        </w:rPr>
        <w:t>。</w:t>
      </w:r>
    </w:p>
    <w:p w:rsidR="003F56A5" w:rsidRPr="00A71A7E" w:rsidRDefault="003F56A5">
      <w:pPr>
        <w:ind w:firstLineChars="200" w:firstLine="480"/>
        <w:rPr>
          <w:rFonts w:ascii="楷体" w:eastAsia="楷体" w:hAnsi="楷体"/>
          <w:bCs/>
          <w:sz w:val="24"/>
          <w:szCs w:val="24"/>
        </w:rPr>
      </w:pPr>
    </w:p>
    <w:p w:rsidR="003F56A5" w:rsidRDefault="003F56A5">
      <w:pPr>
        <w:ind w:firstLineChars="200" w:firstLine="420"/>
        <w:rPr>
          <w:rFonts w:ascii="Times New Roman" w:eastAsia="楷体" w:hAnsi="Times New Roman"/>
          <w:bCs/>
        </w:rPr>
      </w:pPr>
    </w:p>
    <w:p w:rsidR="003F56A5" w:rsidRDefault="00CC3FFA">
      <w:pPr>
        <w:pBdr>
          <w:top w:val="single" w:sz="4" w:space="1" w:color="auto"/>
        </w:pBdr>
        <w:outlineLvl w:val="0"/>
        <w:rPr>
          <w:rFonts w:ascii="Times New Roman" w:eastAsia="楷体" w:hAnsi="Times New Roman"/>
          <w:b/>
          <w:color w:val="823C0B"/>
          <w:sz w:val="30"/>
          <w:szCs w:val="30"/>
        </w:rPr>
      </w:pPr>
      <w:r>
        <w:rPr>
          <w:rFonts w:ascii="Times New Roman" w:eastAsia="楷体" w:hAnsi="Times New Roman" w:hint="eastAsia"/>
          <w:b/>
          <w:color w:val="823C0B"/>
          <w:sz w:val="30"/>
          <w:szCs w:val="30"/>
        </w:rPr>
        <w:t xml:space="preserve"> </w:t>
      </w:r>
      <w:bookmarkStart w:id="43" w:name="_Toc137715389"/>
      <w:r>
        <w:rPr>
          <w:rFonts w:ascii="Times New Roman" w:eastAsia="楷体" w:hAnsi="Times New Roman" w:hint="eastAsia"/>
          <w:b/>
          <w:color w:val="823C0B"/>
          <w:sz w:val="30"/>
          <w:szCs w:val="30"/>
        </w:rPr>
        <w:t>[</w:t>
      </w:r>
      <w:r>
        <w:rPr>
          <w:rFonts w:ascii="Times New Roman" w:eastAsia="楷体" w:hAnsi="Times New Roman" w:hint="eastAsia"/>
          <w:b/>
          <w:color w:val="823C0B"/>
          <w:sz w:val="30"/>
          <w:szCs w:val="30"/>
        </w:rPr>
        <w:t>农产品</w:t>
      </w:r>
      <w:r>
        <w:rPr>
          <w:rFonts w:ascii="Times New Roman" w:eastAsia="楷体" w:hAnsi="Times New Roman" w:hint="eastAsia"/>
          <w:b/>
          <w:color w:val="823C0B"/>
          <w:sz w:val="30"/>
          <w:szCs w:val="30"/>
        </w:rPr>
        <w:t>]</w:t>
      </w:r>
      <w:bookmarkEnd w:id="14"/>
      <w:bookmarkEnd w:id="43"/>
    </w:p>
    <w:p w:rsidR="003F56A5" w:rsidRDefault="00147B03">
      <w:pPr>
        <w:ind w:leftChars="200" w:left="420"/>
        <w:outlineLvl w:val="1"/>
        <w:rPr>
          <w:rFonts w:ascii="楷体" w:eastAsia="楷体" w:hAnsi="楷体"/>
          <w:b/>
          <w:sz w:val="24"/>
          <w:szCs w:val="24"/>
        </w:rPr>
      </w:pPr>
      <w:bookmarkStart w:id="44" w:name="_Toc137715390"/>
      <w:r w:rsidRPr="00147B03">
        <w:rPr>
          <w:rFonts w:ascii="楷体" w:eastAsia="楷体" w:hAnsi="楷体" w:hint="eastAsia"/>
          <w:b/>
          <w:color w:val="000000" w:themeColor="text1"/>
          <w:sz w:val="24"/>
          <w:szCs w:val="24"/>
        </w:rPr>
        <w:t>豆粕/菜粕</w:t>
      </w:r>
      <w:r w:rsidR="00CC3FFA">
        <w:rPr>
          <w:rFonts w:ascii="楷体" w:eastAsia="楷体" w:hAnsi="楷体" w:hint="eastAsia"/>
          <w:b/>
          <w:color w:val="000000" w:themeColor="text1"/>
          <w:sz w:val="24"/>
          <w:szCs w:val="24"/>
        </w:rPr>
        <w:t>：</w:t>
      </w:r>
      <w:r w:rsidR="006F6553" w:rsidRPr="006F6553">
        <w:rPr>
          <w:rFonts w:ascii="楷体" w:eastAsia="楷体" w:hAnsi="楷体" w:hint="eastAsia"/>
          <w:b/>
          <w:sz w:val="24"/>
          <w:szCs w:val="24"/>
        </w:rPr>
        <w:t>美豆优良率继续走低，偏强震荡</w:t>
      </w:r>
      <w:bookmarkEnd w:id="44"/>
    </w:p>
    <w:p w:rsidR="003F56A5" w:rsidRDefault="006F6553">
      <w:pPr>
        <w:ind w:leftChars="300" w:left="630"/>
        <w:rPr>
          <w:rFonts w:ascii="楷体" w:eastAsia="楷体" w:hAnsi="楷体"/>
          <w:sz w:val="24"/>
          <w:szCs w:val="24"/>
        </w:rPr>
      </w:pPr>
      <w:r w:rsidRPr="006F6553">
        <w:rPr>
          <w:rFonts w:ascii="楷体" w:eastAsia="楷体" w:hAnsi="楷体" w:hint="eastAsia"/>
          <w:sz w:val="24"/>
          <w:szCs w:val="24"/>
        </w:rPr>
        <w:t>国际方面，因美国产区近期干旱范围扩大，市场担忧中西部干旱及作物前景，天气市逐步启动，对内盘两粕构成支撑。截至6月12日，美豆播种工</w:t>
      </w:r>
      <w:r w:rsidRPr="006F6553">
        <w:rPr>
          <w:rFonts w:ascii="楷体" w:eastAsia="楷体" w:hAnsi="楷体" w:hint="eastAsia"/>
          <w:sz w:val="24"/>
          <w:szCs w:val="24"/>
        </w:rPr>
        <w:lastRenderedPageBreak/>
        <w:t>作完成96%，上年同期为87%，五年平均进度为86%。美豆优良率为59%，比一周前下滑3%，上年同期为70%。巴西当前基本完成收割，大豆销售量达到预期产量的58.6%，远低于去年同期的69.9%，6月出口预计达1476万吨。国内市场，随着当前大豆到港量增加，油厂已逐步恢复开机压榨，供给端问题解决，主流油厂豆粕现货报价3740-3860元/吨。大豆4-6月到港量较大，5月进口到港1202万吨，环比增66%，阶段性供应压力仍待释放，关注大豆到厂进度及后续油厂开工情况。下游养殖利润表现仍不佳，且在杂粕替代下饲企和养殖企业等对豆粕饲用需求增量有限，在后续供应宽松下，现货基差仍面临着下行压力。菜粕当前供给相对偏紧，虽油厂开机及压榨维持较高水平，但菜籽二季度后到港预计减少。而需求方面在近期天气逐步回暖后，为华南水产需求旺季，替代需求方面，豆粕价格企稳，菜粕性价比仍存，整体供需表现紧张。策略方面，在产地天气升水及国内供应压力下，建议豆粕暂看3300-3550区间上沿压力，菜粕维持区间上沿震荡</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leftChars="200" w:left="420"/>
        <w:outlineLvl w:val="1"/>
        <w:rPr>
          <w:rFonts w:ascii="楷体" w:eastAsia="楷体" w:hAnsi="楷体"/>
          <w:b/>
          <w:sz w:val="24"/>
          <w:szCs w:val="24"/>
        </w:rPr>
      </w:pPr>
      <w:bookmarkStart w:id="45" w:name="_Toc137715391"/>
      <w:r>
        <w:rPr>
          <w:rFonts w:ascii="楷体" w:eastAsia="楷体" w:hAnsi="楷体" w:hint="eastAsia"/>
          <w:b/>
          <w:color w:val="000000" w:themeColor="text1"/>
          <w:sz w:val="24"/>
          <w:szCs w:val="24"/>
        </w:rPr>
        <w:t>油脂：</w:t>
      </w:r>
      <w:r w:rsidR="006F6553" w:rsidRPr="006F6553">
        <w:rPr>
          <w:rFonts w:ascii="楷体" w:eastAsia="楷体" w:hAnsi="楷体" w:hint="eastAsia"/>
          <w:b/>
          <w:sz w:val="24"/>
          <w:szCs w:val="24"/>
        </w:rPr>
        <w:t>短期宏观情绪提振，但基本面未改变</w:t>
      </w:r>
      <w:bookmarkEnd w:id="45"/>
    </w:p>
    <w:p w:rsidR="003F56A5" w:rsidRDefault="006F6553" w:rsidP="00792D31">
      <w:pPr>
        <w:ind w:leftChars="300" w:left="630"/>
        <w:rPr>
          <w:rFonts w:ascii="楷体" w:eastAsia="楷体" w:hAnsi="楷体"/>
          <w:sz w:val="24"/>
          <w:szCs w:val="24"/>
        </w:rPr>
      </w:pPr>
      <w:r w:rsidRPr="006F6553">
        <w:rPr>
          <w:rFonts w:ascii="楷体" w:eastAsia="楷体" w:hAnsi="楷体" w:hint="eastAsia"/>
          <w:sz w:val="24"/>
          <w:szCs w:val="24"/>
        </w:rPr>
        <w:t>6月美联储议息会议暂停加息，符合市场预期，但年内预计仍有两次加息；而美原油隔夜在EIA库存数据增长下收跌，对内盘油脂支撑减弱。棕榈油，马棕5月产量呈现季节性回升至151.75万吨，环比增26.8%，棕榈油库存量为169万吨，环比增加12.63%，高于预期157-160万吨水平，其主要原因在于产量152万吨，高于预期；而出口则比预期表现得更加羸弱，几乎较4月没有体现出任何增长，5月出口量为107.9万吨。虽市场开始炒作厄尔尼诺现象，但中期无法改变产地棕榈油累库的趋势。国内棕榈油在需求增加及进口下滑下，库存稳步去化。但在近期产地报价下滑，国内进口利润有所修复，6-7月船期买船增加，去库速度逐步放缓。需求端，随着气温回升虽利好棕榈油消费，且近期豆棕价差走阔替代需求或重回棕榈。豆油在供应修复预期下，压力仍存。虽5月初在大豆入关问题下，油厂开机不及预期，豆油供给修复缓慢。但随着5月下旬进口大豆到港增加，豆油供应存边际修复预期。需求，近期因豆棕价差收窄，豆油成交好转，但在后续供应增加下，价格上方仍存压。菜油处于供强需弱格局，但后续供应压力边际减轻。随着进口加籽到港量维持高位，菜籽供应较稳定，4月菜籽进口60万吨，菜油进口31万吨，环比同比均增，且近期菜油进口利润打开，有新增买船，菜油供应较宽松。需求方面，在国产菜籽上市后，浓香菜油偏好增加，进口菜油去库仍需通过对竞争油脂替代来消耗。短期油脂基本尚未改变，预计难以看到大反弹，可关注做多菜棕及菜豆价差机会</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pStyle w:val="paragraph"/>
        <w:spacing w:before="60" w:beforeAutospacing="0" w:after="60" w:afterAutospacing="0"/>
        <w:ind w:leftChars="200" w:left="420"/>
        <w:outlineLvl w:val="1"/>
        <w:rPr>
          <w:rFonts w:ascii="楷体" w:eastAsia="楷体" w:hAnsi="楷体"/>
          <w:b/>
        </w:rPr>
      </w:pPr>
      <w:bookmarkStart w:id="46" w:name="_Toc137715392"/>
      <w:r>
        <w:rPr>
          <w:rFonts w:ascii="楷体" w:eastAsia="楷体" w:hAnsi="楷体" w:hint="eastAsia"/>
          <w:b/>
          <w:bCs/>
          <w:color w:val="000000" w:themeColor="text1"/>
        </w:rPr>
        <w:t>玉米与淀粉：</w:t>
      </w:r>
      <w:r w:rsidR="006F6553" w:rsidRPr="006F6553">
        <w:rPr>
          <w:rFonts w:ascii="楷体" w:eastAsia="楷体" w:hAnsi="楷体" w:hint="eastAsia"/>
          <w:b/>
        </w:rPr>
        <w:t>期价震荡偏强运行</w:t>
      </w:r>
      <w:bookmarkEnd w:id="46"/>
    </w:p>
    <w:p w:rsidR="006F6553" w:rsidRPr="006F6553" w:rsidRDefault="006F6553" w:rsidP="006F6553">
      <w:pPr>
        <w:pStyle w:val="paragraph"/>
        <w:spacing w:before="60" w:after="60"/>
        <w:ind w:leftChars="300" w:left="630"/>
        <w:rPr>
          <w:rFonts w:ascii="楷体" w:eastAsia="楷体" w:hAnsi="楷体" w:hint="eastAsia"/>
        </w:rPr>
      </w:pPr>
      <w:r w:rsidRPr="006F6553">
        <w:rPr>
          <w:rFonts w:ascii="楷体" w:eastAsia="楷体" w:hAnsi="楷体" w:hint="eastAsia"/>
        </w:rPr>
        <w:t>对于玉米而言，短期由于小麦新作上市特别是芽麦带来饲用替代，国内玉米期现货持续震荡调整态势，我们建议继续关注两个方面的上涨驱动，其一是新作单产前景的变数，特别是外盘产区天气；其二是旧作被动补库存，因当前下游需求企业如饲料养殖企业与华北深加工企业原料</w:t>
      </w:r>
      <w:r w:rsidRPr="006F6553">
        <w:rPr>
          <w:rFonts w:ascii="楷体" w:eastAsia="楷体" w:hAnsi="楷体" w:hint="eastAsia"/>
        </w:rPr>
        <w:lastRenderedPageBreak/>
        <w:t>库存偏低，而产销区倒挂大概率带动渠道库存去化。在这种情况下，我们维持谨慎看多，建议投资者持有前期多单。</w:t>
      </w:r>
    </w:p>
    <w:p w:rsidR="003F56A5" w:rsidRDefault="006F6553" w:rsidP="006F6553">
      <w:pPr>
        <w:pStyle w:val="paragraph"/>
        <w:spacing w:before="60" w:beforeAutospacing="0" w:after="60" w:afterAutospacing="0"/>
        <w:ind w:leftChars="300" w:left="630"/>
        <w:rPr>
          <w:rFonts w:ascii="楷体" w:eastAsia="楷体" w:hAnsi="楷体"/>
        </w:rPr>
      </w:pPr>
      <w:r w:rsidRPr="006F6553">
        <w:rPr>
          <w:rFonts w:ascii="楷体" w:eastAsia="楷体" w:hAnsi="楷体" w:hint="eastAsia"/>
        </w:rPr>
        <w:t>对于淀粉而言，近期淀粉-玉米价差表现分化，近月略有走扩，而多数合约价差维持在300一线徘徊，在我们看来，主要源于市场对华北玉米原料成本的担忧，因小麦饲用替代或导致华北玉米相对更为弱势，但实际市场所反映出来的是华北-东北玉米价差走扩。在这种情况下，我们维持前期判断，继续认为市场各方面因素诸如基差、原料成本、行业供需和副产品价格均支持价差继续走扩。在这种情况下，我们建议持有前期价差走扩套利，激进投资者可以考虑持有单边多单</w:t>
      </w:r>
      <w:r w:rsidR="00CC3FFA">
        <w:rPr>
          <w:rFonts w:ascii="楷体" w:eastAsia="楷体" w:hAnsi="楷体" w:hint="eastAsia"/>
        </w:rPr>
        <w:t>。</w:t>
      </w:r>
    </w:p>
    <w:p w:rsidR="003F56A5" w:rsidRDefault="003F56A5">
      <w:pPr>
        <w:pStyle w:val="paragraph"/>
        <w:spacing w:before="60" w:beforeAutospacing="0" w:after="60" w:afterAutospacing="0"/>
        <w:ind w:leftChars="300" w:left="630"/>
        <w:rPr>
          <w:rFonts w:ascii="楷体" w:eastAsia="楷体" w:hAnsi="楷体"/>
        </w:rPr>
      </w:pPr>
    </w:p>
    <w:p w:rsidR="003F56A5" w:rsidRDefault="00CC3FFA">
      <w:pPr>
        <w:pStyle w:val="paragraph"/>
        <w:spacing w:before="60" w:beforeAutospacing="0" w:after="60" w:afterAutospacing="0"/>
        <w:ind w:leftChars="200" w:left="420"/>
        <w:outlineLvl w:val="1"/>
        <w:rPr>
          <w:rFonts w:ascii="楷体" w:eastAsia="楷体" w:hAnsi="楷体"/>
          <w:b/>
          <w:bCs/>
          <w:color w:val="000000" w:themeColor="text1"/>
        </w:rPr>
      </w:pPr>
      <w:bookmarkStart w:id="47" w:name="_Toc137715393"/>
      <w:r>
        <w:rPr>
          <w:rFonts w:ascii="楷体" w:eastAsia="楷体" w:hAnsi="楷体" w:hint="eastAsia"/>
          <w:b/>
          <w:bCs/>
          <w:color w:val="000000" w:themeColor="text1"/>
        </w:rPr>
        <w:t>畜禽养殖：</w:t>
      </w:r>
      <w:r w:rsidR="006F6553" w:rsidRPr="006F6553">
        <w:rPr>
          <w:rFonts w:ascii="楷体" w:eastAsia="楷体" w:hAnsi="楷体" w:hint="eastAsia"/>
          <w:b/>
          <w:bCs/>
          <w:color w:val="000000" w:themeColor="text1"/>
        </w:rPr>
        <w:t>生猪期价持续反弹</w:t>
      </w:r>
      <w:bookmarkEnd w:id="47"/>
    </w:p>
    <w:p w:rsidR="006F6553" w:rsidRPr="006F6553" w:rsidRDefault="006F6553" w:rsidP="006F6553">
      <w:pPr>
        <w:pStyle w:val="paragraph"/>
        <w:spacing w:before="60" w:after="60"/>
        <w:ind w:leftChars="300" w:left="630"/>
        <w:rPr>
          <w:rFonts w:ascii="楷体" w:eastAsia="楷体" w:hAnsi="楷体" w:hint="eastAsia"/>
        </w:rPr>
      </w:pPr>
      <w:r w:rsidRPr="006F6553">
        <w:rPr>
          <w:rFonts w:ascii="楷体" w:eastAsia="楷体" w:hAnsi="楷体" w:hint="eastAsia"/>
        </w:rPr>
        <w:t>对于生猪而言，在前期报告中我们指出，3月以来现货表现不及我们之前预期，问题出在供应量，集中在两个方面，其一是春节前堆积的供应量，其二是节前仔猪带来的生猪出栏量。各机构数据显示年后以来供应持续去化，更为重要的是，考虑到去年四季度以来生猪价格下跌和春季前后非瘟疫情导致的仔猪供应下滑，对应后期生猪供应有望阶段性下滑，有望带动生猪价格出现阶段性上涨。对于期价而言，由于5月以来期价持续震荡下行，带动近月合约基差持续走强，这意味期价逐步挤出升水，目前7月和9月合约均低于生猪养殖成本，远月合约亦仅略高于养殖成本线，再加上国家收储政策的潜在支撑，我们倾向于期价下方空间或有限，维持谨慎看多观点。</w:t>
      </w:r>
    </w:p>
    <w:p w:rsidR="003F56A5" w:rsidRDefault="006F6553" w:rsidP="006F6553">
      <w:pPr>
        <w:pStyle w:val="paragraph"/>
        <w:spacing w:before="60" w:beforeAutospacing="0" w:after="60" w:afterAutospacing="0"/>
        <w:ind w:leftChars="300" w:left="630"/>
        <w:rPr>
          <w:rFonts w:ascii="楷体" w:eastAsia="楷体" w:hAnsi="楷体"/>
        </w:rPr>
      </w:pPr>
      <w:r w:rsidRPr="006F6553">
        <w:rPr>
          <w:rFonts w:ascii="楷体" w:eastAsia="楷体" w:hAnsi="楷体" w:hint="eastAsia"/>
        </w:rPr>
        <w:t>对于鸡蛋而言，当前市场的主要矛盾体现在高基差上，之前市场的预期存在合理性，因节后以来鸡蛋价格和蛋鸡养殖利润处于同期高位水平，带动养殖户补栏积极性上涨，市场据此预计远期供需有望趋于改善，使得远月期价持续下跌。但5月以来，随着鸡蛋现货价格的下跌，蛋鸡养殖利润亦有显著下滑，带动养殖户补栏积极性下滑，与此同时，养殖户淘汰积极性上升，这会导致市场之前的供需改善预期存在较大变数。此外，9月合约一度跌至4070左右，这接近于博亚和讯测算的鸡蛋养殖成本线，考虑到9月处于季节性旺季，供需之外还有季节性规律。我们倾向于鸡蛋期价下方空间或有限，维持谨慎看多观点，建议谨慎投资者观望，激进投资者可以考虑轻仓做多，以去年8月低点作为止损</w:t>
      </w:r>
      <w:r w:rsidR="00CC3FFA">
        <w:rPr>
          <w:rFonts w:ascii="楷体" w:eastAsia="楷体" w:hAnsi="楷体" w:hint="eastAsia"/>
        </w:rPr>
        <w:t>。</w:t>
      </w:r>
    </w:p>
    <w:p w:rsidR="003F56A5" w:rsidRDefault="003F56A5">
      <w:pPr>
        <w:ind w:firstLineChars="200" w:firstLine="480"/>
        <w:rPr>
          <w:rFonts w:ascii="楷体" w:eastAsia="楷体" w:hAnsi="楷体"/>
          <w:sz w:val="24"/>
          <w:szCs w:val="24"/>
        </w:rPr>
      </w:pPr>
    </w:p>
    <w:p w:rsidR="003F56A5" w:rsidRDefault="00CC3FFA">
      <w:pPr>
        <w:ind w:leftChars="200" w:left="420"/>
        <w:outlineLvl w:val="1"/>
        <w:rPr>
          <w:rFonts w:ascii="楷体" w:eastAsia="楷体" w:hAnsi="楷体"/>
          <w:b/>
          <w:sz w:val="24"/>
          <w:szCs w:val="24"/>
        </w:rPr>
      </w:pPr>
      <w:bookmarkStart w:id="48" w:name="_Toc137715394"/>
      <w:r>
        <w:rPr>
          <w:rFonts w:ascii="楷体" w:eastAsia="楷体" w:hAnsi="楷体" w:hint="eastAsia"/>
          <w:b/>
          <w:sz w:val="24"/>
          <w:szCs w:val="24"/>
        </w:rPr>
        <w:t>郑棉：</w:t>
      </w:r>
      <w:r w:rsidR="006F6553" w:rsidRPr="006F6553">
        <w:rPr>
          <w:rFonts w:ascii="楷体" w:eastAsia="楷体" w:hAnsi="楷体" w:hint="eastAsia"/>
          <w:b/>
          <w:sz w:val="24"/>
          <w:szCs w:val="24"/>
        </w:rPr>
        <w:t>预计09合约震荡整理，观望</w:t>
      </w:r>
      <w:bookmarkEnd w:id="48"/>
    </w:p>
    <w:p w:rsidR="003F56A5" w:rsidRDefault="006F6553" w:rsidP="007B3290">
      <w:pPr>
        <w:ind w:leftChars="300" w:left="630"/>
        <w:rPr>
          <w:rFonts w:ascii="楷体" w:eastAsia="楷体" w:hAnsi="楷体"/>
          <w:sz w:val="24"/>
          <w:szCs w:val="24"/>
        </w:rPr>
      </w:pPr>
      <w:r w:rsidRPr="006F6553">
        <w:rPr>
          <w:rFonts w:ascii="楷体" w:eastAsia="楷体" w:hAnsi="楷体" w:hint="eastAsia"/>
          <w:sz w:val="24"/>
          <w:szCs w:val="24"/>
        </w:rPr>
        <w:t>美联储宣布暂停加息，叠加中国刚刚下调政策利率，预计商品本周整体走势偏强。郑棉高位震荡整理，等待棉纱的跟随情况和5月库存报告。国际方面，厄尔尼诺现象为美洲带来更多的降雨，美棉和巴西棉丰产预期增强。尽管其对印度棉或许会造成不利影响，对中国或许也有轻微负面影响，但因美国和巴西是出口大国，价格影响力更强。因此，天气预期对国际棉价施压力。内强外弱，内外价差继续扩大</w:t>
      </w:r>
      <w:r w:rsidR="00CC3FFA">
        <w:rPr>
          <w:rFonts w:ascii="楷体" w:eastAsia="楷体" w:hAnsi="楷体" w:hint="eastAsia"/>
          <w:sz w:val="24"/>
          <w:szCs w:val="24"/>
        </w:rPr>
        <w:t>。</w:t>
      </w:r>
    </w:p>
    <w:p w:rsidR="003F56A5" w:rsidRDefault="003F56A5">
      <w:pPr>
        <w:ind w:firstLineChars="200" w:firstLine="480"/>
        <w:rPr>
          <w:rFonts w:ascii="楷体" w:eastAsia="楷体" w:hAnsi="楷体"/>
          <w:bCs/>
          <w:sz w:val="24"/>
          <w:szCs w:val="24"/>
        </w:rPr>
      </w:pPr>
    </w:p>
    <w:p w:rsidR="003F56A5" w:rsidRDefault="00CC3FFA">
      <w:pPr>
        <w:ind w:firstLineChars="200" w:firstLine="602"/>
        <w:rPr>
          <w:rFonts w:ascii="Times New Roman" w:eastAsia="楷体" w:hAnsi="Times New Roman"/>
          <w:b/>
          <w:color w:val="800000"/>
          <w:sz w:val="30"/>
          <w:szCs w:val="30"/>
        </w:rPr>
      </w:pPr>
      <w:r>
        <w:rPr>
          <w:rFonts w:ascii="Times New Roman" w:eastAsia="楷体" w:hAnsi="Times New Roman"/>
          <w:b/>
          <w:color w:val="800000"/>
          <w:sz w:val="30"/>
          <w:szCs w:val="30"/>
        </w:rPr>
        <w:lastRenderedPageBreak/>
        <w:br w:type="page"/>
      </w:r>
    </w:p>
    <w:p w:rsidR="003F56A5" w:rsidRDefault="00CC3FFA">
      <w:pPr>
        <w:spacing w:line="360" w:lineRule="auto"/>
        <w:jc w:val="center"/>
        <w:rPr>
          <w:rFonts w:ascii="Times New Roman" w:eastAsia="楷体" w:hAnsi="Times New Roman"/>
          <w:b/>
          <w:color w:val="411D05"/>
          <w:sz w:val="30"/>
          <w:szCs w:val="30"/>
        </w:rPr>
      </w:pPr>
      <w:bookmarkStart w:id="49" w:name="_Toc71212556"/>
      <w:bookmarkStart w:id="50" w:name="_Toc19667"/>
      <w:bookmarkStart w:id="51" w:name="_Toc98426751"/>
      <w:bookmarkStart w:id="52" w:name="_Toc12779"/>
      <w:bookmarkStart w:id="53" w:name="_Toc72481108"/>
      <w:r>
        <w:rPr>
          <w:rFonts w:ascii="Times New Roman" w:eastAsia="楷体" w:hAnsi="Times New Roman"/>
          <w:b/>
          <w:color w:val="411D05"/>
          <w:sz w:val="30"/>
          <w:szCs w:val="30"/>
        </w:rPr>
        <w:lastRenderedPageBreak/>
        <w:t>免责声明</w:t>
      </w:r>
      <w:bookmarkEnd w:id="49"/>
      <w:bookmarkEnd w:id="50"/>
      <w:bookmarkEnd w:id="51"/>
      <w:bookmarkEnd w:id="52"/>
      <w:bookmarkEnd w:id="53"/>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rsidR="003F56A5" w:rsidRDefault="00CC3FFA">
      <w:pPr>
        <w:widowControl/>
        <w:ind w:firstLineChars="200" w:firstLine="422"/>
        <w:jc w:val="left"/>
        <w:rPr>
          <w:rFonts w:ascii="Times New Roman" w:eastAsia="楷体" w:hAnsi="Times New Roman"/>
          <w:b/>
          <w:bCs/>
          <w:color w:val="C00000"/>
        </w:rPr>
      </w:pPr>
      <w:r>
        <w:rPr>
          <w:rFonts w:ascii="Times New Roman" w:eastAsia="楷体" w:hAnsi="Times New Roman" w:hint="eastAsia"/>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rsidR="003F56A5" w:rsidRDefault="00CC3FFA">
      <w:pPr>
        <w:ind w:firstLineChars="200" w:firstLine="422"/>
        <w:rPr>
          <w:rFonts w:ascii="Times New Roman" w:eastAsia="楷体" w:hAnsi="Times New Roman"/>
        </w:rPr>
      </w:pPr>
      <w:r>
        <w:rPr>
          <w:rFonts w:ascii="Times New Roman" w:eastAsia="楷体" w:hAnsi="Times New Roman" w:hint="eastAsia"/>
          <w:b/>
          <w:bCs/>
          <w:color w:val="C00000"/>
        </w:rPr>
        <w:t>广州期货股份有限公司提醒广大投资者：期市有风险，入市需谨慎！</w:t>
      </w: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CC3FFA">
      <w:pPr>
        <w:jc w:val="left"/>
        <w:rPr>
          <w:rFonts w:ascii="Times New Roman" w:eastAsia="楷体" w:hAnsi="Times New Roman"/>
          <w:b/>
          <w:color w:val="823C0B"/>
          <w:sz w:val="28"/>
        </w:rPr>
      </w:pPr>
      <w:r>
        <w:rPr>
          <w:rFonts w:ascii="Times New Roman" w:eastAsia="楷体" w:hAnsi="Times New Roman"/>
          <w:b/>
          <w:color w:val="823C0B"/>
          <w:sz w:val="28"/>
        </w:rPr>
        <w:t>投资咨询业务资格</w:t>
      </w:r>
      <w:r>
        <w:rPr>
          <w:rFonts w:ascii="Times New Roman" w:eastAsia="楷体" w:hAnsi="Times New Roman"/>
          <w:b/>
          <w:color w:val="823C0B"/>
          <w:sz w:val="28"/>
        </w:rPr>
        <w:t>:</w:t>
      </w:r>
      <w:r>
        <w:rPr>
          <w:rFonts w:ascii="Times New Roman" w:eastAsia="楷体" w:hAnsi="Times New Roman"/>
          <w:b/>
          <w:color w:val="823C0B"/>
          <w:sz w:val="28"/>
        </w:rPr>
        <w:t>证监许可【</w:t>
      </w:r>
      <w:r>
        <w:rPr>
          <w:rFonts w:ascii="Times New Roman" w:eastAsia="楷体" w:hAnsi="Times New Roman"/>
          <w:b/>
          <w:color w:val="823C0B"/>
          <w:sz w:val="28"/>
        </w:rPr>
        <w:t>2012</w:t>
      </w:r>
      <w:r>
        <w:rPr>
          <w:rFonts w:ascii="Times New Roman" w:eastAsia="楷体" w:hAnsi="Times New Roman"/>
          <w:b/>
          <w:color w:val="823C0B"/>
          <w:sz w:val="28"/>
        </w:rPr>
        <w:t>】</w:t>
      </w:r>
      <w:r>
        <w:rPr>
          <w:rFonts w:ascii="Times New Roman" w:eastAsia="楷体" w:hAnsi="Times New Roman"/>
          <w:b/>
          <w:color w:val="823C0B"/>
          <w:sz w:val="28"/>
        </w:rPr>
        <w:t>1497</w:t>
      </w:r>
      <w:r>
        <w:rPr>
          <w:rFonts w:ascii="Times New Roman" w:eastAsia="楷体" w:hAnsi="Times New Roman"/>
          <w:b/>
          <w:color w:val="823C0B"/>
          <w:sz w:val="28"/>
        </w:rPr>
        <w:t>号</w:t>
      </w:r>
      <w:r>
        <w:rPr>
          <w:rFonts w:ascii="Times New Roman" w:eastAsia="楷体" w:hAnsi="Times New Roman"/>
          <w:b/>
          <w:color w:val="823C0B"/>
          <w:sz w:val="28"/>
        </w:rPr>
        <w:t xml:space="preserve"> </w:t>
      </w:r>
    </w:p>
    <w:p w:rsidR="003F56A5" w:rsidRDefault="003F56A5">
      <w:pPr>
        <w:ind w:firstLineChars="200" w:firstLine="440"/>
        <w:rPr>
          <w:rFonts w:ascii="Times New Roman" w:eastAsia="楷体" w:hAnsi="Times New Roman" w:cs="Times New Roman"/>
          <w:sz w:val="22"/>
        </w:r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154"/>
      </w:tblGrid>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王荆杰</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F3084112</w:t>
            </w:r>
            <w:r>
              <w:rPr>
                <w:rFonts w:ascii="Times New Roman" w:eastAsia="楷体" w:hAnsi="Times New Roman" w:cs="Times New Roman" w:hint="eastAsia"/>
                <w:color w:val="823C0B"/>
                <w:sz w:val="22"/>
              </w:rPr>
              <w:t xml:space="preserve">    </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Z0016329</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范红军</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color w:val="823C0B"/>
                <w:sz w:val="22"/>
              </w:rPr>
              <w:t>F03098791</w:t>
            </w:r>
          </w:p>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Z0017690</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李代</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F03086605</w:t>
            </w:r>
          </w:p>
          <w:p w:rsidR="003F56A5" w:rsidRDefault="00CC3FFA">
            <w:pPr>
              <w:tabs>
                <w:tab w:val="left" w:pos="1842"/>
              </w:tabs>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Z0016791</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许克元</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F3022666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Z0013612</w:t>
            </w:r>
          </w:p>
        </w:tc>
      </w:tr>
      <w:tr w:rsidR="003F56A5">
        <w:trPr>
          <w:jc w:val="center"/>
        </w:trPr>
        <w:tc>
          <w:tcPr>
            <w:tcW w:w="4260"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谢紫琪</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F3032560</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Z0014338</w:t>
            </w:r>
          </w:p>
        </w:tc>
        <w:tc>
          <w:tcPr>
            <w:tcW w:w="4262" w:type="dxa"/>
          </w:tcPr>
          <w:p w:rsidR="003F56A5" w:rsidRDefault="00CC3FFA">
            <w:pPr>
              <w:tabs>
                <w:tab w:val="left" w:pos="1842"/>
              </w:tabs>
              <w:rPr>
                <w:rFonts w:ascii="Times New Roman" w:eastAsia="楷体" w:hAnsi="Times New Roman" w:cs="Times New Roman"/>
                <w:b/>
                <w:color w:val="823C0B"/>
                <w:sz w:val="22"/>
              </w:rPr>
            </w:pPr>
            <w:r>
              <w:rPr>
                <w:rFonts w:ascii="Times New Roman" w:eastAsia="楷体" w:hAnsi="Times New Roman" w:cs="Times New Roman"/>
                <w:b/>
                <w:color w:val="823C0B"/>
                <w:sz w:val="22"/>
              </w:rPr>
              <w:t>薛晴</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期货从业资格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F3035906</w:t>
            </w:r>
          </w:p>
          <w:p w:rsidR="003F56A5" w:rsidRDefault="00CC3FFA">
            <w:pPr>
              <w:rPr>
                <w:rFonts w:ascii="Times New Roman" w:eastAsia="楷体" w:hAnsi="Times New Roman" w:cs="Times New Roman"/>
                <w:color w:val="823C0B"/>
                <w:sz w:val="22"/>
              </w:rPr>
            </w:pPr>
            <w:r>
              <w:rPr>
                <w:rFonts w:ascii="Times New Roman" w:eastAsia="楷体" w:hAnsi="Times New Roman" w:cs="Times New Roman"/>
                <w:color w:val="823C0B"/>
                <w:sz w:val="22"/>
              </w:rPr>
              <w:t>投资咨询资格</w:t>
            </w:r>
            <w:r>
              <w:rPr>
                <w:rFonts w:ascii="Times New Roman" w:eastAsia="楷体" w:hAnsi="Times New Roman" w:cs="Times New Roman" w:hint="eastAsia"/>
                <w:color w:val="823C0B"/>
                <w:sz w:val="22"/>
              </w:rPr>
              <w:t>：</w:t>
            </w:r>
            <w:r>
              <w:rPr>
                <w:rFonts w:ascii="Times New Roman" w:eastAsia="楷体" w:hAnsi="Times New Roman" w:cs="Times New Roman" w:hint="eastAsia"/>
                <w:color w:val="823C0B"/>
                <w:sz w:val="22"/>
              </w:rPr>
              <w:t>Z0016940</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tbl>
      <w:tblPr>
        <w:tblW w:w="5000" w:type="pct"/>
        <w:jc w:val="center"/>
        <w:tblLook w:val="04A0" w:firstRow="1" w:lastRow="0" w:firstColumn="1" w:lastColumn="0" w:noHBand="0" w:noVBand="1"/>
      </w:tblPr>
      <w:tblGrid>
        <w:gridCol w:w="8306"/>
      </w:tblGrid>
      <w:tr w:rsidR="003F56A5">
        <w:trPr>
          <w:jc w:val="center"/>
        </w:trPr>
        <w:tc>
          <w:tcPr>
            <w:tcW w:w="5000" w:type="pct"/>
            <w:shd w:val="clear" w:color="auto" w:fill="auto"/>
            <w:vAlign w:val="center"/>
          </w:tcPr>
          <w:p w:rsidR="003F56A5" w:rsidRDefault="00CC3FFA">
            <w:pPr>
              <w:rPr>
                <w:rFonts w:ascii="Times New Roman" w:eastAsia="楷体" w:hAnsi="Times New Roman"/>
                <w:b/>
                <w:bCs/>
                <w:color w:val="823C0B"/>
              </w:rPr>
            </w:pPr>
            <w:r>
              <w:rPr>
                <w:rFonts w:ascii="Times New Roman" w:eastAsia="楷体" w:hAnsi="Times New Roman"/>
                <w:bCs/>
                <w:color w:val="823C0B"/>
              </w:rPr>
              <w:t>办公地址：广州市天河区</w:t>
            </w:r>
            <w:r>
              <w:rPr>
                <w:rFonts w:ascii="Times New Roman" w:eastAsia="楷体" w:hAnsi="Times New Roman" w:hint="eastAsia"/>
                <w:bCs/>
                <w:color w:val="823C0B"/>
              </w:rPr>
              <w:t>临江大道</w:t>
            </w:r>
            <w:r>
              <w:rPr>
                <w:rFonts w:ascii="Times New Roman" w:eastAsia="楷体" w:hAnsi="Times New Roman" w:hint="eastAsia"/>
                <w:bCs/>
                <w:color w:val="823C0B"/>
              </w:rPr>
              <w:t>1</w:t>
            </w:r>
            <w:r>
              <w:rPr>
                <w:rFonts w:ascii="Times New Roman" w:eastAsia="楷体" w:hAnsi="Times New Roman" w:hint="eastAsia"/>
                <w:bCs/>
                <w:color w:val="823C0B"/>
              </w:rPr>
              <w:t>号寺右万科中心南塔</w:t>
            </w:r>
            <w:r>
              <w:rPr>
                <w:rFonts w:ascii="Times New Roman" w:eastAsia="楷体" w:hAnsi="Times New Roman"/>
                <w:bCs/>
                <w:color w:val="823C0B"/>
              </w:rPr>
              <w:t>6</w:t>
            </w:r>
            <w:r>
              <w:rPr>
                <w:rFonts w:ascii="Times New Roman" w:eastAsia="楷体" w:hAnsi="Times New Roman" w:hint="eastAsia"/>
                <w:bCs/>
                <w:color w:val="823C0B"/>
              </w:rPr>
              <w:t>层</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color w:val="823C0B"/>
              </w:rPr>
            </w:pPr>
            <w:r>
              <w:rPr>
                <w:rFonts w:ascii="Times New Roman" w:eastAsia="楷体" w:hAnsi="Times New Roman" w:hint="eastAsia"/>
                <w:bCs/>
                <w:color w:val="823C0B"/>
              </w:rPr>
              <w:t>联系方式</w:t>
            </w:r>
            <w:r>
              <w:rPr>
                <w:rFonts w:ascii="Times New Roman" w:eastAsia="楷体" w:hAnsi="Times New Roman" w:hint="eastAsia"/>
                <w:bCs/>
                <w:color w:val="823C0B"/>
              </w:rPr>
              <w:t>: (020)22836102</w:t>
            </w:r>
          </w:p>
        </w:tc>
      </w:tr>
      <w:tr w:rsidR="003F56A5">
        <w:trPr>
          <w:jc w:val="center"/>
        </w:trPr>
        <w:tc>
          <w:tcPr>
            <w:tcW w:w="5000" w:type="pct"/>
            <w:shd w:val="clear" w:color="auto" w:fill="auto"/>
            <w:vAlign w:val="center"/>
          </w:tcPr>
          <w:p w:rsidR="003F56A5" w:rsidRDefault="00CC3FFA">
            <w:pPr>
              <w:jc w:val="left"/>
              <w:rPr>
                <w:rFonts w:ascii="Times New Roman" w:eastAsia="楷体" w:hAnsi="Times New Roman"/>
                <w:bCs/>
                <w:color w:val="823C0B"/>
              </w:rPr>
            </w:pPr>
            <w:r>
              <w:rPr>
                <w:rFonts w:ascii="Times New Roman" w:eastAsia="楷体" w:hAnsi="Times New Roman"/>
                <w:bCs/>
                <w:color w:val="823C0B"/>
              </w:rPr>
              <w:t>邮政编码：</w:t>
            </w:r>
            <w:r>
              <w:rPr>
                <w:rFonts w:ascii="Times New Roman" w:eastAsia="楷体" w:hAnsi="Times New Roman"/>
                <w:bCs/>
                <w:color w:val="823C0B"/>
              </w:rPr>
              <w:t>510627</w:t>
            </w:r>
          </w:p>
        </w:tc>
      </w:tr>
    </w:tbl>
    <w:p w:rsidR="003F56A5" w:rsidRDefault="003F56A5">
      <w:pPr>
        <w:ind w:firstLineChars="200" w:firstLine="420"/>
        <w:rPr>
          <w:rFonts w:ascii="Times New Roman" w:eastAsia="楷体" w:hAnsi="Times New Roman"/>
        </w:rPr>
      </w:pPr>
    </w:p>
    <w:p w:rsidR="003F56A5" w:rsidRDefault="003F56A5">
      <w:pPr>
        <w:ind w:firstLineChars="200" w:firstLine="420"/>
        <w:rPr>
          <w:rFonts w:ascii="Times New Roman" w:eastAsia="楷体" w:hAnsi="Times New Roman"/>
        </w:rPr>
      </w:pPr>
    </w:p>
    <w:p w:rsidR="003F56A5" w:rsidRDefault="003F56A5">
      <w:pPr>
        <w:pBdr>
          <w:top w:val="none" w:sz="0" w:space="1" w:color="auto"/>
          <w:left w:val="none" w:sz="0" w:space="4" w:color="auto"/>
          <w:bottom w:val="none" w:sz="0" w:space="1" w:color="auto"/>
          <w:right w:val="none" w:sz="0" w:space="4" w:color="auto"/>
        </w:pBdr>
      </w:pPr>
    </w:p>
    <w:sectPr w:rsidR="003F56A5">
      <w:footerReference w:type="default" r:id="rId12"/>
      <w:footerReference w:type="first" r:id="rId13"/>
      <w:pgSz w:w="11906" w:h="16838"/>
      <w:pgMar w:top="1440" w:right="1800" w:bottom="1440" w:left="1800" w:header="850" w:footer="107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FF1" w:rsidRDefault="00127FF1">
      <w:r>
        <w:separator/>
      </w:r>
    </w:p>
  </w:endnote>
  <w:endnote w:type="continuationSeparator" w:id="0">
    <w:p w:rsidR="00127FF1" w:rsidRDefault="0012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rFonts w:ascii="楷体" w:eastAsia="楷体" w:hAnsi="楷体" w:cs="Times New Roman" w:hint="eastAsia"/>
        <w:b/>
        <w:color w:val="833C0B"/>
        <w:sz w:val="21"/>
        <w:lang w:bidi="ar"/>
      </w:rPr>
      <w:t>广州期货提醒各位投资者，期市有风险，入市需谨慎！请阅读文末免责声明</w:t>
    </w:r>
    <w:r>
      <w:rPr>
        <w:noProof/>
      </w:rPr>
      <mc:AlternateContent>
        <mc:Choice Requires="wps">
          <w:drawing>
            <wp:anchor distT="0" distB="0" distL="114300" distR="114300" simplePos="0" relativeHeight="251660288" behindDoc="0" locked="0" layoutInCell="1" allowOverlap="1" wp14:anchorId="593BB9F8" wp14:editId="635A402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0B8D8"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 1</w:t>
                    </w:r>
                  </w:p>
                </w:txbxContent>
              </v:textbox>
              <w10:wrap anchorx="margin"/>
            </v:shape>
          </w:pict>
        </mc:Fallback>
      </mc:AlternateContent>
    </w:r>
    <w:r>
      <w:rPr>
        <w:rFonts w:ascii="楷体" w:eastAsia="楷体" w:hAnsi="楷体" w:cs="Times New Roman" w:hint="eastAsia"/>
        <w:b/>
        <w:color w:val="833C0B"/>
        <w:sz w:val="21"/>
        <w:lang w:bidi="a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Bdr>
        <w:top w:val="single" w:sz="4" w:space="0" w:color="000000"/>
      </w:pBdr>
      <w:jc w:val="both"/>
    </w:pPr>
    <w:r>
      <w:rPr>
        <w:noProof/>
      </w:rP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385.4pt;margin-top:-.8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" filled="f" stroked="f" strokeweight=".5pt">
              <v:textbox style="mso-fit-shape-to-text:t" inset="0,0,0,0">
                <w:txbxContent>
                  <w:p w:rsidR="003F56A5" w:rsidRDefault="00CC3FFA">
                    <w:pPr>
                      <w:pStyle w:val="a5"/>
                      <w:rPr>
                        <w:rFonts w:ascii="Times New Roman" w:eastAsia="楷体" w:hAnsi="Times New Roman" w:cs="Times New Roman"/>
                        <w:b/>
                        <w:color w:val="833C0B"/>
                        <w:sz w:val="21"/>
                        <w:lang w:bidi="ar"/>
                      </w:rPr>
                    </w:pPr>
                    <w:r>
                      <w:rPr>
                        <w:rFonts w:ascii="Times New Roman" w:eastAsia="楷体" w:hAnsi="Times New Roman" w:cs="Times New Roman" w:hint="eastAsia"/>
                        <w:b/>
                        <w:color w:val="833C0B"/>
                        <w:sz w:val="21"/>
                        <w:lang w:bidi="ar"/>
                      </w:rPr>
                      <w:t>Page</w:t>
                    </w:r>
                  </w:p>
                </w:txbxContent>
              </v:textbox>
              <w10:wrap anchorx="margin"/>
            </v:shape>
          </w:pict>
        </mc:Fallback>
      </mc:AlternateContent>
    </w:r>
    <w:r>
      <w:rPr>
        <w:noProof/>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12D79">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rPr>
                        <w:rFonts w:ascii="Times New Roman" w:eastAsia="楷体" w:hAnsi="Times New Roman" w:cs="Times New Roman" w:hint="eastAsia"/>
                        <w:b/>
                        <w:color w:val="833C0B"/>
                        <w:sz w:val="21"/>
                        <w:lang w:bidi="ar"/>
                      </w:rPr>
                      <w:fldChar w:fldCharType="begin"/>
                    </w:r>
                    <w:r>
                      <w:rPr>
                        <w:rFonts w:ascii="Times New Roman" w:eastAsia="楷体" w:hAnsi="Times New Roman" w:cs="Times New Roman" w:hint="eastAsia"/>
                        <w:b/>
                        <w:color w:val="833C0B"/>
                        <w:sz w:val="21"/>
                        <w:lang w:bidi="ar"/>
                      </w:rPr>
                      <w:instrText xml:space="preserve"> PAGE  \* MERGEFORMAT </w:instrText>
                    </w:r>
                    <w:r>
                      <w:rPr>
                        <w:rFonts w:ascii="Times New Roman" w:eastAsia="楷体" w:hAnsi="Times New Roman" w:cs="Times New Roman" w:hint="eastAsia"/>
                        <w:b/>
                        <w:color w:val="833C0B"/>
                        <w:sz w:val="21"/>
                        <w:lang w:bidi="ar"/>
                      </w:rPr>
                      <w:fldChar w:fldCharType="separate"/>
                    </w:r>
                    <w:r w:rsidR="00612D79">
                      <w:rPr>
                        <w:rFonts w:ascii="Times New Roman" w:eastAsia="楷体" w:hAnsi="Times New Roman" w:cs="Times New Roman"/>
                        <w:b/>
                        <w:noProof/>
                        <w:color w:val="833C0B"/>
                        <w:sz w:val="21"/>
                        <w:lang w:bidi="ar"/>
                      </w:rPr>
                      <w:t>9</w:t>
                    </w:r>
                    <w:r>
                      <w:rPr>
                        <w:rFonts w:ascii="Times New Roman" w:eastAsia="楷体" w:hAnsi="Times New Roman" w:cs="Times New Roman" w:hint="eastAsia"/>
                        <w:b/>
                        <w:color w:val="833C0B"/>
                        <w:sz w:val="21"/>
                        <w:lang w:bidi="ar"/>
                      </w:rPr>
                      <w:fldChar w:fldCharType="end"/>
                    </w:r>
                  </w:p>
                </w:txbxContent>
              </v:textbox>
              <w10:wrap anchorx="margin"/>
            </v:shape>
          </w:pict>
        </mc:Fallback>
      </mc:AlternateContent>
    </w:r>
    <w:r>
      <w:rPr>
        <w:rFonts w:ascii="楷体" w:eastAsia="楷体" w:hAnsi="楷体" w:cs="Times New Roman" w:hint="eastAsia"/>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F56A5" w:rsidRDefault="00CC3FFA">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F56A5" w:rsidRDefault="00CC3FFA">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FF1" w:rsidRDefault="00127FF1">
      <w:r>
        <w:separator/>
      </w:r>
    </w:p>
  </w:footnote>
  <w:footnote w:type="continuationSeparator" w:id="0">
    <w:p w:rsidR="00127FF1" w:rsidRDefault="00127F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pPr>
    <w:r>
      <w:rPr>
        <w:noProof/>
      </w:rPr>
      <w:drawing>
        <wp:anchor distT="0" distB="0" distL="114300" distR="114300" simplePos="0" relativeHeight="251659264" behindDoc="0" locked="0" layoutInCell="1" allowOverlap="1" wp14:anchorId="5F622345" wp14:editId="52EFEBF3">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rsidR="003F56A5" w:rsidRDefault="00CC3FFA">
    <w:pPr>
      <w:pStyle w:val="a6"/>
      <w:pBdr>
        <w:bottom w:val="single" w:sz="4" w:space="1" w:color="auto"/>
      </w:pBdr>
      <w:jc w:val="right"/>
      <w:rPr>
        <w:b/>
        <w:bCs/>
      </w:rPr>
    </w:pPr>
    <w:r>
      <w:ptab w:relativeTo="margin" w:alignment="center" w:leader="none"/>
    </w:r>
    <w:r>
      <w:rPr>
        <w:rFonts w:ascii="Times New Roman" w:eastAsia="楷体" w:hAnsi="Times New Roman" w:hint="eastAsia"/>
        <w:b/>
        <w:bCs/>
        <w:color w:val="833C0B"/>
        <w:sz w:val="21"/>
      </w:rPr>
      <w:t>早间直通车</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6A5" w:rsidRDefault="00CC3FFA">
    <w:pPr>
      <w:pStyle w:val="a6"/>
      <w:jc w:val="right"/>
      <w:rPr>
        <w:rFonts w:ascii="Times New Roman" w:eastAsia="楷体" w:hAnsi="Times New Roman"/>
        <w:b/>
        <w:bCs/>
        <w:color w:val="833C0B"/>
        <w:sz w:val="21"/>
      </w:rPr>
    </w:pPr>
    <w:r>
      <w:ptab w:relativeTo="margin" w:alignment="center" w:leader="none"/>
    </w:r>
    <w:r>
      <w:rPr>
        <w:noProof/>
      </w:rPr>
      <w:drawing>
        <wp:anchor distT="0" distB="0" distL="114300" distR="114300" simplePos="0" relativeHeight="251661312" behindDoc="0" locked="0" layoutInCell="1" allowOverlap="1" wp14:anchorId="185AEE15" wp14:editId="736C6907">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ascii="Times New Roman" w:eastAsia="楷体" w:hAnsi="Times New Roman" w:hint="eastAsia"/>
        <w:b/>
        <w:bCs/>
        <w:color w:val="833C0B"/>
        <w:sz w:val="21"/>
      </w:rPr>
      <w:t>早间直通车</w:t>
    </w:r>
  </w:p>
  <w:p w:rsidR="003F56A5" w:rsidRDefault="00CC3FFA">
    <w:pPr>
      <w:pStyle w:val="a6"/>
      <w:pBdr>
        <w:bottom w:val="single" w:sz="4" w:space="1" w:color="auto"/>
      </w:pBdr>
      <w:jc w:val="right"/>
    </w:pPr>
    <w:r>
      <w:rPr>
        <w:rFonts w:ascii="Times New Roman" w:eastAsia="楷体" w:hAnsi="Times New Roman"/>
        <w:b/>
        <w:bCs/>
        <w:color w:val="833C0B"/>
        <w:sz w:val="21"/>
      </w:rPr>
      <w:fldChar w:fldCharType="begin"/>
    </w:r>
    <w:r>
      <w:rPr>
        <w:rFonts w:ascii="Times New Roman" w:eastAsia="楷体" w:hAnsi="Times New Roman"/>
        <w:b/>
        <w:bCs/>
        <w:color w:val="833C0B"/>
        <w:sz w:val="21"/>
      </w:rPr>
      <w:instrText xml:space="preserve"> </w:instrText>
    </w:r>
    <w:r>
      <w:rPr>
        <w:rFonts w:ascii="Times New Roman" w:eastAsia="楷体" w:hAnsi="Times New Roman" w:hint="eastAsia"/>
        <w:b/>
        <w:bCs/>
        <w:color w:val="833C0B"/>
        <w:sz w:val="21"/>
      </w:rPr>
      <w:instrText>TIME \@ "yyyy</w:instrText>
    </w:r>
    <w:r>
      <w:rPr>
        <w:rFonts w:ascii="Times New Roman" w:eastAsia="楷体" w:hAnsi="Times New Roman" w:hint="eastAsia"/>
        <w:b/>
        <w:bCs/>
        <w:color w:val="833C0B"/>
        <w:sz w:val="21"/>
      </w:rPr>
      <w:instrText>年</w:instrText>
    </w:r>
    <w:r>
      <w:rPr>
        <w:rFonts w:ascii="Times New Roman" w:eastAsia="楷体" w:hAnsi="Times New Roman" w:hint="eastAsia"/>
        <w:b/>
        <w:bCs/>
        <w:color w:val="833C0B"/>
        <w:sz w:val="21"/>
      </w:rPr>
      <w:instrText>M</w:instrText>
    </w:r>
    <w:r>
      <w:rPr>
        <w:rFonts w:ascii="Times New Roman" w:eastAsia="楷体" w:hAnsi="Times New Roman" w:hint="eastAsia"/>
        <w:b/>
        <w:bCs/>
        <w:color w:val="833C0B"/>
        <w:sz w:val="21"/>
      </w:rPr>
      <w:instrText>月</w:instrText>
    </w:r>
    <w:r>
      <w:rPr>
        <w:rFonts w:ascii="Times New Roman" w:eastAsia="楷体" w:hAnsi="Times New Roman" w:hint="eastAsia"/>
        <w:b/>
        <w:bCs/>
        <w:color w:val="833C0B"/>
        <w:sz w:val="21"/>
      </w:rPr>
      <w:instrText>d</w:instrText>
    </w:r>
    <w:r>
      <w:rPr>
        <w:rFonts w:ascii="Times New Roman" w:eastAsia="楷体" w:hAnsi="Times New Roman" w:hint="eastAsia"/>
        <w:b/>
        <w:bCs/>
        <w:color w:val="833C0B"/>
        <w:sz w:val="21"/>
      </w:rPr>
      <w:instrText>日星期</w:instrText>
    </w:r>
    <w:r>
      <w:rPr>
        <w:rFonts w:ascii="Times New Roman" w:eastAsia="楷体" w:hAnsi="Times New Roman" w:hint="eastAsia"/>
        <w:b/>
        <w:bCs/>
        <w:color w:val="833C0B"/>
        <w:sz w:val="21"/>
      </w:rPr>
      <w:instrText>W"</w:instrText>
    </w:r>
    <w:r>
      <w:rPr>
        <w:rFonts w:ascii="Times New Roman" w:eastAsia="楷体" w:hAnsi="Times New Roman"/>
        <w:b/>
        <w:bCs/>
        <w:color w:val="833C0B"/>
        <w:sz w:val="21"/>
      </w:rPr>
      <w:instrText xml:space="preserve"> </w:instrText>
    </w:r>
    <w:r>
      <w:rPr>
        <w:rFonts w:ascii="Times New Roman" w:eastAsia="楷体" w:hAnsi="Times New Roman"/>
        <w:b/>
        <w:bCs/>
        <w:color w:val="833C0B"/>
        <w:sz w:val="21"/>
      </w:rPr>
      <w:fldChar w:fldCharType="separate"/>
    </w:r>
    <w:r w:rsidR="006F6553">
      <w:rPr>
        <w:rFonts w:ascii="Times New Roman" w:eastAsia="楷体" w:hAnsi="Times New Roman" w:hint="eastAsia"/>
        <w:b/>
        <w:bCs/>
        <w:noProof/>
        <w:color w:val="833C0B"/>
        <w:sz w:val="21"/>
      </w:rPr>
      <w:t>2023</w:t>
    </w:r>
    <w:r w:rsidR="006F6553">
      <w:rPr>
        <w:rFonts w:ascii="Times New Roman" w:eastAsia="楷体" w:hAnsi="Times New Roman" w:hint="eastAsia"/>
        <w:b/>
        <w:bCs/>
        <w:noProof/>
        <w:color w:val="833C0B"/>
        <w:sz w:val="21"/>
      </w:rPr>
      <w:t>年</w:t>
    </w:r>
    <w:r w:rsidR="006F6553">
      <w:rPr>
        <w:rFonts w:ascii="Times New Roman" w:eastAsia="楷体" w:hAnsi="Times New Roman" w:hint="eastAsia"/>
        <w:b/>
        <w:bCs/>
        <w:noProof/>
        <w:color w:val="833C0B"/>
        <w:sz w:val="21"/>
      </w:rPr>
      <w:t>6</w:t>
    </w:r>
    <w:r w:rsidR="006F6553">
      <w:rPr>
        <w:rFonts w:ascii="Times New Roman" w:eastAsia="楷体" w:hAnsi="Times New Roman" w:hint="eastAsia"/>
        <w:b/>
        <w:bCs/>
        <w:noProof/>
        <w:color w:val="833C0B"/>
        <w:sz w:val="21"/>
      </w:rPr>
      <w:t>月</w:t>
    </w:r>
    <w:r w:rsidR="006F6553">
      <w:rPr>
        <w:rFonts w:ascii="Times New Roman" w:eastAsia="楷体" w:hAnsi="Times New Roman" w:hint="eastAsia"/>
        <w:b/>
        <w:bCs/>
        <w:noProof/>
        <w:color w:val="833C0B"/>
        <w:sz w:val="21"/>
      </w:rPr>
      <w:t>15</w:t>
    </w:r>
    <w:r w:rsidR="006F6553">
      <w:rPr>
        <w:rFonts w:ascii="Times New Roman" w:eastAsia="楷体" w:hAnsi="Times New Roman" w:hint="eastAsia"/>
        <w:b/>
        <w:bCs/>
        <w:noProof/>
        <w:color w:val="833C0B"/>
        <w:sz w:val="21"/>
      </w:rPr>
      <w:t>日星期四</w:t>
    </w:r>
    <w:r>
      <w:rPr>
        <w:rFonts w:ascii="Times New Roman" w:eastAsia="楷体" w:hAnsi="Times New Roman"/>
        <w:b/>
        <w:bCs/>
        <w:color w:val="833C0B"/>
        <w:sz w:val="21"/>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978E77E"/>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E55CB138"/>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301E4B02"/>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2366807E"/>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091E1B1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02E7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C4EAC18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8AC0C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C234F17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7D81124"/>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534E"/>
    <w:rsid w:val="000058D8"/>
    <w:rsid w:val="00006269"/>
    <w:rsid w:val="00012A9A"/>
    <w:rsid w:val="00020E82"/>
    <w:rsid w:val="00035EB2"/>
    <w:rsid w:val="000417D7"/>
    <w:rsid w:val="00050B6C"/>
    <w:rsid w:val="0005286B"/>
    <w:rsid w:val="0005726F"/>
    <w:rsid w:val="00072EAA"/>
    <w:rsid w:val="00076420"/>
    <w:rsid w:val="000820C6"/>
    <w:rsid w:val="00096258"/>
    <w:rsid w:val="000A413E"/>
    <w:rsid w:val="000B0648"/>
    <w:rsid w:val="000B4E70"/>
    <w:rsid w:val="000C102A"/>
    <w:rsid w:val="000D36DC"/>
    <w:rsid w:val="000D42E2"/>
    <w:rsid w:val="000D7CF0"/>
    <w:rsid w:val="000E03FC"/>
    <w:rsid w:val="000E0C15"/>
    <w:rsid w:val="000E4EEB"/>
    <w:rsid w:val="00115EEA"/>
    <w:rsid w:val="00117470"/>
    <w:rsid w:val="00120B1F"/>
    <w:rsid w:val="00127803"/>
    <w:rsid w:val="00127FF1"/>
    <w:rsid w:val="00147668"/>
    <w:rsid w:val="00147B03"/>
    <w:rsid w:val="0015047B"/>
    <w:rsid w:val="001801C4"/>
    <w:rsid w:val="001942CB"/>
    <w:rsid w:val="001945E9"/>
    <w:rsid w:val="001A3E49"/>
    <w:rsid w:val="001B179D"/>
    <w:rsid w:val="001B1904"/>
    <w:rsid w:val="001B25C9"/>
    <w:rsid w:val="001B2D4C"/>
    <w:rsid w:val="001B6043"/>
    <w:rsid w:val="001B6394"/>
    <w:rsid w:val="001C2E87"/>
    <w:rsid w:val="001C77D0"/>
    <w:rsid w:val="001D1F0A"/>
    <w:rsid w:val="001D40EA"/>
    <w:rsid w:val="001D4474"/>
    <w:rsid w:val="001F5438"/>
    <w:rsid w:val="002074A1"/>
    <w:rsid w:val="00216C1E"/>
    <w:rsid w:val="00226406"/>
    <w:rsid w:val="0023093E"/>
    <w:rsid w:val="00230DB7"/>
    <w:rsid w:val="00235529"/>
    <w:rsid w:val="00244CA3"/>
    <w:rsid w:val="0025590B"/>
    <w:rsid w:val="00267FFD"/>
    <w:rsid w:val="00282262"/>
    <w:rsid w:val="00285297"/>
    <w:rsid w:val="00291461"/>
    <w:rsid w:val="00292AE8"/>
    <w:rsid w:val="002951EB"/>
    <w:rsid w:val="00297A1B"/>
    <w:rsid w:val="002A0670"/>
    <w:rsid w:val="002A6C89"/>
    <w:rsid w:val="002B2257"/>
    <w:rsid w:val="002B32AE"/>
    <w:rsid w:val="002C73FE"/>
    <w:rsid w:val="002F075C"/>
    <w:rsid w:val="002F545E"/>
    <w:rsid w:val="002F6AD1"/>
    <w:rsid w:val="002F7810"/>
    <w:rsid w:val="0031065A"/>
    <w:rsid w:val="00321629"/>
    <w:rsid w:val="003230A0"/>
    <w:rsid w:val="00323550"/>
    <w:rsid w:val="0033167B"/>
    <w:rsid w:val="00332F22"/>
    <w:rsid w:val="0033644D"/>
    <w:rsid w:val="003416C2"/>
    <w:rsid w:val="00341727"/>
    <w:rsid w:val="003471F4"/>
    <w:rsid w:val="00357545"/>
    <w:rsid w:val="00370D25"/>
    <w:rsid w:val="00371ED6"/>
    <w:rsid w:val="00374836"/>
    <w:rsid w:val="00375F0B"/>
    <w:rsid w:val="00376AF1"/>
    <w:rsid w:val="003953FD"/>
    <w:rsid w:val="003A1F3C"/>
    <w:rsid w:val="003A3DB4"/>
    <w:rsid w:val="003C54F5"/>
    <w:rsid w:val="003C5F91"/>
    <w:rsid w:val="003D3A9E"/>
    <w:rsid w:val="003F2424"/>
    <w:rsid w:val="003F56A5"/>
    <w:rsid w:val="004201F5"/>
    <w:rsid w:val="004230AC"/>
    <w:rsid w:val="00426AB5"/>
    <w:rsid w:val="00433C64"/>
    <w:rsid w:val="00440FBE"/>
    <w:rsid w:val="004427D1"/>
    <w:rsid w:val="00452F14"/>
    <w:rsid w:val="004567BD"/>
    <w:rsid w:val="00461147"/>
    <w:rsid w:val="00484C53"/>
    <w:rsid w:val="00485A3F"/>
    <w:rsid w:val="00487F77"/>
    <w:rsid w:val="004977A9"/>
    <w:rsid w:val="004A382D"/>
    <w:rsid w:val="004A3F85"/>
    <w:rsid w:val="004A65B5"/>
    <w:rsid w:val="004B4D4D"/>
    <w:rsid w:val="004C11A7"/>
    <w:rsid w:val="004C5F3F"/>
    <w:rsid w:val="004E58A5"/>
    <w:rsid w:val="004E6093"/>
    <w:rsid w:val="005145ED"/>
    <w:rsid w:val="00533D1C"/>
    <w:rsid w:val="00535DC9"/>
    <w:rsid w:val="00540298"/>
    <w:rsid w:val="00541F3F"/>
    <w:rsid w:val="00547DD7"/>
    <w:rsid w:val="00551A8D"/>
    <w:rsid w:val="005523A5"/>
    <w:rsid w:val="00553DEC"/>
    <w:rsid w:val="00576234"/>
    <w:rsid w:val="005818A8"/>
    <w:rsid w:val="0058734B"/>
    <w:rsid w:val="00591B89"/>
    <w:rsid w:val="00593B03"/>
    <w:rsid w:val="00593F40"/>
    <w:rsid w:val="005A5EEB"/>
    <w:rsid w:val="005B5BDF"/>
    <w:rsid w:val="005B790A"/>
    <w:rsid w:val="005C05F7"/>
    <w:rsid w:val="005C05FA"/>
    <w:rsid w:val="005C49BA"/>
    <w:rsid w:val="005E1CE0"/>
    <w:rsid w:val="005E6164"/>
    <w:rsid w:val="005F2CE6"/>
    <w:rsid w:val="005F45A8"/>
    <w:rsid w:val="00606E2B"/>
    <w:rsid w:val="00610C41"/>
    <w:rsid w:val="00612D79"/>
    <w:rsid w:val="0061390B"/>
    <w:rsid w:val="00615F78"/>
    <w:rsid w:val="00637F19"/>
    <w:rsid w:val="00641752"/>
    <w:rsid w:val="00650F05"/>
    <w:rsid w:val="0065454E"/>
    <w:rsid w:val="00657B01"/>
    <w:rsid w:val="00661BB3"/>
    <w:rsid w:val="00666DE4"/>
    <w:rsid w:val="006911F3"/>
    <w:rsid w:val="006A135D"/>
    <w:rsid w:val="006A5214"/>
    <w:rsid w:val="006A7A79"/>
    <w:rsid w:val="006B4A5D"/>
    <w:rsid w:val="006D21ED"/>
    <w:rsid w:val="006F6553"/>
    <w:rsid w:val="00710028"/>
    <w:rsid w:val="007103A5"/>
    <w:rsid w:val="0072164F"/>
    <w:rsid w:val="007253E7"/>
    <w:rsid w:val="0072736C"/>
    <w:rsid w:val="007315D8"/>
    <w:rsid w:val="00743CFD"/>
    <w:rsid w:val="007664C1"/>
    <w:rsid w:val="00785519"/>
    <w:rsid w:val="007866A5"/>
    <w:rsid w:val="0079299D"/>
    <w:rsid w:val="00792D31"/>
    <w:rsid w:val="007952E9"/>
    <w:rsid w:val="007A410D"/>
    <w:rsid w:val="007A66FE"/>
    <w:rsid w:val="007B3290"/>
    <w:rsid w:val="007B4FCE"/>
    <w:rsid w:val="007C2FD2"/>
    <w:rsid w:val="007D29EC"/>
    <w:rsid w:val="007D4BBD"/>
    <w:rsid w:val="007F09BE"/>
    <w:rsid w:val="007F1327"/>
    <w:rsid w:val="007F140C"/>
    <w:rsid w:val="007F186E"/>
    <w:rsid w:val="0080612D"/>
    <w:rsid w:val="00806354"/>
    <w:rsid w:val="0080692E"/>
    <w:rsid w:val="00806F4A"/>
    <w:rsid w:val="00815011"/>
    <w:rsid w:val="00815817"/>
    <w:rsid w:val="00820D28"/>
    <w:rsid w:val="00822591"/>
    <w:rsid w:val="0083605E"/>
    <w:rsid w:val="00840F4E"/>
    <w:rsid w:val="00856132"/>
    <w:rsid w:val="008649BB"/>
    <w:rsid w:val="00867CA5"/>
    <w:rsid w:val="00873ECE"/>
    <w:rsid w:val="008740D4"/>
    <w:rsid w:val="0087785E"/>
    <w:rsid w:val="00892203"/>
    <w:rsid w:val="0089393F"/>
    <w:rsid w:val="008A0893"/>
    <w:rsid w:val="008A11C6"/>
    <w:rsid w:val="008A1D22"/>
    <w:rsid w:val="008B13D2"/>
    <w:rsid w:val="008B3268"/>
    <w:rsid w:val="008B361D"/>
    <w:rsid w:val="008C1554"/>
    <w:rsid w:val="008C3F42"/>
    <w:rsid w:val="008E2B15"/>
    <w:rsid w:val="008E33F3"/>
    <w:rsid w:val="008E3B84"/>
    <w:rsid w:val="008F229B"/>
    <w:rsid w:val="008F2A6E"/>
    <w:rsid w:val="00906E0C"/>
    <w:rsid w:val="00907943"/>
    <w:rsid w:val="00916E97"/>
    <w:rsid w:val="00920372"/>
    <w:rsid w:val="009260D3"/>
    <w:rsid w:val="009316EC"/>
    <w:rsid w:val="009317CD"/>
    <w:rsid w:val="00934728"/>
    <w:rsid w:val="009644D9"/>
    <w:rsid w:val="0097131C"/>
    <w:rsid w:val="009870E4"/>
    <w:rsid w:val="009A12FA"/>
    <w:rsid w:val="009A564D"/>
    <w:rsid w:val="009B3801"/>
    <w:rsid w:val="009B534D"/>
    <w:rsid w:val="009B591A"/>
    <w:rsid w:val="009C3E56"/>
    <w:rsid w:val="009C483C"/>
    <w:rsid w:val="009D2477"/>
    <w:rsid w:val="009D4A74"/>
    <w:rsid w:val="009D5253"/>
    <w:rsid w:val="009D5D79"/>
    <w:rsid w:val="009D64FE"/>
    <w:rsid w:val="009E0994"/>
    <w:rsid w:val="009E4452"/>
    <w:rsid w:val="009E7578"/>
    <w:rsid w:val="009F5C7B"/>
    <w:rsid w:val="00A031CE"/>
    <w:rsid w:val="00A04421"/>
    <w:rsid w:val="00A11A0D"/>
    <w:rsid w:val="00A22080"/>
    <w:rsid w:val="00A42079"/>
    <w:rsid w:val="00A63022"/>
    <w:rsid w:val="00A71A7E"/>
    <w:rsid w:val="00A776D7"/>
    <w:rsid w:val="00A91E48"/>
    <w:rsid w:val="00A96E37"/>
    <w:rsid w:val="00A97444"/>
    <w:rsid w:val="00AA186F"/>
    <w:rsid w:val="00AA29E5"/>
    <w:rsid w:val="00AB0678"/>
    <w:rsid w:val="00AC00CF"/>
    <w:rsid w:val="00AC52CB"/>
    <w:rsid w:val="00AC7794"/>
    <w:rsid w:val="00AC7ECD"/>
    <w:rsid w:val="00AD009F"/>
    <w:rsid w:val="00AF56FD"/>
    <w:rsid w:val="00AF5EA0"/>
    <w:rsid w:val="00B066DA"/>
    <w:rsid w:val="00B072C0"/>
    <w:rsid w:val="00B10135"/>
    <w:rsid w:val="00B118A2"/>
    <w:rsid w:val="00B133D0"/>
    <w:rsid w:val="00B15418"/>
    <w:rsid w:val="00B17165"/>
    <w:rsid w:val="00B1737C"/>
    <w:rsid w:val="00B1758C"/>
    <w:rsid w:val="00B17639"/>
    <w:rsid w:val="00B443CE"/>
    <w:rsid w:val="00B4555A"/>
    <w:rsid w:val="00B53C56"/>
    <w:rsid w:val="00B60464"/>
    <w:rsid w:val="00B606EF"/>
    <w:rsid w:val="00B618F8"/>
    <w:rsid w:val="00B64133"/>
    <w:rsid w:val="00B72E2D"/>
    <w:rsid w:val="00B745CB"/>
    <w:rsid w:val="00B805BD"/>
    <w:rsid w:val="00B91D3D"/>
    <w:rsid w:val="00B94E7D"/>
    <w:rsid w:val="00B97F08"/>
    <w:rsid w:val="00BA4663"/>
    <w:rsid w:val="00BA696B"/>
    <w:rsid w:val="00BC5F45"/>
    <w:rsid w:val="00BC71D6"/>
    <w:rsid w:val="00BD4C85"/>
    <w:rsid w:val="00BE456E"/>
    <w:rsid w:val="00BF3137"/>
    <w:rsid w:val="00C02ECE"/>
    <w:rsid w:val="00C06AC7"/>
    <w:rsid w:val="00C13E0F"/>
    <w:rsid w:val="00C2031B"/>
    <w:rsid w:val="00C2080D"/>
    <w:rsid w:val="00C228D6"/>
    <w:rsid w:val="00C240C3"/>
    <w:rsid w:val="00C25562"/>
    <w:rsid w:val="00C265C5"/>
    <w:rsid w:val="00C43DDB"/>
    <w:rsid w:val="00C575E9"/>
    <w:rsid w:val="00C62202"/>
    <w:rsid w:val="00C6240E"/>
    <w:rsid w:val="00C66C6C"/>
    <w:rsid w:val="00C70FDD"/>
    <w:rsid w:val="00C82E4D"/>
    <w:rsid w:val="00C91234"/>
    <w:rsid w:val="00C93E36"/>
    <w:rsid w:val="00CA1C01"/>
    <w:rsid w:val="00CB0962"/>
    <w:rsid w:val="00CB1AC3"/>
    <w:rsid w:val="00CB1F18"/>
    <w:rsid w:val="00CB2FD2"/>
    <w:rsid w:val="00CB3015"/>
    <w:rsid w:val="00CC03C4"/>
    <w:rsid w:val="00CC3E40"/>
    <w:rsid w:val="00CC3FFA"/>
    <w:rsid w:val="00CC6C03"/>
    <w:rsid w:val="00CD5884"/>
    <w:rsid w:val="00CD5DE8"/>
    <w:rsid w:val="00CD70A0"/>
    <w:rsid w:val="00CE7903"/>
    <w:rsid w:val="00CF6C71"/>
    <w:rsid w:val="00CF7A9A"/>
    <w:rsid w:val="00D00D60"/>
    <w:rsid w:val="00D017E5"/>
    <w:rsid w:val="00D01A19"/>
    <w:rsid w:val="00D04FF1"/>
    <w:rsid w:val="00D1582A"/>
    <w:rsid w:val="00D17FB1"/>
    <w:rsid w:val="00D309C4"/>
    <w:rsid w:val="00D45E53"/>
    <w:rsid w:val="00D47039"/>
    <w:rsid w:val="00D55EAF"/>
    <w:rsid w:val="00D63655"/>
    <w:rsid w:val="00D75630"/>
    <w:rsid w:val="00D842AA"/>
    <w:rsid w:val="00D86D76"/>
    <w:rsid w:val="00D87130"/>
    <w:rsid w:val="00D93E0B"/>
    <w:rsid w:val="00DA7546"/>
    <w:rsid w:val="00DE02C4"/>
    <w:rsid w:val="00DF1796"/>
    <w:rsid w:val="00DF270D"/>
    <w:rsid w:val="00DF3B28"/>
    <w:rsid w:val="00DF56EC"/>
    <w:rsid w:val="00E020F2"/>
    <w:rsid w:val="00E12059"/>
    <w:rsid w:val="00E25D21"/>
    <w:rsid w:val="00E31716"/>
    <w:rsid w:val="00E32B95"/>
    <w:rsid w:val="00E34551"/>
    <w:rsid w:val="00E34EAB"/>
    <w:rsid w:val="00E373B2"/>
    <w:rsid w:val="00E40036"/>
    <w:rsid w:val="00E45000"/>
    <w:rsid w:val="00E451FD"/>
    <w:rsid w:val="00E556EC"/>
    <w:rsid w:val="00E55B22"/>
    <w:rsid w:val="00E60D44"/>
    <w:rsid w:val="00E64502"/>
    <w:rsid w:val="00E771D2"/>
    <w:rsid w:val="00E80EDB"/>
    <w:rsid w:val="00E84794"/>
    <w:rsid w:val="00E847DF"/>
    <w:rsid w:val="00E90013"/>
    <w:rsid w:val="00E928BB"/>
    <w:rsid w:val="00EA0CCD"/>
    <w:rsid w:val="00EA28CA"/>
    <w:rsid w:val="00EB4C04"/>
    <w:rsid w:val="00EB56F2"/>
    <w:rsid w:val="00EC2B12"/>
    <w:rsid w:val="00EC4D59"/>
    <w:rsid w:val="00ED06A6"/>
    <w:rsid w:val="00ED451D"/>
    <w:rsid w:val="00ED7C55"/>
    <w:rsid w:val="00F07C02"/>
    <w:rsid w:val="00F157C6"/>
    <w:rsid w:val="00F234BF"/>
    <w:rsid w:val="00F268B3"/>
    <w:rsid w:val="00F31CCA"/>
    <w:rsid w:val="00F43E0E"/>
    <w:rsid w:val="00F473F0"/>
    <w:rsid w:val="00F622ED"/>
    <w:rsid w:val="00F65EEA"/>
    <w:rsid w:val="00F776D3"/>
    <w:rsid w:val="00F95209"/>
    <w:rsid w:val="00FB3956"/>
    <w:rsid w:val="00FC0F8B"/>
    <w:rsid w:val="00FD6B0E"/>
    <w:rsid w:val="00FE1B77"/>
    <w:rsid w:val="02E32A5D"/>
    <w:rsid w:val="057D13AE"/>
    <w:rsid w:val="06B2613D"/>
    <w:rsid w:val="06B753E3"/>
    <w:rsid w:val="09B849A4"/>
    <w:rsid w:val="09F160E3"/>
    <w:rsid w:val="0AC64130"/>
    <w:rsid w:val="0B42525D"/>
    <w:rsid w:val="0C1F7DEE"/>
    <w:rsid w:val="0CDE660D"/>
    <w:rsid w:val="0D032A7C"/>
    <w:rsid w:val="0F662138"/>
    <w:rsid w:val="100732C8"/>
    <w:rsid w:val="10DA6205"/>
    <w:rsid w:val="113D3FD2"/>
    <w:rsid w:val="121F7D21"/>
    <w:rsid w:val="129B2E20"/>
    <w:rsid w:val="12AA5DF8"/>
    <w:rsid w:val="134E6356"/>
    <w:rsid w:val="15364A7C"/>
    <w:rsid w:val="15D52593"/>
    <w:rsid w:val="197E6634"/>
    <w:rsid w:val="1B8A2034"/>
    <w:rsid w:val="1BC72FF7"/>
    <w:rsid w:val="1D03226A"/>
    <w:rsid w:val="1D5030CD"/>
    <w:rsid w:val="1D876087"/>
    <w:rsid w:val="1DFF64E4"/>
    <w:rsid w:val="2056595D"/>
    <w:rsid w:val="20AE4DE8"/>
    <w:rsid w:val="216834DE"/>
    <w:rsid w:val="21996AC1"/>
    <w:rsid w:val="219F3EE2"/>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40E7198"/>
    <w:rsid w:val="34A75784"/>
    <w:rsid w:val="373F75CC"/>
    <w:rsid w:val="3A2F6D68"/>
    <w:rsid w:val="3AC9385E"/>
    <w:rsid w:val="3B3306F0"/>
    <w:rsid w:val="3B563B4D"/>
    <w:rsid w:val="3C2825B0"/>
    <w:rsid w:val="3C2B26B7"/>
    <w:rsid w:val="3D8B796D"/>
    <w:rsid w:val="3DA80A30"/>
    <w:rsid w:val="3EC32453"/>
    <w:rsid w:val="3ECC520D"/>
    <w:rsid w:val="3EE0186C"/>
    <w:rsid w:val="3EFE09FD"/>
    <w:rsid w:val="3F345DBE"/>
    <w:rsid w:val="40F15753"/>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46B5509"/>
    <w:rsid w:val="548642E9"/>
    <w:rsid w:val="54C12E33"/>
    <w:rsid w:val="55633225"/>
    <w:rsid w:val="56DD4D3A"/>
    <w:rsid w:val="57555A7B"/>
    <w:rsid w:val="57CB522F"/>
    <w:rsid w:val="58246D5D"/>
    <w:rsid w:val="59C52328"/>
    <w:rsid w:val="5B906095"/>
    <w:rsid w:val="5BF60A75"/>
    <w:rsid w:val="5C9F2D01"/>
    <w:rsid w:val="5D5617A6"/>
    <w:rsid w:val="5EA7685B"/>
    <w:rsid w:val="61DF02D0"/>
    <w:rsid w:val="62710E5F"/>
    <w:rsid w:val="64C32497"/>
    <w:rsid w:val="66D04BBC"/>
    <w:rsid w:val="685D4EEE"/>
    <w:rsid w:val="68D53E8D"/>
    <w:rsid w:val="6B292599"/>
    <w:rsid w:val="6ECB7DD2"/>
    <w:rsid w:val="70675779"/>
    <w:rsid w:val="713E0334"/>
    <w:rsid w:val="716F5E64"/>
    <w:rsid w:val="729B5F03"/>
    <w:rsid w:val="72F62A89"/>
    <w:rsid w:val="737357AF"/>
    <w:rsid w:val="74163BE4"/>
    <w:rsid w:val="75292EAC"/>
    <w:rsid w:val="7577501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3903822-0D00-4240-B942-3C5B08AF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hAnsiTheme="minorHAnsi" w:cstheme="minorBidi"/>
      <w:kern w:val="2"/>
      <w:sz w:val="21"/>
      <w:szCs w:val="21"/>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semiHidden/>
    <w:unhideWhenUsed/>
    <w:qFormat/>
    <w:rsid w:val="00B641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semiHidden/>
    <w:unhideWhenUsed/>
    <w:qFormat/>
    <w:rsid w:val="00B64133"/>
    <w:pPr>
      <w:keepNext/>
      <w:keepLines/>
      <w:spacing w:before="260" w:after="260" w:line="416" w:lineRule="auto"/>
      <w:outlineLvl w:val="2"/>
    </w:pPr>
    <w:rPr>
      <w:b/>
      <w:bCs/>
      <w:sz w:val="32"/>
      <w:szCs w:val="32"/>
    </w:rPr>
  </w:style>
  <w:style w:type="paragraph" w:styleId="41">
    <w:name w:val="heading 4"/>
    <w:basedOn w:val="a1"/>
    <w:next w:val="a1"/>
    <w:link w:val="42"/>
    <w:semiHidden/>
    <w:unhideWhenUsed/>
    <w:qFormat/>
    <w:rsid w:val="00B6413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2"/>
    <w:semiHidden/>
    <w:unhideWhenUsed/>
    <w:qFormat/>
    <w:rsid w:val="00B64133"/>
    <w:pPr>
      <w:keepNext/>
      <w:keepLines/>
      <w:spacing w:before="280" w:after="290" w:line="376" w:lineRule="auto"/>
      <w:outlineLvl w:val="4"/>
    </w:pPr>
    <w:rPr>
      <w:b/>
      <w:bCs/>
      <w:sz w:val="28"/>
      <w:szCs w:val="28"/>
    </w:rPr>
  </w:style>
  <w:style w:type="paragraph" w:styleId="6">
    <w:name w:val="heading 6"/>
    <w:basedOn w:val="a1"/>
    <w:next w:val="a1"/>
    <w:link w:val="60"/>
    <w:semiHidden/>
    <w:unhideWhenUsed/>
    <w:qFormat/>
    <w:rsid w:val="00B6413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0"/>
    <w:semiHidden/>
    <w:unhideWhenUsed/>
    <w:qFormat/>
    <w:rsid w:val="00B64133"/>
    <w:pPr>
      <w:keepNext/>
      <w:keepLines/>
      <w:spacing w:before="240" w:after="64" w:line="320" w:lineRule="auto"/>
      <w:outlineLvl w:val="6"/>
    </w:pPr>
    <w:rPr>
      <w:b/>
      <w:bCs/>
      <w:sz w:val="24"/>
      <w:szCs w:val="24"/>
    </w:rPr>
  </w:style>
  <w:style w:type="paragraph" w:styleId="8">
    <w:name w:val="heading 8"/>
    <w:basedOn w:val="a1"/>
    <w:next w:val="a1"/>
    <w:link w:val="80"/>
    <w:semiHidden/>
    <w:unhideWhenUsed/>
    <w:qFormat/>
    <w:rsid w:val="00B6413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0"/>
    <w:semiHidden/>
    <w:unhideWhenUsed/>
    <w:qFormat/>
    <w:rsid w:val="00B64133"/>
    <w:pPr>
      <w:keepNext/>
      <w:keepLines/>
      <w:spacing w:before="240" w:after="64" w:line="320" w:lineRule="auto"/>
      <w:outlineLvl w:val="8"/>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qFormat/>
    <w:pPr>
      <w:tabs>
        <w:tab w:val="center" w:pos="4153"/>
        <w:tab w:val="right" w:pos="8306"/>
      </w:tabs>
      <w:snapToGrid w:val="0"/>
      <w:jc w:val="left"/>
    </w:pPr>
    <w:rPr>
      <w:sz w:val="18"/>
    </w:rPr>
  </w:style>
  <w:style w:type="paragraph" w:styleId="a6">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1"/>
    <w:next w:val="a1"/>
    <w:uiPriority w:val="39"/>
    <w:qFormat/>
  </w:style>
  <w:style w:type="paragraph" w:styleId="23">
    <w:name w:val="toc 2"/>
    <w:basedOn w:val="a1"/>
    <w:next w:val="a1"/>
    <w:uiPriority w:val="39"/>
    <w:qFormat/>
    <w:pPr>
      <w:ind w:leftChars="200" w:left="420"/>
    </w:pPr>
  </w:style>
  <w:style w:type="table" w:styleId="a7">
    <w:name w:val="Table Grid"/>
    <w:basedOn w:val="a3"/>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2"/>
    <w:qFormat/>
    <w:rPr>
      <w:color w:val="954F72" w:themeColor="followedHyperlink"/>
      <w:u w:val="single"/>
    </w:rPr>
  </w:style>
  <w:style w:type="character" w:styleId="a9">
    <w:name w:val="Hyperlink"/>
    <w:basedOn w:val="a2"/>
    <w:uiPriority w:val="99"/>
    <w:qFormat/>
    <w:rPr>
      <w:color w:val="0563C1" w:themeColor="hyperlink"/>
      <w:u w:val="single"/>
    </w:rPr>
  </w:style>
  <w:style w:type="paragraph" w:customStyle="1" w:styleId="paragraph">
    <w:name w:val="paragraph"/>
    <w:basedOn w:val="a1"/>
    <w:qFormat/>
    <w:pPr>
      <w:widowControl/>
      <w:spacing w:before="100" w:beforeAutospacing="1" w:after="100" w:afterAutospacing="1"/>
      <w:jc w:val="left"/>
    </w:pPr>
    <w:rPr>
      <w:rFonts w:ascii="宋体" w:hAnsi="宋体" w:cs="宋体"/>
      <w:kern w:val="0"/>
      <w:sz w:val="24"/>
      <w:szCs w:val="24"/>
    </w:rPr>
  </w:style>
  <w:style w:type="paragraph" w:styleId="aa">
    <w:name w:val="List Paragraph"/>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10">
    <w:name w:val="标题 1 字符"/>
    <w:basedOn w:val="a2"/>
    <w:link w:val="1"/>
    <w:qFormat/>
    <w:rPr>
      <w:rFonts w:asciiTheme="minorHAnsi" w:hAnsiTheme="minorHAnsi" w:cstheme="minorBidi"/>
      <w:b/>
      <w:bCs/>
      <w:kern w:val="44"/>
      <w:sz w:val="44"/>
      <w:szCs w:val="44"/>
    </w:rPr>
  </w:style>
  <w:style w:type="paragraph" w:customStyle="1" w:styleId="TOC1">
    <w:name w:val="TOC 标题1"/>
    <w:basedOn w:val="1"/>
    <w:next w:val="a1"/>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HTML">
    <w:name w:val="HTML Address"/>
    <w:basedOn w:val="a1"/>
    <w:link w:val="HTML0"/>
    <w:rsid w:val="00B64133"/>
    <w:rPr>
      <w:i/>
      <w:iCs/>
    </w:rPr>
  </w:style>
  <w:style w:type="character" w:customStyle="1" w:styleId="HTML0">
    <w:name w:val="HTML 地址 字符"/>
    <w:basedOn w:val="a2"/>
    <w:link w:val="HTML"/>
    <w:rsid w:val="00B64133"/>
    <w:rPr>
      <w:rFonts w:asciiTheme="minorHAnsi" w:hAnsiTheme="minorHAnsi" w:cstheme="minorBidi"/>
      <w:i/>
      <w:iCs/>
      <w:kern w:val="2"/>
      <w:sz w:val="21"/>
      <w:szCs w:val="21"/>
    </w:rPr>
  </w:style>
  <w:style w:type="paragraph" w:styleId="HTML1">
    <w:name w:val="HTML Preformatted"/>
    <w:basedOn w:val="a1"/>
    <w:link w:val="HTML2"/>
    <w:rsid w:val="00B64133"/>
    <w:rPr>
      <w:rFonts w:ascii="Courier New" w:hAnsi="Courier New" w:cs="Courier New"/>
      <w:sz w:val="20"/>
      <w:szCs w:val="20"/>
    </w:rPr>
  </w:style>
  <w:style w:type="character" w:customStyle="1" w:styleId="HTML2">
    <w:name w:val="HTML 预设格式 字符"/>
    <w:basedOn w:val="a2"/>
    <w:link w:val="HTML1"/>
    <w:rsid w:val="00B64133"/>
    <w:rPr>
      <w:rFonts w:ascii="Courier New" w:hAnsi="Courier New" w:cs="Courier New"/>
      <w:kern w:val="2"/>
    </w:rPr>
  </w:style>
  <w:style w:type="paragraph" w:styleId="TOC">
    <w:name w:val="TOC Heading"/>
    <w:basedOn w:val="1"/>
    <w:next w:val="a1"/>
    <w:uiPriority w:val="39"/>
    <w:semiHidden/>
    <w:unhideWhenUsed/>
    <w:qFormat/>
    <w:rsid w:val="00B64133"/>
    <w:pPr>
      <w:outlineLvl w:val="9"/>
    </w:pPr>
  </w:style>
  <w:style w:type="paragraph" w:styleId="ab">
    <w:name w:val="Title"/>
    <w:basedOn w:val="a1"/>
    <w:next w:val="a1"/>
    <w:link w:val="ac"/>
    <w:qFormat/>
    <w:rsid w:val="00B64133"/>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2"/>
    <w:link w:val="ab"/>
    <w:rsid w:val="00B64133"/>
    <w:rPr>
      <w:rFonts w:asciiTheme="majorHAnsi" w:eastAsiaTheme="majorEastAsia" w:hAnsiTheme="majorHAnsi" w:cstheme="majorBidi"/>
      <w:b/>
      <w:bCs/>
      <w:kern w:val="2"/>
      <w:sz w:val="32"/>
      <w:szCs w:val="32"/>
    </w:rPr>
  </w:style>
  <w:style w:type="character" w:customStyle="1" w:styleId="22">
    <w:name w:val="标题 2 字符"/>
    <w:basedOn w:val="a2"/>
    <w:link w:val="21"/>
    <w:semiHidden/>
    <w:rsid w:val="00B64133"/>
    <w:rPr>
      <w:rFonts w:asciiTheme="majorHAnsi" w:eastAsiaTheme="majorEastAsia" w:hAnsiTheme="majorHAnsi" w:cstheme="majorBidi"/>
      <w:b/>
      <w:bCs/>
      <w:kern w:val="2"/>
      <w:sz w:val="32"/>
      <w:szCs w:val="32"/>
    </w:rPr>
  </w:style>
  <w:style w:type="character" w:customStyle="1" w:styleId="32">
    <w:name w:val="标题 3 字符"/>
    <w:basedOn w:val="a2"/>
    <w:link w:val="31"/>
    <w:semiHidden/>
    <w:rsid w:val="00B64133"/>
    <w:rPr>
      <w:rFonts w:asciiTheme="minorHAnsi" w:hAnsiTheme="minorHAnsi" w:cstheme="minorBidi"/>
      <w:b/>
      <w:bCs/>
      <w:kern w:val="2"/>
      <w:sz w:val="32"/>
      <w:szCs w:val="32"/>
    </w:rPr>
  </w:style>
  <w:style w:type="character" w:customStyle="1" w:styleId="42">
    <w:name w:val="标题 4 字符"/>
    <w:basedOn w:val="a2"/>
    <w:link w:val="41"/>
    <w:semiHidden/>
    <w:rsid w:val="00B64133"/>
    <w:rPr>
      <w:rFonts w:asciiTheme="majorHAnsi" w:eastAsiaTheme="majorEastAsia" w:hAnsiTheme="majorHAnsi" w:cstheme="majorBidi"/>
      <w:b/>
      <w:bCs/>
      <w:kern w:val="2"/>
      <w:sz w:val="28"/>
      <w:szCs w:val="28"/>
    </w:rPr>
  </w:style>
  <w:style w:type="character" w:customStyle="1" w:styleId="52">
    <w:name w:val="标题 5 字符"/>
    <w:basedOn w:val="a2"/>
    <w:link w:val="51"/>
    <w:semiHidden/>
    <w:rsid w:val="00B64133"/>
    <w:rPr>
      <w:rFonts w:asciiTheme="minorHAnsi" w:hAnsiTheme="minorHAnsi" w:cstheme="minorBidi"/>
      <w:b/>
      <w:bCs/>
      <w:kern w:val="2"/>
      <w:sz w:val="28"/>
      <w:szCs w:val="28"/>
    </w:rPr>
  </w:style>
  <w:style w:type="character" w:customStyle="1" w:styleId="60">
    <w:name w:val="标题 6 字符"/>
    <w:basedOn w:val="a2"/>
    <w:link w:val="6"/>
    <w:semiHidden/>
    <w:rsid w:val="00B64133"/>
    <w:rPr>
      <w:rFonts w:asciiTheme="majorHAnsi" w:eastAsiaTheme="majorEastAsia" w:hAnsiTheme="majorHAnsi" w:cstheme="majorBidi"/>
      <w:b/>
      <w:bCs/>
      <w:kern w:val="2"/>
      <w:sz w:val="24"/>
      <w:szCs w:val="24"/>
    </w:rPr>
  </w:style>
  <w:style w:type="character" w:customStyle="1" w:styleId="70">
    <w:name w:val="标题 7 字符"/>
    <w:basedOn w:val="a2"/>
    <w:link w:val="7"/>
    <w:semiHidden/>
    <w:rsid w:val="00B64133"/>
    <w:rPr>
      <w:rFonts w:asciiTheme="minorHAnsi" w:hAnsiTheme="minorHAnsi" w:cstheme="minorBidi"/>
      <w:b/>
      <w:bCs/>
      <w:kern w:val="2"/>
      <w:sz w:val="24"/>
      <w:szCs w:val="24"/>
    </w:rPr>
  </w:style>
  <w:style w:type="character" w:customStyle="1" w:styleId="80">
    <w:name w:val="标题 8 字符"/>
    <w:basedOn w:val="a2"/>
    <w:link w:val="8"/>
    <w:semiHidden/>
    <w:rsid w:val="00B64133"/>
    <w:rPr>
      <w:rFonts w:asciiTheme="majorHAnsi" w:eastAsiaTheme="majorEastAsia" w:hAnsiTheme="majorHAnsi" w:cstheme="majorBidi"/>
      <w:kern w:val="2"/>
      <w:sz w:val="24"/>
      <w:szCs w:val="24"/>
    </w:rPr>
  </w:style>
  <w:style w:type="character" w:customStyle="1" w:styleId="90">
    <w:name w:val="标题 9 字符"/>
    <w:basedOn w:val="a2"/>
    <w:link w:val="9"/>
    <w:semiHidden/>
    <w:rsid w:val="00B64133"/>
    <w:rPr>
      <w:rFonts w:asciiTheme="majorHAnsi" w:eastAsiaTheme="majorEastAsia" w:hAnsiTheme="majorHAnsi" w:cstheme="majorBidi"/>
      <w:kern w:val="2"/>
      <w:sz w:val="21"/>
      <w:szCs w:val="21"/>
    </w:rPr>
  </w:style>
  <w:style w:type="paragraph" w:styleId="ad">
    <w:name w:val="Salutation"/>
    <w:basedOn w:val="a1"/>
    <w:next w:val="a1"/>
    <w:link w:val="ae"/>
    <w:rsid w:val="00B64133"/>
  </w:style>
  <w:style w:type="character" w:customStyle="1" w:styleId="ae">
    <w:name w:val="称呼 字符"/>
    <w:basedOn w:val="a2"/>
    <w:link w:val="ad"/>
    <w:rsid w:val="00B64133"/>
    <w:rPr>
      <w:rFonts w:asciiTheme="minorHAnsi" w:hAnsiTheme="minorHAnsi" w:cstheme="minorBidi"/>
      <w:kern w:val="2"/>
      <w:sz w:val="21"/>
      <w:szCs w:val="21"/>
    </w:rPr>
  </w:style>
  <w:style w:type="paragraph" w:styleId="af">
    <w:name w:val="Plain Text"/>
    <w:basedOn w:val="a1"/>
    <w:link w:val="af0"/>
    <w:rsid w:val="00B64133"/>
    <w:rPr>
      <w:rFonts w:asciiTheme="minorEastAsia" w:eastAsiaTheme="minorEastAsia" w:hAnsi="Courier New" w:cs="Courier New"/>
    </w:rPr>
  </w:style>
  <w:style w:type="character" w:customStyle="1" w:styleId="af0">
    <w:name w:val="纯文本 字符"/>
    <w:basedOn w:val="a2"/>
    <w:link w:val="af"/>
    <w:rsid w:val="00B64133"/>
    <w:rPr>
      <w:rFonts w:asciiTheme="minorEastAsia" w:eastAsiaTheme="minorEastAsia" w:hAnsi="Courier New" w:cs="Courier New"/>
      <w:kern w:val="2"/>
      <w:sz w:val="21"/>
      <w:szCs w:val="21"/>
    </w:rPr>
  </w:style>
  <w:style w:type="paragraph" w:styleId="af1">
    <w:name w:val="E-mail Signature"/>
    <w:basedOn w:val="a1"/>
    <w:link w:val="af2"/>
    <w:rsid w:val="00B64133"/>
  </w:style>
  <w:style w:type="character" w:customStyle="1" w:styleId="af2">
    <w:name w:val="电子邮件签名 字符"/>
    <w:basedOn w:val="a2"/>
    <w:link w:val="af1"/>
    <w:rsid w:val="00B64133"/>
    <w:rPr>
      <w:rFonts w:asciiTheme="minorHAnsi" w:hAnsiTheme="minorHAnsi" w:cstheme="minorBidi"/>
      <w:kern w:val="2"/>
      <w:sz w:val="21"/>
      <w:szCs w:val="21"/>
    </w:rPr>
  </w:style>
  <w:style w:type="paragraph" w:styleId="af3">
    <w:name w:val="Subtitle"/>
    <w:basedOn w:val="a1"/>
    <w:next w:val="a1"/>
    <w:link w:val="af4"/>
    <w:qFormat/>
    <w:rsid w:val="00B64133"/>
    <w:pPr>
      <w:spacing w:before="240" w:after="60" w:line="312" w:lineRule="auto"/>
      <w:jc w:val="center"/>
      <w:outlineLvl w:val="1"/>
    </w:pPr>
    <w:rPr>
      <w:rFonts w:eastAsiaTheme="minorEastAsia"/>
      <w:b/>
      <w:bCs/>
      <w:kern w:val="28"/>
      <w:sz w:val="32"/>
      <w:szCs w:val="32"/>
    </w:rPr>
  </w:style>
  <w:style w:type="character" w:customStyle="1" w:styleId="af4">
    <w:name w:val="副标题 字符"/>
    <w:basedOn w:val="a2"/>
    <w:link w:val="af3"/>
    <w:rsid w:val="00B64133"/>
    <w:rPr>
      <w:rFonts w:asciiTheme="minorHAnsi" w:eastAsiaTheme="minorEastAsia" w:hAnsiTheme="minorHAnsi" w:cstheme="minorBidi"/>
      <w:b/>
      <w:bCs/>
      <w:kern w:val="28"/>
      <w:sz w:val="32"/>
      <w:szCs w:val="32"/>
    </w:rPr>
  </w:style>
  <w:style w:type="paragraph" w:styleId="af5">
    <w:name w:val="macro"/>
    <w:link w:val="af6"/>
    <w:rsid w:val="00B6413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6">
    <w:name w:val="宏文本 字符"/>
    <w:basedOn w:val="a2"/>
    <w:link w:val="af5"/>
    <w:rsid w:val="00B64133"/>
    <w:rPr>
      <w:rFonts w:ascii="Courier New" w:hAnsi="Courier New" w:cs="Courier New"/>
      <w:kern w:val="2"/>
      <w:sz w:val="24"/>
      <w:szCs w:val="24"/>
    </w:rPr>
  </w:style>
  <w:style w:type="paragraph" w:styleId="af7">
    <w:name w:val="envelope return"/>
    <w:basedOn w:val="a1"/>
    <w:rsid w:val="00B64133"/>
    <w:pPr>
      <w:snapToGrid w:val="0"/>
    </w:pPr>
    <w:rPr>
      <w:rFonts w:asciiTheme="majorHAnsi" w:eastAsiaTheme="majorEastAsia" w:hAnsiTheme="majorHAnsi" w:cstheme="majorBidi"/>
    </w:rPr>
  </w:style>
  <w:style w:type="paragraph" w:styleId="af8">
    <w:name w:val="footnote text"/>
    <w:basedOn w:val="a1"/>
    <w:link w:val="af9"/>
    <w:rsid w:val="00B64133"/>
    <w:pPr>
      <w:snapToGrid w:val="0"/>
      <w:jc w:val="left"/>
    </w:pPr>
    <w:rPr>
      <w:sz w:val="18"/>
      <w:szCs w:val="18"/>
    </w:rPr>
  </w:style>
  <w:style w:type="character" w:customStyle="1" w:styleId="af9">
    <w:name w:val="脚注文本 字符"/>
    <w:basedOn w:val="a2"/>
    <w:link w:val="af8"/>
    <w:rsid w:val="00B64133"/>
    <w:rPr>
      <w:rFonts w:asciiTheme="minorHAnsi" w:hAnsiTheme="minorHAnsi" w:cstheme="minorBidi"/>
      <w:kern w:val="2"/>
      <w:sz w:val="18"/>
      <w:szCs w:val="18"/>
    </w:rPr>
  </w:style>
  <w:style w:type="paragraph" w:styleId="afa">
    <w:name w:val="Closing"/>
    <w:basedOn w:val="a1"/>
    <w:link w:val="afb"/>
    <w:rsid w:val="00B64133"/>
    <w:pPr>
      <w:ind w:leftChars="2100" w:left="100"/>
    </w:pPr>
  </w:style>
  <w:style w:type="character" w:customStyle="1" w:styleId="afb">
    <w:name w:val="结束语 字符"/>
    <w:basedOn w:val="a2"/>
    <w:link w:val="afa"/>
    <w:rsid w:val="00B64133"/>
    <w:rPr>
      <w:rFonts w:asciiTheme="minorHAnsi" w:hAnsiTheme="minorHAnsi" w:cstheme="minorBidi"/>
      <w:kern w:val="2"/>
      <w:sz w:val="21"/>
      <w:szCs w:val="21"/>
    </w:rPr>
  </w:style>
  <w:style w:type="paragraph" w:styleId="afc">
    <w:name w:val="List"/>
    <w:basedOn w:val="a1"/>
    <w:rsid w:val="00B64133"/>
    <w:pPr>
      <w:ind w:left="200" w:hangingChars="200" w:hanging="200"/>
      <w:contextualSpacing/>
    </w:pPr>
  </w:style>
  <w:style w:type="paragraph" w:styleId="24">
    <w:name w:val="List 2"/>
    <w:basedOn w:val="a1"/>
    <w:rsid w:val="00B64133"/>
    <w:pPr>
      <w:ind w:leftChars="200" w:left="100" w:hangingChars="200" w:hanging="200"/>
      <w:contextualSpacing/>
    </w:pPr>
  </w:style>
  <w:style w:type="paragraph" w:styleId="33">
    <w:name w:val="List 3"/>
    <w:basedOn w:val="a1"/>
    <w:rsid w:val="00B64133"/>
    <w:pPr>
      <w:ind w:leftChars="400" w:left="100" w:hangingChars="200" w:hanging="200"/>
      <w:contextualSpacing/>
    </w:pPr>
  </w:style>
  <w:style w:type="paragraph" w:styleId="43">
    <w:name w:val="List 4"/>
    <w:basedOn w:val="a1"/>
    <w:rsid w:val="00B64133"/>
    <w:pPr>
      <w:ind w:leftChars="600" w:left="100" w:hangingChars="200" w:hanging="200"/>
      <w:contextualSpacing/>
    </w:pPr>
  </w:style>
  <w:style w:type="paragraph" w:styleId="53">
    <w:name w:val="List 5"/>
    <w:basedOn w:val="a1"/>
    <w:rsid w:val="00B64133"/>
    <w:pPr>
      <w:ind w:leftChars="800" w:left="100" w:hangingChars="200" w:hanging="200"/>
      <w:contextualSpacing/>
    </w:pPr>
  </w:style>
  <w:style w:type="paragraph" w:styleId="a">
    <w:name w:val="List Number"/>
    <w:basedOn w:val="a1"/>
    <w:rsid w:val="00B64133"/>
    <w:pPr>
      <w:numPr>
        <w:numId w:val="1"/>
      </w:numPr>
      <w:contextualSpacing/>
    </w:pPr>
  </w:style>
  <w:style w:type="paragraph" w:styleId="2">
    <w:name w:val="List Number 2"/>
    <w:basedOn w:val="a1"/>
    <w:rsid w:val="00B64133"/>
    <w:pPr>
      <w:numPr>
        <w:numId w:val="2"/>
      </w:numPr>
      <w:contextualSpacing/>
    </w:pPr>
  </w:style>
  <w:style w:type="paragraph" w:styleId="3">
    <w:name w:val="List Number 3"/>
    <w:basedOn w:val="a1"/>
    <w:rsid w:val="00B64133"/>
    <w:pPr>
      <w:numPr>
        <w:numId w:val="3"/>
      </w:numPr>
      <w:contextualSpacing/>
    </w:pPr>
  </w:style>
  <w:style w:type="paragraph" w:styleId="4">
    <w:name w:val="List Number 4"/>
    <w:basedOn w:val="a1"/>
    <w:rsid w:val="00B64133"/>
    <w:pPr>
      <w:numPr>
        <w:numId w:val="4"/>
      </w:numPr>
      <w:contextualSpacing/>
    </w:pPr>
  </w:style>
  <w:style w:type="paragraph" w:styleId="5">
    <w:name w:val="List Number 5"/>
    <w:basedOn w:val="a1"/>
    <w:rsid w:val="00B64133"/>
    <w:pPr>
      <w:numPr>
        <w:numId w:val="5"/>
      </w:numPr>
      <w:contextualSpacing/>
    </w:pPr>
  </w:style>
  <w:style w:type="paragraph" w:styleId="afd">
    <w:name w:val="List Continue"/>
    <w:basedOn w:val="a1"/>
    <w:rsid w:val="00B64133"/>
    <w:pPr>
      <w:spacing w:after="120"/>
      <w:ind w:leftChars="200" w:left="420"/>
      <w:contextualSpacing/>
    </w:pPr>
  </w:style>
  <w:style w:type="paragraph" w:styleId="25">
    <w:name w:val="List Continue 2"/>
    <w:basedOn w:val="a1"/>
    <w:rsid w:val="00B64133"/>
    <w:pPr>
      <w:spacing w:after="120"/>
      <w:ind w:leftChars="400" w:left="840"/>
      <w:contextualSpacing/>
    </w:pPr>
  </w:style>
  <w:style w:type="paragraph" w:styleId="34">
    <w:name w:val="List Continue 3"/>
    <w:basedOn w:val="a1"/>
    <w:rsid w:val="00B64133"/>
    <w:pPr>
      <w:spacing w:after="120"/>
      <w:ind w:leftChars="600" w:left="1260"/>
      <w:contextualSpacing/>
    </w:pPr>
  </w:style>
  <w:style w:type="paragraph" w:styleId="44">
    <w:name w:val="List Continue 4"/>
    <w:basedOn w:val="a1"/>
    <w:rsid w:val="00B64133"/>
    <w:pPr>
      <w:spacing w:after="120"/>
      <w:ind w:leftChars="800" w:left="1680"/>
      <w:contextualSpacing/>
    </w:pPr>
  </w:style>
  <w:style w:type="paragraph" w:styleId="54">
    <w:name w:val="List Continue 5"/>
    <w:basedOn w:val="a1"/>
    <w:rsid w:val="00B64133"/>
    <w:pPr>
      <w:spacing w:after="120"/>
      <w:ind w:leftChars="1000" w:left="2100"/>
      <w:contextualSpacing/>
    </w:pPr>
  </w:style>
  <w:style w:type="paragraph" w:styleId="a0">
    <w:name w:val="List Bullet"/>
    <w:basedOn w:val="a1"/>
    <w:rsid w:val="00B64133"/>
    <w:pPr>
      <w:numPr>
        <w:numId w:val="6"/>
      </w:numPr>
      <w:contextualSpacing/>
    </w:pPr>
  </w:style>
  <w:style w:type="paragraph" w:styleId="20">
    <w:name w:val="List Bullet 2"/>
    <w:basedOn w:val="a1"/>
    <w:rsid w:val="00B64133"/>
    <w:pPr>
      <w:numPr>
        <w:numId w:val="7"/>
      </w:numPr>
      <w:contextualSpacing/>
    </w:pPr>
  </w:style>
  <w:style w:type="paragraph" w:styleId="30">
    <w:name w:val="List Bullet 3"/>
    <w:basedOn w:val="a1"/>
    <w:rsid w:val="00B64133"/>
    <w:pPr>
      <w:numPr>
        <w:numId w:val="8"/>
      </w:numPr>
      <w:contextualSpacing/>
    </w:pPr>
  </w:style>
  <w:style w:type="paragraph" w:styleId="40">
    <w:name w:val="List Bullet 4"/>
    <w:basedOn w:val="a1"/>
    <w:rsid w:val="00B64133"/>
    <w:pPr>
      <w:numPr>
        <w:numId w:val="9"/>
      </w:numPr>
      <w:contextualSpacing/>
    </w:pPr>
  </w:style>
  <w:style w:type="paragraph" w:styleId="50">
    <w:name w:val="List Bullet 5"/>
    <w:basedOn w:val="a1"/>
    <w:rsid w:val="00B64133"/>
    <w:pPr>
      <w:numPr>
        <w:numId w:val="10"/>
      </w:numPr>
      <w:contextualSpacing/>
    </w:pPr>
  </w:style>
  <w:style w:type="paragraph" w:styleId="afe">
    <w:name w:val="Intense Quote"/>
    <w:basedOn w:val="a1"/>
    <w:next w:val="a1"/>
    <w:link w:val="aff"/>
    <w:uiPriority w:val="99"/>
    <w:rsid w:val="00B641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
    <w:name w:val="明显引用 字符"/>
    <w:basedOn w:val="a2"/>
    <w:link w:val="afe"/>
    <w:uiPriority w:val="99"/>
    <w:rsid w:val="00B64133"/>
    <w:rPr>
      <w:rFonts w:asciiTheme="minorHAnsi" w:hAnsiTheme="minorHAnsi" w:cstheme="minorBidi"/>
      <w:i/>
      <w:iCs/>
      <w:color w:val="5B9BD5" w:themeColor="accent1"/>
      <w:kern w:val="2"/>
      <w:sz w:val="21"/>
      <w:szCs w:val="21"/>
    </w:rPr>
  </w:style>
  <w:style w:type="paragraph" w:styleId="35">
    <w:name w:val="toc 3"/>
    <w:basedOn w:val="a1"/>
    <w:next w:val="a1"/>
    <w:autoRedefine/>
    <w:rsid w:val="00B64133"/>
    <w:pPr>
      <w:ind w:leftChars="400" w:left="840"/>
    </w:pPr>
  </w:style>
  <w:style w:type="paragraph" w:styleId="45">
    <w:name w:val="toc 4"/>
    <w:basedOn w:val="a1"/>
    <w:next w:val="a1"/>
    <w:autoRedefine/>
    <w:rsid w:val="00B64133"/>
    <w:pPr>
      <w:ind w:leftChars="600" w:left="1260"/>
    </w:pPr>
  </w:style>
  <w:style w:type="paragraph" w:styleId="55">
    <w:name w:val="toc 5"/>
    <w:basedOn w:val="a1"/>
    <w:next w:val="a1"/>
    <w:autoRedefine/>
    <w:rsid w:val="00B64133"/>
    <w:pPr>
      <w:ind w:leftChars="800" w:left="1680"/>
    </w:pPr>
  </w:style>
  <w:style w:type="paragraph" w:styleId="61">
    <w:name w:val="toc 6"/>
    <w:basedOn w:val="a1"/>
    <w:next w:val="a1"/>
    <w:autoRedefine/>
    <w:rsid w:val="00B64133"/>
    <w:pPr>
      <w:ind w:leftChars="1000" w:left="2100"/>
    </w:pPr>
  </w:style>
  <w:style w:type="paragraph" w:styleId="71">
    <w:name w:val="toc 7"/>
    <w:basedOn w:val="a1"/>
    <w:next w:val="a1"/>
    <w:autoRedefine/>
    <w:rsid w:val="00B64133"/>
    <w:pPr>
      <w:ind w:leftChars="1200" w:left="2520"/>
    </w:pPr>
  </w:style>
  <w:style w:type="paragraph" w:styleId="81">
    <w:name w:val="toc 8"/>
    <w:basedOn w:val="a1"/>
    <w:next w:val="a1"/>
    <w:autoRedefine/>
    <w:rsid w:val="00B64133"/>
    <w:pPr>
      <w:ind w:leftChars="1400" w:left="2940"/>
    </w:pPr>
  </w:style>
  <w:style w:type="paragraph" w:styleId="91">
    <w:name w:val="toc 9"/>
    <w:basedOn w:val="a1"/>
    <w:next w:val="a1"/>
    <w:autoRedefine/>
    <w:rsid w:val="00B64133"/>
    <w:pPr>
      <w:ind w:leftChars="1600" w:left="3360"/>
    </w:pPr>
  </w:style>
  <w:style w:type="paragraph" w:styleId="aff0">
    <w:name w:val="Balloon Text"/>
    <w:basedOn w:val="a1"/>
    <w:link w:val="aff1"/>
    <w:semiHidden/>
    <w:unhideWhenUsed/>
    <w:rsid w:val="00B64133"/>
    <w:rPr>
      <w:sz w:val="18"/>
      <w:szCs w:val="18"/>
    </w:rPr>
  </w:style>
  <w:style w:type="character" w:customStyle="1" w:styleId="aff1">
    <w:name w:val="批注框文本 字符"/>
    <w:basedOn w:val="a2"/>
    <w:link w:val="aff0"/>
    <w:semiHidden/>
    <w:rsid w:val="00B64133"/>
    <w:rPr>
      <w:rFonts w:asciiTheme="minorHAnsi" w:hAnsiTheme="minorHAnsi" w:cstheme="minorBidi"/>
      <w:kern w:val="2"/>
      <w:sz w:val="18"/>
      <w:szCs w:val="18"/>
    </w:rPr>
  </w:style>
  <w:style w:type="paragraph" w:styleId="aff2">
    <w:name w:val="annotation text"/>
    <w:basedOn w:val="a1"/>
    <w:link w:val="aff3"/>
    <w:rsid w:val="00B64133"/>
    <w:pPr>
      <w:jc w:val="left"/>
    </w:pPr>
  </w:style>
  <w:style w:type="character" w:customStyle="1" w:styleId="aff3">
    <w:name w:val="批注文字 字符"/>
    <w:basedOn w:val="a2"/>
    <w:link w:val="aff2"/>
    <w:rsid w:val="00B64133"/>
    <w:rPr>
      <w:rFonts w:asciiTheme="minorHAnsi" w:hAnsiTheme="minorHAnsi" w:cstheme="minorBidi"/>
      <w:kern w:val="2"/>
      <w:sz w:val="21"/>
      <w:szCs w:val="21"/>
    </w:rPr>
  </w:style>
  <w:style w:type="paragraph" w:styleId="aff4">
    <w:name w:val="annotation subject"/>
    <w:basedOn w:val="aff2"/>
    <w:next w:val="aff2"/>
    <w:link w:val="aff5"/>
    <w:semiHidden/>
    <w:unhideWhenUsed/>
    <w:rsid w:val="00B64133"/>
    <w:rPr>
      <w:b/>
      <w:bCs/>
    </w:rPr>
  </w:style>
  <w:style w:type="character" w:customStyle="1" w:styleId="aff5">
    <w:name w:val="批注主题 字符"/>
    <w:basedOn w:val="aff3"/>
    <w:link w:val="aff4"/>
    <w:semiHidden/>
    <w:rsid w:val="00B64133"/>
    <w:rPr>
      <w:rFonts w:asciiTheme="minorHAnsi" w:hAnsiTheme="minorHAnsi" w:cstheme="minorBidi"/>
      <w:b/>
      <w:bCs/>
      <w:kern w:val="2"/>
      <w:sz w:val="21"/>
      <w:szCs w:val="21"/>
    </w:rPr>
  </w:style>
  <w:style w:type="paragraph" w:styleId="aff6">
    <w:name w:val="Normal (Web)"/>
    <w:basedOn w:val="a1"/>
    <w:rsid w:val="00B64133"/>
    <w:rPr>
      <w:rFonts w:ascii="Times New Roman" w:hAnsi="Times New Roman" w:cs="Times New Roman"/>
      <w:sz w:val="24"/>
      <w:szCs w:val="24"/>
    </w:rPr>
  </w:style>
  <w:style w:type="paragraph" w:styleId="aff7">
    <w:name w:val="Signature"/>
    <w:basedOn w:val="a1"/>
    <w:link w:val="aff8"/>
    <w:rsid w:val="00B64133"/>
    <w:pPr>
      <w:ind w:leftChars="2100" w:left="100"/>
    </w:pPr>
  </w:style>
  <w:style w:type="character" w:customStyle="1" w:styleId="aff8">
    <w:name w:val="签名 字符"/>
    <w:basedOn w:val="a2"/>
    <w:link w:val="aff7"/>
    <w:rsid w:val="00B64133"/>
    <w:rPr>
      <w:rFonts w:asciiTheme="minorHAnsi" w:hAnsiTheme="minorHAnsi" w:cstheme="minorBidi"/>
      <w:kern w:val="2"/>
      <w:sz w:val="21"/>
      <w:szCs w:val="21"/>
    </w:rPr>
  </w:style>
  <w:style w:type="paragraph" w:styleId="aff9">
    <w:name w:val="Date"/>
    <w:basedOn w:val="a1"/>
    <w:next w:val="a1"/>
    <w:link w:val="affa"/>
    <w:rsid w:val="00B64133"/>
    <w:pPr>
      <w:ind w:leftChars="2500" w:left="100"/>
    </w:pPr>
  </w:style>
  <w:style w:type="character" w:customStyle="1" w:styleId="affa">
    <w:name w:val="日期 字符"/>
    <w:basedOn w:val="a2"/>
    <w:link w:val="aff9"/>
    <w:rsid w:val="00B64133"/>
    <w:rPr>
      <w:rFonts w:asciiTheme="minorHAnsi" w:hAnsiTheme="minorHAnsi" w:cstheme="minorBidi"/>
      <w:kern w:val="2"/>
      <w:sz w:val="21"/>
      <w:szCs w:val="21"/>
    </w:rPr>
  </w:style>
  <w:style w:type="paragraph" w:styleId="affb">
    <w:name w:val="envelope address"/>
    <w:basedOn w:val="a1"/>
    <w:rsid w:val="00B64133"/>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c">
    <w:name w:val="Bibliography"/>
    <w:basedOn w:val="a1"/>
    <w:next w:val="a1"/>
    <w:uiPriority w:val="37"/>
    <w:semiHidden/>
    <w:unhideWhenUsed/>
    <w:rsid w:val="00B64133"/>
  </w:style>
  <w:style w:type="paragraph" w:styleId="12">
    <w:name w:val="index 1"/>
    <w:basedOn w:val="a1"/>
    <w:next w:val="a1"/>
    <w:autoRedefine/>
    <w:rsid w:val="00B64133"/>
  </w:style>
  <w:style w:type="paragraph" w:styleId="26">
    <w:name w:val="index 2"/>
    <w:basedOn w:val="a1"/>
    <w:next w:val="a1"/>
    <w:autoRedefine/>
    <w:rsid w:val="00B64133"/>
    <w:pPr>
      <w:ind w:leftChars="200" w:left="200"/>
    </w:pPr>
  </w:style>
  <w:style w:type="paragraph" w:styleId="36">
    <w:name w:val="index 3"/>
    <w:basedOn w:val="a1"/>
    <w:next w:val="a1"/>
    <w:autoRedefine/>
    <w:rsid w:val="00B64133"/>
    <w:pPr>
      <w:ind w:leftChars="400" w:left="400"/>
    </w:pPr>
  </w:style>
  <w:style w:type="paragraph" w:styleId="46">
    <w:name w:val="index 4"/>
    <w:basedOn w:val="a1"/>
    <w:next w:val="a1"/>
    <w:autoRedefine/>
    <w:rsid w:val="00B64133"/>
    <w:pPr>
      <w:ind w:leftChars="600" w:left="600"/>
    </w:pPr>
  </w:style>
  <w:style w:type="paragraph" w:styleId="56">
    <w:name w:val="index 5"/>
    <w:basedOn w:val="a1"/>
    <w:next w:val="a1"/>
    <w:autoRedefine/>
    <w:rsid w:val="00B64133"/>
    <w:pPr>
      <w:ind w:leftChars="800" w:left="800"/>
    </w:pPr>
  </w:style>
  <w:style w:type="paragraph" w:styleId="62">
    <w:name w:val="index 6"/>
    <w:basedOn w:val="a1"/>
    <w:next w:val="a1"/>
    <w:autoRedefine/>
    <w:rsid w:val="00B64133"/>
    <w:pPr>
      <w:ind w:leftChars="1000" w:left="1000"/>
    </w:pPr>
  </w:style>
  <w:style w:type="paragraph" w:styleId="72">
    <w:name w:val="index 7"/>
    <w:basedOn w:val="a1"/>
    <w:next w:val="a1"/>
    <w:autoRedefine/>
    <w:rsid w:val="00B64133"/>
    <w:pPr>
      <w:ind w:leftChars="1200" w:left="1200"/>
    </w:pPr>
  </w:style>
  <w:style w:type="paragraph" w:styleId="82">
    <w:name w:val="index 8"/>
    <w:basedOn w:val="a1"/>
    <w:next w:val="a1"/>
    <w:autoRedefine/>
    <w:rsid w:val="00B64133"/>
    <w:pPr>
      <w:ind w:leftChars="1400" w:left="1400"/>
    </w:pPr>
  </w:style>
  <w:style w:type="paragraph" w:styleId="92">
    <w:name w:val="index 9"/>
    <w:basedOn w:val="a1"/>
    <w:next w:val="a1"/>
    <w:autoRedefine/>
    <w:rsid w:val="00B64133"/>
    <w:pPr>
      <w:ind w:leftChars="1600" w:left="1600"/>
    </w:pPr>
  </w:style>
  <w:style w:type="paragraph" w:styleId="affd">
    <w:name w:val="index heading"/>
    <w:basedOn w:val="a1"/>
    <w:next w:val="12"/>
    <w:rsid w:val="00B64133"/>
    <w:rPr>
      <w:rFonts w:asciiTheme="majorHAnsi" w:eastAsiaTheme="majorEastAsia" w:hAnsiTheme="majorHAnsi" w:cstheme="majorBidi"/>
      <w:b/>
      <w:bCs/>
    </w:rPr>
  </w:style>
  <w:style w:type="paragraph" w:styleId="affe">
    <w:name w:val="caption"/>
    <w:basedOn w:val="a1"/>
    <w:next w:val="a1"/>
    <w:semiHidden/>
    <w:unhideWhenUsed/>
    <w:qFormat/>
    <w:rsid w:val="00B64133"/>
    <w:rPr>
      <w:rFonts w:asciiTheme="majorHAnsi" w:eastAsia="黑体" w:hAnsiTheme="majorHAnsi" w:cstheme="majorBidi"/>
      <w:sz w:val="20"/>
      <w:szCs w:val="20"/>
    </w:rPr>
  </w:style>
  <w:style w:type="paragraph" w:styleId="afff">
    <w:name w:val="table of figures"/>
    <w:basedOn w:val="a1"/>
    <w:next w:val="a1"/>
    <w:rsid w:val="00B64133"/>
    <w:pPr>
      <w:ind w:leftChars="200" w:left="200" w:hangingChars="200" w:hanging="200"/>
    </w:pPr>
  </w:style>
  <w:style w:type="paragraph" w:styleId="afff0">
    <w:name w:val="endnote text"/>
    <w:basedOn w:val="a1"/>
    <w:link w:val="afff1"/>
    <w:rsid w:val="00B64133"/>
    <w:pPr>
      <w:snapToGrid w:val="0"/>
      <w:jc w:val="left"/>
    </w:pPr>
  </w:style>
  <w:style w:type="character" w:customStyle="1" w:styleId="afff1">
    <w:name w:val="尾注文本 字符"/>
    <w:basedOn w:val="a2"/>
    <w:link w:val="afff0"/>
    <w:rsid w:val="00B64133"/>
    <w:rPr>
      <w:rFonts w:asciiTheme="minorHAnsi" w:hAnsiTheme="minorHAnsi" w:cstheme="minorBidi"/>
      <w:kern w:val="2"/>
      <w:sz w:val="21"/>
      <w:szCs w:val="21"/>
    </w:rPr>
  </w:style>
  <w:style w:type="paragraph" w:styleId="afff2">
    <w:name w:val="Block Text"/>
    <w:basedOn w:val="a1"/>
    <w:rsid w:val="00B64133"/>
    <w:pPr>
      <w:spacing w:after="120"/>
      <w:ind w:leftChars="700" w:left="1440" w:rightChars="700" w:right="1440"/>
    </w:pPr>
  </w:style>
  <w:style w:type="paragraph" w:styleId="afff3">
    <w:name w:val="Document Map"/>
    <w:basedOn w:val="a1"/>
    <w:link w:val="afff4"/>
    <w:rsid w:val="00B64133"/>
    <w:rPr>
      <w:rFonts w:ascii="Microsoft YaHei UI" w:eastAsia="Microsoft YaHei UI"/>
      <w:sz w:val="18"/>
      <w:szCs w:val="18"/>
    </w:rPr>
  </w:style>
  <w:style w:type="character" w:customStyle="1" w:styleId="afff4">
    <w:name w:val="文档结构图 字符"/>
    <w:basedOn w:val="a2"/>
    <w:link w:val="afff3"/>
    <w:rsid w:val="00B64133"/>
    <w:rPr>
      <w:rFonts w:ascii="Microsoft YaHei UI" w:eastAsia="Microsoft YaHei UI" w:hAnsiTheme="minorHAnsi" w:cstheme="minorBidi"/>
      <w:kern w:val="2"/>
      <w:sz w:val="18"/>
      <w:szCs w:val="18"/>
    </w:rPr>
  </w:style>
  <w:style w:type="paragraph" w:styleId="afff5">
    <w:name w:val="No Spacing"/>
    <w:uiPriority w:val="99"/>
    <w:rsid w:val="00B64133"/>
    <w:pPr>
      <w:widowControl w:val="0"/>
      <w:jc w:val="both"/>
    </w:pPr>
    <w:rPr>
      <w:rFonts w:asciiTheme="minorHAnsi" w:hAnsiTheme="minorHAnsi" w:cstheme="minorBidi"/>
      <w:kern w:val="2"/>
      <w:sz w:val="21"/>
      <w:szCs w:val="21"/>
    </w:rPr>
  </w:style>
  <w:style w:type="paragraph" w:styleId="afff6">
    <w:name w:val="Message Header"/>
    <w:basedOn w:val="a1"/>
    <w:link w:val="afff7"/>
    <w:rsid w:val="00B6413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7">
    <w:name w:val="信息标题 字符"/>
    <w:basedOn w:val="a2"/>
    <w:link w:val="afff6"/>
    <w:rsid w:val="00B64133"/>
    <w:rPr>
      <w:rFonts w:asciiTheme="majorHAnsi" w:eastAsiaTheme="majorEastAsia" w:hAnsiTheme="majorHAnsi" w:cstheme="majorBidi"/>
      <w:kern w:val="2"/>
      <w:sz w:val="24"/>
      <w:szCs w:val="24"/>
      <w:shd w:val="pct20" w:color="auto" w:fill="auto"/>
    </w:rPr>
  </w:style>
  <w:style w:type="paragraph" w:styleId="afff8">
    <w:name w:val="table of authorities"/>
    <w:basedOn w:val="a1"/>
    <w:next w:val="a1"/>
    <w:rsid w:val="00B64133"/>
    <w:pPr>
      <w:ind w:leftChars="200" w:left="420"/>
    </w:pPr>
  </w:style>
  <w:style w:type="paragraph" w:styleId="afff9">
    <w:name w:val="toa heading"/>
    <w:basedOn w:val="a1"/>
    <w:next w:val="a1"/>
    <w:rsid w:val="00B64133"/>
    <w:pPr>
      <w:spacing w:before="120"/>
    </w:pPr>
    <w:rPr>
      <w:rFonts w:asciiTheme="majorHAnsi" w:eastAsiaTheme="majorEastAsia" w:hAnsiTheme="majorHAnsi" w:cstheme="majorBidi"/>
      <w:sz w:val="24"/>
      <w:szCs w:val="24"/>
    </w:rPr>
  </w:style>
  <w:style w:type="paragraph" w:styleId="afffa">
    <w:name w:val="Quote"/>
    <w:basedOn w:val="a1"/>
    <w:next w:val="a1"/>
    <w:link w:val="afffb"/>
    <w:uiPriority w:val="99"/>
    <w:rsid w:val="00B64133"/>
    <w:pPr>
      <w:spacing w:before="200" w:after="160"/>
      <w:ind w:left="864" w:right="864"/>
      <w:jc w:val="center"/>
    </w:pPr>
    <w:rPr>
      <w:i/>
      <w:iCs/>
      <w:color w:val="404040" w:themeColor="text1" w:themeTint="BF"/>
    </w:rPr>
  </w:style>
  <w:style w:type="character" w:customStyle="1" w:styleId="afffb">
    <w:name w:val="引用 字符"/>
    <w:basedOn w:val="a2"/>
    <w:link w:val="afffa"/>
    <w:uiPriority w:val="99"/>
    <w:rsid w:val="00B64133"/>
    <w:rPr>
      <w:rFonts w:asciiTheme="minorHAnsi" w:hAnsiTheme="minorHAnsi" w:cstheme="minorBidi"/>
      <w:i/>
      <w:iCs/>
      <w:color w:val="404040" w:themeColor="text1" w:themeTint="BF"/>
      <w:kern w:val="2"/>
      <w:sz w:val="21"/>
      <w:szCs w:val="21"/>
    </w:rPr>
  </w:style>
  <w:style w:type="paragraph" w:styleId="afffc">
    <w:name w:val="Body Text"/>
    <w:basedOn w:val="a1"/>
    <w:link w:val="afffd"/>
    <w:rsid w:val="00B64133"/>
    <w:pPr>
      <w:spacing w:after="120"/>
    </w:pPr>
  </w:style>
  <w:style w:type="character" w:customStyle="1" w:styleId="afffd">
    <w:name w:val="正文文本 字符"/>
    <w:basedOn w:val="a2"/>
    <w:link w:val="afffc"/>
    <w:rsid w:val="00B64133"/>
    <w:rPr>
      <w:rFonts w:asciiTheme="minorHAnsi" w:hAnsiTheme="minorHAnsi" w:cstheme="minorBidi"/>
      <w:kern w:val="2"/>
      <w:sz w:val="21"/>
      <w:szCs w:val="21"/>
    </w:rPr>
  </w:style>
  <w:style w:type="paragraph" w:styleId="afffe">
    <w:name w:val="Body Text First Indent"/>
    <w:basedOn w:val="afffc"/>
    <w:link w:val="affff"/>
    <w:rsid w:val="00B64133"/>
    <w:pPr>
      <w:ind w:firstLineChars="100" w:firstLine="420"/>
    </w:pPr>
  </w:style>
  <w:style w:type="character" w:customStyle="1" w:styleId="affff">
    <w:name w:val="正文首行缩进 字符"/>
    <w:basedOn w:val="afffd"/>
    <w:link w:val="afffe"/>
    <w:rsid w:val="00B64133"/>
    <w:rPr>
      <w:rFonts w:asciiTheme="minorHAnsi" w:hAnsiTheme="minorHAnsi" w:cstheme="minorBidi"/>
      <w:kern w:val="2"/>
      <w:sz w:val="21"/>
      <w:szCs w:val="21"/>
    </w:rPr>
  </w:style>
  <w:style w:type="paragraph" w:styleId="affff0">
    <w:name w:val="Body Text Indent"/>
    <w:basedOn w:val="a1"/>
    <w:link w:val="affff1"/>
    <w:rsid w:val="00B64133"/>
    <w:pPr>
      <w:spacing w:after="120"/>
      <w:ind w:leftChars="200" w:left="420"/>
    </w:pPr>
  </w:style>
  <w:style w:type="character" w:customStyle="1" w:styleId="affff1">
    <w:name w:val="正文文本缩进 字符"/>
    <w:basedOn w:val="a2"/>
    <w:link w:val="affff0"/>
    <w:rsid w:val="00B64133"/>
    <w:rPr>
      <w:rFonts w:asciiTheme="minorHAnsi" w:hAnsiTheme="minorHAnsi" w:cstheme="minorBidi"/>
      <w:kern w:val="2"/>
      <w:sz w:val="21"/>
      <w:szCs w:val="21"/>
    </w:rPr>
  </w:style>
  <w:style w:type="paragraph" w:styleId="27">
    <w:name w:val="Body Text First Indent 2"/>
    <w:basedOn w:val="affff0"/>
    <w:link w:val="28"/>
    <w:rsid w:val="00B64133"/>
    <w:pPr>
      <w:ind w:firstLineChars="200" w:firstLine="420"/>
    </w:pPr>
  </w:style>
  <w:style w:type="character" w:customStyle="1" w:styleId="28">
    <w:name w:val="正文首行缩进 2 字符"/>
    <w:basedOn w:val="affff1"/>
    <w:link w:val="27"/>
    <w:rsid w:val="00B64133"/>
    <w:rPr>
      <w:rFonts w:asciiTheme="minorHAnsi" w:hAnsiTheme="minorHAnsi" w:cstheme="minorBidi"/>
      <w:kern w:val="2"/>
      <w:sz w:val="21"/>
      <w:szCs w:val="21"/>
    </w:rPr>
  </w:style>
  <w:style w:type="paragraph" w:styleId="affff2">
    <w:name w:val="Normal Indent"/>
    <w:basedOn w:val="a1"/>
    <w:rsid w:val="00B64133"/>
    <w:pPr>
      <w:ind w:firstLineChars="200" w:firstLine="420"/>
    </w:pPr>
  </w:style>
  <w:style w:type="paragraph" w:styleId="29">
    <w:name w:val="Body Text 2"/>
    <w:basedOn w:val="a1"/>
    <w:link w:val="2a"/>
    <w:rsid w:val="00B64133"/>
    <w:pPr>
      <w:spacing w:after="120" w:line="480" w:lineRule="auto"/>
    </w:pPr>
  </w:style>
  <w:style w:type="character" w:customStyle="1" w:styleId="2a">
    <w:name w:val="正文文本 2 字符"/>
    <w:basedOn w:val="a2"/>
    <w:link w:val="29"/>
    <w:rsid w:val="00B64133"/>
    <w:rPr>
      <w:rFonts w:asciiTheme="minorHAnsi" w:hAnsiTheme="minorHAnsi" w:cstheme="minorBidi"/>
      <w:kern w:val="2"/>
      <w:sz w:val="21"/>
      <w:szCs w:val="21"/>
    </w:rPr>
  </w:style>
  <w:style w:type="paragraph" w:styleId="37">
    <w:name w:val="Body Text 3"/>
    <w:basedOn w:val="a1"/>
    <w:link w:val="38"/>
    <w:rsid w:val="00B64133"/>
    <w:pPr>
      <w:spacing w:after="120"/>
    </w:pPr>
    <w:rPr>
      <w:sz w:val="16"/>
      <w:szCs w:val="16"/>
    </w:rPr>
  </w:style>
  <w:style w:type="character" w:customStyle="1" w:styleId="38">
    <w:name w:val="正文文本 3 字符"/>
    <w:basedOn w:val="a2"/>
    <w:link w:val="37"/>
    <w:rsid w:val="00B64133"/>
    <w:rPr>
      <w:rFonts w:asciiTheme="minorHAnsi" w:hAnsiTheme="minorHAnsi" w:cstheme="minorBidi"/>
      <w:kern w:val="2"/>
      <w:sz w:val="16"/>
      <w:szCs w:val="16"/>
    </w:rPr>
  </w:style>
  <w:style w:type="paragraph" w:styleId="2b">
    <w:name w:val="Body Text Indent 2"/>
    <w:basedOn w:val="a1"/>
    <w:link w:val="2c"/>
    <w:rsid w:val="00B64133"/>
    <w:pPr>
      <w:spacing w:after="120" w:line="480" w:lineRule="auto"/>
      <w:ind w:leftChars="200" w:left="420"/>
    </w:pPr>
  </w:style>
  <w:style w:type="character" w:customStyle="1" w:styleId="2c">
    <w:name w:val="正文文本缩进 2 字符"/>
    <w:basedOn w:val="a2"/>
    <w:link w:val="2b"/>
    <w:rsid w:val="00B64133"/>
    <w:rPr>
      <w:rFonts w:asciiTheme="minorHAnsi" w:hAnsiTheme="minorHAnsi" w:cstheme="minorBidi"/>
      <w:kern w:val="2"/>
      <w:sz w:val="21"/>
      <w:szCs w:val="21"/>
    </w:rPr>
  </w:style>
  <w:style w:type="paragraph" w:styleId="39">
    <w:name w:val="Body Text Indent 3"/>
    <w:basedOn w:val="a1"/>
    <w:link w:val="3a"/>
    <w:rsid w:val="00B64133"/>
    <w:pPr>
      <w:spacing w:after="120"/>
      <w:ind w:leftChars="200" w:left="420"/>
    </w:pPr>
    <w:rPr>
      <w:sz w:val="16"/>
      <w:szCs w:val="16"/>
    </w:rPr>
  </w:style>
  <w:style w:type="character" w:customStyle="1" w:styleId="3a">
    <w:name w:val="正文文本缩进 3 字符"/>
    <w:basedOn w:val="a2"/>
    <w:link w:val="39"/>
    <w:rsid w:val="00B64133"/>
    <w:rPr>
      <w:rFonts w:asciiTheme="minorHAnsi" w:hAnsiTheme="minorHAnsi" w:cstheme="minorBidi"/>
      <w:kern w:val="2"/>
      <w:sz w:val="16"/>
      <w:szCs w:val="16"/>
    </w:rPr>
  </w:style>
  <w:style w:type="paragraph" w:styleId="affff3">
    <w:name w:val="Note Heading"/>
    <w:basedOn w:val="a1"/>
    <w:next w:val="a1"/>
    <w:link w:val="affff4"/>
    <w:rsid w:val="00B64133"/>
    <w:pPr>
      <w:jc w:val="center"/>
    </w:pPr>
  </w:style>
  <w:style w:type="character" w:customStyle="1" w:styleId="affff4">
    <w:name w:val="注释标题 字符"/>
    <w:basedOn w:val="a2"/>
    <w:link w:val="affff3"/>
    <w:rsid w:val="00B64133"/>
    <w:rPr>
      <w:rFonts w:asciiTheme="minorHAnsi"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AE1D9-9C98-4278-9241-8DC45E4F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10</Pages>
  <Words>8472</Words>
  <Characters>1854</Characters>
  <Application>Microsoft Office Word</Application>
  <DocSecurity>0</DocSecurity>
  <Lines>15</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yanjiusuo</dc:creator>
  <cp:keywords/>
  <dc:description/>
  <cp:lastModifiedBy>杨嘉虹</cp:lastModifiedBy>
  <cp:revision>6</cp:revision>
  <cp:lastPrinted>2023-06-08T02:23:00Z</cp:lastPrinted>
  <dcterms:created xsi:type="dcterms:W3CDTF">2022-11-15T10:06:00Z</dcterms:created>
  <dcterms:modified xsi:type="dcterms:W3CDTF">2023-06-15T01:55:00Z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