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56A5" w:rsidRDefault="00CC3FFA">
      <w:pPr>
        <w:jc w:val="center"/>
        <w:rPr>
          <w:rFonts w:ascii="Times New Roman" w:eastAsia="楷体" w:hAnsi="Times New Roman" w:cs="Times New Roman"/>
          <w:b/>
          <w:color w:val="823C0B"/>
          <w:sz w:val="32"/>
          <w:szCs w:val="32"/>
        </w:rPr>
      </w:pPr>
      <w:r>
        <w:rPr>
          <w:rFonts w:ascii="Times New Roman" w:eastAsia="楷体" w:hAnsi="Times New Roman" w:cs="Times New Roman"/>
          <w:b/>
          <w:color w:val="823C0B"/>
          <w:sz w:val="32"/>
          <w:szCs w:val="32"/>
        </w:rPr>
        <w:t>广州期货早间直通车</w:t>
      </w:r>
    </w:p>
    <w:p w:rsidR="003F56A5" w:rsidRDefault="003F56A5">
      <w:pPr>
        <w:jc w:val="right"/>
        <w:rPr>
          <w:rFonts w:ascii="Times New Roman" w:eastAsia="楷体" w:hAnsi="Times New Roman" w:cs="Times New Roman"/>
          <w:b/>
          <w:color w:val="823C0B"/>
          <w:sz w:val="24"/>
        </w:rPr>
      </w:pPr>
    </w:p>
    <w:p w:rsidR="003F56A5" w:rsidRDefault="00CC3FFA">
      <w:pPr>
        <w:jc w:val="center"/>
        <w:rPr>
          <w:rFonts w:ascii="Times New Roman" w:eastAsia="楷体" w:hAnsi="Times New Roman" w:cs="Times New Roman"/>
          <w:b/>
          <w:color w:val="823C0B"/>
          <w:sz w:val="24"/>
        </w:rPr>
      </w:pPr>
      <w:r>
        <w:rPr>
          <w:rFonts w:ascii="Times New Roman" w:eastAsia="楷体" w:hAnsi="Times New Roman" w:cs="Times New Roman"/>
          <w:b/>
          <w:color w:val="823C0B"/>
          <w:sz w:val="24"/>
        </w:rPr>
        <w:t>投资咨询业务资格：证监许可【</w:t>
      </w:r>
      <w:r>
        <w:rPr>
          <w:rFonts w:ascii="Times New Roman" w:eastAsia="楷体" w:hAnsi="Times New Roman" w:cs="Times New Roman"/>
          <w:b/>
          <w:color w:val="823C0B"/>
          <w:sz w:val="24"/>
        </w:rPr>
        <w:t>2012</w:t>
      </w:r>
      <w:r>
        <w:rPr>
          <w:rFonts w:ascii="Times New Roman" w:eastAsia="楷体" w:hAnsi="Times New Roman" w:cs="Times New Roman"/>
          <w:b/>
          <w:color w:val="823C0B"/>
          <w:sz w:val="24"/>
        </w:rPr>
        <w:t>】</w:t>
      </w:r>
      <w:r>
        <w:rPr>
          <w:rFonts w:ascii="Times New Roman" w:eastAsia="楷体" w:hAnsi="Times New Roman" w:cs="Times New Roman"/>
          <w:b/>
          <w:color w:val="823C0B"/>
          <w:sz w:val="24"/>
        </w:rPr>
        <w:t>1497</w:t>
      </w:r>
      <w:r>
        <w:rPr>
          <w:rFonts w:ascii="Times New Roman" w:eastAsia="楷体" w:hAnsi="Times New Roman" w:cs="Times New Roman"/>
          <w:b/>
          <w:color w:val="823C0B"/>
          <w:sz w:val="24"/>
        </w:rPr>
        <w:t>号</w:t>
      </w:r>
    </w:p>
    <w:p w:rsidR="003F56A5" w:rsidRDefault="003F56A5">
      <w:pPr>
        <w:jc w:val="center"/>
        <w:rPr>
          <w:rFonts w:ascii="Times New Roman" w:eastAsia="楷体" w:hAnsi="Times New Roman"/>
          <w:b/>
          <w:color w:val="823C0B"/>
          <w:sz w:val="30"/>
          <w:szCs w:val="30"/>
        </w:rPr>
      </w:pPr>
    </w:p>
    <w:p w:rsidR="003F56A5" w:rsidRDefault="00CC3FFA">
      <w:pPr>
        <w:jc w:val="center"/>
        <w:rPr>
          <w:rFonts w:ascii="Times New Roman" w:eastAsia="楷体" w:hAnsi="Times New Roman"/>
          <w:b/>
        </w:rPr>
      </w:pPr>
      <w:bookmarkStart w:id="0" w:name="_GoBack"/>
      <w:r>
        <w:rPr>
          <w:rFonts w:ascii="Times New Roman" w:eastAsia="楷体" w:hAnsi="Times New Roman" w:hint="eastAsia"/>
          <w:b/>
          <w:color w:val="823C0B"/>
          <w:sz w:val="30"/>
          <w:szCs w:val="30"/>
        </w:rPr>
        <w:t>评论品种一览</w:t>
      </w:r>
    </w:p>
    <w:bookmarkEnd w:id="0" w:displacedByCustomXml="next"/>
    <w:sdt>
      <w:sdtPr>
        <w:rPr>
          <w:rFonts w:asciiTheme="minorHAnsi" w:eastAsia="宋体" w:hAnsiTheme="minorHAnsi" w:cstheme="minorBidi"/>
          <w:b/>
          <w:bCs/>
          <w:color w:val="auto"/>
          <w:kern w:val="2"/>
          <w:sz w:val="21"/>
          <w:szCs w:val="21"/>
          <w:lang w:val="zh-CN"/>
        </w:rPr>
        <w:id w:val="1355533930"/>
        <w:docPartObj>
          <w:docPartGallery w:val="Table of Contents"/>
          <w:docPartUnique/>
        </w:docPartObj>
      </w:sdtPr>
      <w:sdtEndPr/>
      <w:sdtContent>
        <w:p w:rsidR="003F56A5" w:rsidRDefault="003F56A5">
          <w:pPr>
            <w:pStyle w:val="TOC1"/>
            <w:rPr>
              <w:b/>
              <w:bCs/>
            </w:rPr>
          </w:pPr>
        </w:p>
        <w:p w:rsidR="0023093E" w:rsidRDefault="00CC3FFA">
          <w:pPr>
            <w:pStyle w:val="11"/>
            <w:tabs>
              <w:tab w:val="right" w:leader="dot" w:pos="8296"/>
            </w:tabs>
            <w:rPr>
              <w:rFonts w:eastAsiaTheme="minorEastAsia"/>
              <w:noProof/>
              <w:szCs w:val="22"/>
            </w:rPr>
          </w:pPr>
          <w:r>
            <w:rPr>
              <w:b/>
              <w:bCs/>
            </w:rPr>
            <w:fldChar w:fldCharType="begin"/>
          </w:r>
          <w:r>
            <w:rPr>
              <w:b/>
              <w:bCs/>
            </w:rPr>
            <w:instrText xml:space="preserve"> TOC \o "1-3" \n \h \z \u </w:instrText>
          </w:r>
          <w:r>
            <w:rPr>
              <w:b/>
              <w:bCs/>
            </w:rPr>
            <w:fldChar w:fldCharType="separate"/>
          </w:r>
          <w:hyperlink w:anchor="_Toc137112076" w:history="1">
            <w:r w:rsidR="0023093E" w:rsidRPr="00591DE3">
              <w:rPr>
                <w:rStyle w:val="a7"/>
                <w:rFonts w:ascii="Times New Roman" w:eastAsia="楷体" w:hAnsi="Times New Roman"/>
                <w:b/>
                <w:noProof/>
              </w:rPr>
              <w:t>[</w:t>
            </w:r>
            <w:r w:rsidR="0023093E" w:rsidRPr="00591DE3">
              <w:rPr>
                <w:rStyle w:val="a7"/>
                <w:rFonts w:ascii="Times New Roman" w:eastAsia="楷体" w:hAnsi="Times New Roman"/>
                <w:b/>
                <w:noProof/>
              </w:rPr>
              <w:t>金融</w:t>
            </w:r>
            <w:r w:rsidR="0023093E" w:rsidRPr="00591DE3">
              <w:rPr>
                <w:rStyle w:val="a7"/>
                <w:rFonts w:ascii="Times New Roman" w:eastAsia="楷体" w:hAnsi="Times New Roman"/>
                <w:b/>
                <w:noProof/>
              </w:rPr>
              <w:t>]</w:t>
            </w:r>
          </w:hyperlink>
        </w:p>
        <w:p w:rsidR="0023093E" w:rsidRDefault="0023093E">
          <w:pPr>
            <w:pStyle w:val="2"/>
            <w:tabs>
              <w:tab w:val="right" w:leader="dot" w:pos="8296"/>
            </w:tabs>
            <w:rPr>
              <w:rFonts w:eastAsiaTheme="minorEastAsia"/>
              <w:noProof/>
              <w:szCs w:val="22"/>
            </w:rPr>
          </w:pPr>
          <w:hyperlink w:anchor="_Toc137112077" w:history="1">
            <w:r w:rsidRPr="00591DE3">
              <w:rPr>
                <w:rStyle w:val="a7"/>
                <w:rFonts w:ascii="Times New Roman" w:eastAsia="楷体" w:hAnsi="Times New Roman"/>
                <w:b/>
                <w:noProof/>
              </w:rPr>
              <w:t>股指：关注</w:t>
            </w:r>
            <w:r w:rsidRPr="00591DE3">
              <w:rPr>
                <w:rStyle w:val="a7"/>
                <w:rFonts w:ascii="Times New Roman" w:eastAsia="楷体" w:hAnsi="Times New Roman"/>
                <w:b/>
                <w:noProof/>
              </w:rPr>
              <w:t>IM</w:t>
            </w:r>
            <w:r w:rsidRPr="00591DE3">
              <w:rPr>
                <w:rStyle w:val="a7"/>
                <w:rFonts w:ascii="Times New Roman" w:eastAsia="楷体" w:hAnsi="Times New Roman"/>
                <w:b/>
                <w:noProof/>
              </w:rPr>
              <w:t>低多机会</w:t>
            </w:r>
          </w:hyperlink>
        </w:p>
        <w:p w:rsidR="0023093E" w:rsidRDefault="0023093E">
          <w:pPr>
            <w:pStyle w:val="11"/>
            <w:tabs>
              <w:tab w:val="right" w:leader="dot" w:pos="8296"/>
            </w:tabs>
            <w:rPr>
              <w:rFonts w:eastAsiaTheme="minorEastAsia"/>
              <w:noProof/>
              <w:szCs w:val="22"/>
            </w:rPr>
          </w:pPr>
          <w:hyperlink w:anchor="_Toc137112078" w:history="1">
            <w:r w:rsidRPr="00591DE3">
              <w:rPr>
                <w:rStyle w:val="a7"/>
                <w:rFonts w:ascii="Times New Roman" w:eastAsia="楷体" w:hAnsi="Times New Roman"/>
                <w:b/>
                <w:noProof/>
              </w:rPr>
              <w:t>[</w:t>
            </w:r>
            <w:r w:rsidRPr="00591DE3">
              <w:rPr>
                <w:rStyle w:val="a7"/>
                <w:rFonts w:ascii="Times New Roman" w:eastAsia="楷体" w:hAnsi="Times New Roman"/>
                <w:b/>
                <w:noProof/>
              </w:rPr>
              <w:t>贵金属</w:t>
            </w:r>
            <w:r w:rsidRPr="00591DE3">
              <w:rPr>
                <w:rStyle w:val="a7"/>
                <w:rFonts w:ascii="Times New Roman" w:eastAsia="楷体" w:hAnsi="Times New Roman"/>
                <w:b/>
                <w:noProof/>
              </w:rPr>
              <w:t>]</w:t>
            </w:r>
          </w:hyperlink>
        </w:p>
        <w:p w:rsidR="0023093E" w:rsidRDefault="0023093E">
          <w:pPr>
            <w:pStyle w:val="2"/>
            <w:tabs>
              <w:tab w:val="right" w:leader="dot" w:pos="8296"/>
            </w:tabs>
            <w:rPr>
              <w:rFonts w:eastAsiaTheme="minorEastAsia"/>
              <w:noProof/>
              <w:szCs w:val="22"/>
            </w:rPr>
          </w:pPr>
          <w:hyperlink w:anchor="_Toc137112079" w:history="1">
            <w:r w:rsidRPr="00591DE3">
              <w:rPr>
                <w:rStyle w:val="a7"/>
                <w:rFonts w:ascii="Times New Roman" w:eastAsia="楷体" w:hAnsi="Times New Roman"/>
                <w:b/>
                <w:noProof/>
              </w:rPr>
              <w:t>贵金属：央行持续增持黄金，贵金属价格区间震荡</w:t>
            </w:r>
          </w:hyperlink>
        </w:p>
        <w:p w:rsidR="0023093E" w:rsidRDefault="0023093E">
          <w:pPr>
            <w:pStyle w:val="11"/>
            <w:tabs>
              <w:tab w:val="right" w:leader="dot" w:pos="8296"/>
            </w:tabs>
            <w:rPr>
              <w:rFonts w:eastAsiaTheme="minorEastAsia"/>
              <w:noProof/>
              <w:szCs w:val="22"/>
            </w:rPr>
          </w:pPr>
          <w:hyperlink w:anchor="_Toc137112080" w:history="1">
            <w:r w:rsidRPr="00591DE3">
              <w:rPr>
                <w:rStyle w:val="a7"/>
                <w:rFonts w:ascii="Times New Roman" w:eastAsia="楷体" w:hAnsi="Times New Roman"/>
                <w:b/>
                <w:noProof/>
              </w:rPr>
              <w:t>[</w:t>
            </w:r>
            <w:r w:rsidRPr="00591DE3">
              <w:rPr>
                <w:rStyle w:val="a7"/>
                <w:rFonts w:ascii="Times New Roman" w:eastAsia="楷体" w:hAnsi="Times New Roman"/>
                <w:b/>
                <w:noProof/>
              </w:rPr>
              <w:t>金属</w:t>
            </w:r>
            <w:r w:rsidRPr="00591DE3">
              <w:rPr>
                <w:rStyle w:val="a7"/>
                <w:rFonts w:ascii="Times New Roman" w:eastAsia="楷体" w:hAnsi="Times New Roman"/>
                <w:b/>
                <w:noProof/>
              </w:rPr>
              <w:t>]</w:t>
            </w:r>
          </w:hyperlink>
        </w:p>
        <w:p w:rsidR="0023093E" w:rsidRDefault="0023093E">
          <w:pPr>
            <w:pStyle w:val="2"/>
            <w:tabs>
              <w:tab w:val="right" w:leader="dot" w:pos="8296"/>
            </w:tabs>
            <w:rPr>
              <w:rFonts w:eastAsiaTheme="minorEastAsia"/>
              <w:noProof/>
              <w:szCs w:val="22"/>
            </w:rPr>
          </w:pPr>
          <w:hyperlink w:anchor="_Toc137112081" w:history="1">
            <w:r w:rsidRPr="00591DE3">
              <w:rPr>
                <w:rStyle w:val="a7"/>
                <w:rFonts w:ascii="楷体" w:eastAsia="楷体" w:hAnsi="楷体"/>
                <w:b/>
                <w:noProof/>
              </w:rPr>
              <w:t>螺纹钢：市场风格切换较快，日内波动为主</w:t>
            </w:r>
          </w:hyperlink>
        </w:p>
        <w:p w:rsidR="0023093E" w:rsidRDefault="0023093E">
          <w:pPr>
            <w:pStyle w:val="2"/>
            <w:tabs>
              <w:tab w:val="right" w:leader="dot" w:pos="8296"/>
            </w:tabs>
            <w:rPr>
              <w:rFonts w:eastAsiaTheme="minorEastAsia"/>
              <w:noProof/>
              <w:szCs w:val="22"/>
            </w:rPr>
          </w:pPr>
          <w:hyperlink w:anchor="_Toc137112082" w:history="1">
            <w:r w:rsidRPr="00591DE3">
              <w:rPr>
                <w:rStyle w:val="a7"/>
                <w:rFonts w:ascii="楷体" w:eastAsia="楷体" w:hAnsi="楷体"/>
                <w:b/>
                <w:noProof/>
              </w:rPr>
              <w:t>焦炭：复产预期下，偏强震荡</w:t>
            </w:r>
          </w:hyperlink>
        </w:p>
        <w:p w:rsidR="0023093E" w:rsidRDefault="0023093E">
          <w:pPr>
            <w:pStyle w:val="2"/>
            <w:tabs>
              <w:tab w:val="right" w:leader="dot" w:pos="8296"/>
            </w:tabs>
            <w:rPr>
              <w:rFonts w:eastAsiaTheme="minorEastAsia"/>
              <w:noProof/>
              <w:szCs w:val="22"/>
            </w:rPr>
          </w:pPr>
          <w:hyperlink w:anchor="_Toc137112083" w:history="1">
            <w:r w:rsidRPr="00591DE3">
              <w:rPr>
                <w:rStyle w:val="a7"/>
                <w:rFonts w:ascii="楷体" w:eastAsia="楷体" w:hAnsi="楷体"/>
                <w:b/>
                <w:noProof/>
              </w:rPr>
              <w:t>焦煤：现货偏稳，盘面随情绪波动</w:t>
            </w:r>
          </w:hyperlink>
        </w:p>
        <w:p w:rsidR="0023093E" w:rsidRDefault="0023093E">
          <w:pPr>
            <w:pStyle w:val="2"/>
            <w:tabs>
              <w:tab w:val="right" w:leader="dot" w:pos="8296"/>
            </w:tabs>
            <w:rPr>
              <w:rFonts w:eastAsiaTheme="minorEastAsia"/>
              <w:noProof/>
              <w:szCs w:val="22"/>
            </w:rPr>
          </w:pPr>
          <w:hyperlink w:anchor="_Toc137112084" w:history="1">
            <w:r w:rsidRPr="00591DE3">
              <w:rPr>
                <w:rStyle w:val="a7"/>
                <w:rFonts w:ascii="楷体" w:eastAsia="楷体" w:hAnsi="楷体"/>
                <w:b/>
                <w:noProof/>
              </w:rPr>
              <w:t>铜：继续上行压力加大</w:t>
            </w:r>
          </w:hyperlink>
        </w:p>
        <w:p w:rsidR="0023093E" w:rsidRDefault="0023093E">
          <w:pPr>
            <w:pStyle w:val="2"/>
            <w:tabs>
              <w:tab w:val="right" w:leader="dot" w:pos="8296"/>
            </w:tabs>
            <w:rPr>
              <w:rFonts w:eastAsiaTheme="minorEastAsia"/>
              <w:noProof/>
              <w:szCs w:val="22"/>
            </w:rPr>
          </w:pPr>
          <w:hyperlink w:anchor="_Toc137112085" w:history="1">
            <w:r w:rsidRPr="00591DE3">
              <w:rPr>
                <w:rStyle w:val="a7"/>
                <w:rFonts w:ascii="楷体" w:eastAsia="楷体" w:hAnsi="楷体"/>
                <w:b/>
                <w:noProof/>
              </w:rPr>
              <w:t>铝：宏观情绪刺激价格走升，基本面供强需弱建议偏空对待</w:t>
            </w:r>
          </w:hyperlink>
        </w:p>
        <w:p w:rsidR="0023093E" w:rsidRDefault="0023093E">
          <w:pPr>
            <w:pStyle w:val="2"/>
            <w:tabs>
              <w:tab w:val="right" w:leader="dot" w:pos="8296"/>
            </w:tabs>
            <w:rPr>
              <w:rFonts w:eastAsiaTheme="minorEastAsia"/>
              <w:noProof/>
              <w:szCs w:val="22"/>
            </w:rPr>
          </w:pPr>
          <w:hyperlink w:anchor="_Toc137112086" w:history="1">
            <w:r w:rsidRPr="00591DE3">
              <w:rPr>
                <w:rStyle w:val="a7"/>
                <w:rFonts w:ascii="楷体" w:eastAsia="楷体" w:hAnsi="楷体"/>
                <w:b/>
                <w:noProof/>
              </w:rPr>
              <w:t>锌：锌价快速下跌后企稳反弹，建议先观望为主</w:t>
            </w:r>
          </w:hyperlink>
        </w:p>
        <w:p w:rsidR="0023093E" w:rsidRDefault="0023093E">
          <w:pPr>
            <w:pStyle w:val="2"/>
            <w:tabs>
              <w:tab w:val="right" w:leader="dot" w:pos="8296"/>
            </w:tabs>
            <w:rPr>
              <w:rFonts w:eastAsiaTheme="minorEastAsia"/>
              <w:noProof/>
              <w:szCs w:val="22"/>
            </w:rPr>
          </w:pPr>
          <w:hyperlink w:anchor="_Toc137112087" w:history="1">
            <w:r w:rsidRPr="00591DE3">
              <w:rPr>
                <w:rStyle w:val="a7"/>
                <w:rFonts w:ascii="楷体" w:eastAsia="楷体" w:hAnsi="楷体"/>
                <w:b/>
                <w:noProof/>
              </w:rPr>
              <w:t>镍：下行趋势未变，维持反弹后逢高空思路</w:t>
            </w:r>
          </w:hyperlink>
        </w:p>
        <w:p w:rsidR="0023093E" w:rsidRDefault="0023093E">
          <w:pPr>
            <w:pStyle w:val="2"/>
            <w:tabs>
              <w:tab w:val="right" w:leader="dot" w:pos="8296"/>
            </w:tabs>
            <w:rPr>
              <w:rFonts w:eastAsiaTheme="minorEastAsia"/>
              <w:noProof/>
              <w:szCs w:val="22"/>
            </w:rPr>
          </w:pPr>
          <w:hyperlink w:anchor="_Toc137112088" w:history="1">
            <w:r w:rsidRPr="00591DE3">
              <w:rPr>
                <w:rStyle w:val="a7"/>
                <w:rFonts w:ascii="楷体" w:eastAsia="楷体" w:hAnsi="楷体"/>
                <w:b/>
                <w:noProof/>
              </w:rPr>
              <w:t>铅：铅价维持区间震荡</w:t>
            </w:r>
          </w:hyperlink>
        </w:p>
        <w:p w:rsidR="0023093E" w:rsidRDefault="0023093E">
          <w:pPr>
            <w:pStyle w:val="2"/>
            <w:tabs>
              <w:tab w:val="right" w:leader="dot" w:pos="8296"/>
            </w:tabs>
            <w:rPr>
              <w:rFonts w:eastAsiaTheme="minorEastAsia"/>
              <w:noProof/>
              <w:szCs w:val="22"/>
            </w:rPr>
          </w:pPr>
          <w:hyperlink w:anchor="_Toc137112089" w:history="1">
            <w:r w:rsidRPr="00591DE3">
              <w:rPr>
                <w:rStyle w:val="a7"/>
                <w:rFonts w:ascii="楷体" w:eastAsia="楷体" w:hAnsi="楷体"/>
                <w:b/>
                <w:noProof/>
              </w:rPr>
              <w:t>不锈钢：压力位附近逢高试空</w:t>
            </w:r>
          </w:hyperlink>
        </w:p>
        <w:p w:rsidR="0023093E" w:rsidRDefault="0023093E">
          <w:pPr>
            <w:pStyle w:val="2"/>
            <w:tabs>
              <w:tab w:val="right" w:leader="dot" w:pos="8296"/>
            </w:tabs>
            <w:rPr>
              <w:rFonts w:eastAsiaTheme="minorEastAsia"/>
              <w:noProof/>
              <w:szCs w:val="22"/>
            </w:rPr>
          </w:pPr>
          <w:hyperlink w:anchor="_Toc137112090" w:history="1">
            <w:r w:rsidRPr="00591DE3">
              <w:rPr>
                <w:rStyle w:val="a7"/>
                <w:rFonts w:ascii="楷体" w:eastAsia="楷体" w:hAnsi="楷体"/>
                <w:b/>
                <w:noProof/>
              </w:rPr>
              <w:t>工业硅：供需格局偏宽松，市场或仍将承压运行</w:t>
            </w:r>
          </w:hyperlink>
        </w:p>
        <w:p w:rsidR="0023093E" w:rsidRDefault="0023093E">
          <w:pPr>
            <w:pStyle w:val="11"/>
            <w:tabs>
              <w:tab w:val="right" w:leader="dot" w:pos="8296"/>
            </w:tabs>
            <w:rPr>
              <w:rFonts w:eastAsiaTheme="minorEastAsia"/>
              <w:noProof/>
              <w:szCs w:val="22"/>
            </w:rPr>
          </w:pPr>
          <w:hyperlink w:anchor="_Toc137112091" w:history="1">
            <w:r w:rsidRPr="00591DE3">
              <w:rPr>
                <w:rStyle w:val="a7"/>
                <w:rFonts w:ascii="Times New Roman" w:eastAsia="楷体" w:hAnsi="Times New Roman"/>
                <w:b/>
                <w:noProof/>
              </w:rPr>
              <w:t>[</w:t>
            </w:r>
            <w:r w:rsidRPr="00591DE3">
              <w:rPr>
                <w:rStyle w:val="a7"/>
                <w:rFonts w:ascii="Times New Roman" w:eastAsia="楷体" w:hAnsi="Times New Roman"/>
                <w:b/>
                <w:noProof/>
              </w:rPr>
              <w:t>化工</w:t>
            </w:r>
            <w:r w:rsidRPr="00591DE3">
              <w:rPr>
                <w:rStyle w:val="a7"/>
                <w:rFonts w:ascii="Times New Roman" w:eastAsia="楷体" w:hAnsi="Times New Roman"/>
                <w:b/>
                <w:noProof/>
              </w:rPr>
              <w:t>]</w:t>
            </w:r>
          </w:hyperlink>
        </w:p>
        <w:p w:rsidR="0023093E" w:rsidRDefault="0023093E">
          <w:pPr>
            <w:pStyle w:val="2"/>
            <w:tabs>
              <w:tab w:val="right" w:leader="dot" w:pos="8296"/>
            </w:tabs>
            <w:rPr>
              <w:rFonts w:eastAsiaTheme="minorEastAsia"/>
              <w:noProof/>
              <w:szCs w:val="22"/>
            </w:rPr>
          </w:pPr>
          <w:hyperlink w:anchor="_Toc137112092" w:history="1">
            <w:r w:rsidRPr="00591DE3">
              <w:rPr>
                <w:rStyle w:val="a7"/>
                <w:rFonts w:ascii="Times New Roman" w:eastAsia="楷体" w:hAnsi="Times New Roman"/>
                <w:b/>
                <w:noProof/>
              </w:rPr>
              <w:t>天然橡胶</w:t>
            </w:r>
            <w:r w:rsidRPr="00591DE3">
              <w:rPr>
                <w:rStyle w:val="a7"/>
                <w:rFonts w:ascii="Times New Roman" w:eastAsia="楷体" w:hAnsi="Times New Roman"/>
                <w:b/>
                <w:noProof/>
              </w:rPr>
              <w:t>:</w:t>
            </w:r>
            <w:r w:rsidRPr="00591DE3">
              <w:rPr>
                <w:rStyle w:val="a7"/>
                <w:rFonts w:ascii="楷体" w:eastAsia="楷体" w:hAnsi="楷体"/>
                <w:b/>
                <w:noProof/>
              </w:rPr>
              <w:t xml:space="preserve"> 港口库存去库前，RU维持低位震荡</w:t>
            </w:r>
          </w:hyperlink>
        </w:p>
        <w:p w:rsidR="0023093E" w:rsidRDefault="0023093E">
          <w:pPr>
            <w:pStyle w:val="2"/>
            <w:tabs>
              <w:tab w:val="right" w:leader="dot" w:pos="8296"/>
            </w:tabs>
            <w:rPr>
              <w:rFonts w:eastAsiaTheme="minorEastAsia"/>
              <w:noProof/>
              <w:szCs w:val="22"/>
            </w:rPr>
          </w:pPr>
          <w:hyperlink w:anchor="_Toc137112093" w:history="1">
            <w:r w:rsidRPr="00591DE3">
              <w:rPr>
                <w:rStyle w:val="a7"/>
                <w:rFonts w:ascii="楷体" w:eastAsia="楷体" w:hAnsi="楷体"/>
                <w:b/>
                <w:noProof/>
              </w:rPr>
              <w:t>PTA：反弹空间有限 关注上方压力位</w:t>
            </w:r>
          </w:hyperlink>
        </w:p>
        <w:p w:rsidR="0023093E" w:rsidRDefault="0023093E">
          <w:pPr>
            <w:pStyle w:val="2"/>
            <w:tabs>
              <w:tab w:val="right" w:leader="dot" w:pos="8296"/>
            </w:tabs>
            <w:rPr>
              <w:rFonts w:eastAsiaTheme="minorEastAsia"/>
              <w:noProof/>
              <w:szCs w:val="22"/>
            </w:rPr>
          </w:pPr>
          <w:hyperlink w:anchor="_Toc137112094" w:history="1">
            <w:r w:rsidRPr="00591DE3">
              <w:rPr>
                <w:rStyle w:val="a7"/>
                <w:rFonts w:ascii="楷体" w:eastAsia="楷体" w:hAnsi="楷体"/>
                <w:b/>
                <w:noProof/>
              </w:rPr>
              <w:t>PVC：高库存+弱复苏 驱动不足</w:t>
            </w:r>
          </w:hyperlink>
        </w:p>
        <w:p w:rsidR="0023093E" w:rsidRDefault="0023093E">
          <w:pPr>
            <w:pStyle w:val="2"/>
            <w:tabs>
              <w:tab w:val="right" w:leader="dot" w:pos="8296"/>
            </w:tabs>
            <w:rPr>
              <w:rFonts w:eastAsiaTheme="minorEastAsia"/>
              <w:noProof/>
              <w:szCs w:val="22"/>
            </w:rPr>
          </w:pPr>
          <w:hyperlink w:anchor="_Toc137112095" w:history="1">
            <w:r w:rsidRPr="00591DE3">
              <w:rPr>
                <w:rStyle w:val="a7"/>
                <w:rFonts w:ascii="楷体" w:eastAsia="楷体" w:hAnsi="楷体"/>
                <w:b/>
                <w:noProof/>
              </w:rPr>
              <w:t>聚烯烃：下游需求未见好转，聚烯烃或偏弱整理</w:t>
            </w:r>
          </w:hyperlink>
        </w:p>
        <w:p w:rsidR="0023093E" w:rsidRDefault="0023093E">
          <w:pPr>
            <w:pStyle w:val="2"/>
            <w:tabs>
              <w:tab w:val="right" w:leader="dot" w:pos="8296"/>
            </w:tabs>
            <w:rPr>
              <w:rFonts w:eastAsiaTheme="minorEastAsia"/>
              <w:noProof/>
              <w:szCs w:val="22"/>
            </w:rPr>
          </w:pPr>
          <w:hyperlink w:anchor="_Toc137112096" w:history="1">
            <w:r w:rsidRPr="00591DE3">
              <w:rPr>
                <w:rStyle w:val="a7"/>
                <w:rFonts w:ascii="楷体" w:eastAsia="楷体" w:hAnsi="楷体"/>
                <w:b/>
                <w:noProof/>
              </w:rPr>
              <w:t>MEG：成本端煤、乙烯大幅走低估值重心下移</w:t>
            </w:r>
          </w:hyperlink>
        </w:p>
        <w:p w:rsidR="0023093E" w:rsidRDefault="0023093E">
          <w:pPr>
            <w:pStyle w:val="2"/>
            <w:tabs>
              <w:tab w:val="right" w:leader="dot" w:pos="8296"/>
            </w:tabs>
            <w:rPr>
              <w:rFonts w:eastAsiaTheme="minorEastAsia"/>
              <w:noProof/>
              <w:szCs w:val="22"/>
            </w:rPr>
          </w:pPr>
          <w:hyperlink w:anchor="_Toc137112097" w:history="1">
            <w:r w:rsidRPr="00591DE3">
              <w:rPr>
                <w:rStyle w:val="a7"/>
                <w:rFonts w:ascii="楷体" w:eastAsia="楷体" w:hAnsi="楷体"/>
                <w:b/>
                <w:noProof/>
              </w:rPr>
              <w:t>玻璃：需求偏弱，短期继续围绕政策预期博弈</w:t>
            </w:r>
          </w:hyperlink>
        </w:p>
        <w:p w:rsidR="0023093E" w:rsidRDefault="0023093E">
          <w:pPr>
            <w:pStyle w:val="2"/>
            <w:tabs>
              <w:tab w:val="right" w:leader="dot" w:pos="8296"/>
            </w:tabs>
            <w:rPr>
              <w:rFonts w:eastAsiaTheme="minorEastAsia"/>
              <w:noProof/>
              <w:szCs w:val="22"/>
            </w:rPr>
          </w:pPr>
          <w:hyperlink w:anchor="_Toc137112098" w:history="1">
            <w:r w:rsidRPr="00591DE3">
              <w:rPr>
                <w:rStyle w:val="a7"/>
                <w:rFonts w:ascii="楷体" w:eastAsia="楷体" w:hAnsi="楷体"/>
                <w:b/>
                <w:noProof/>
              </w:rPr>
              <w:t>纯碱：基本面变化不大，维持震荡走势</w:t>
            </w:r>
          </w:hyperlink>
        </w:p>
        <w:p w:rsidR="0023093E" w:rsidRDefault="0023093E">
          <w:pPr>
            <w:pStyle w:val="11"/>
            <w:tabs>
              <w:tab w:val="right" w:leader="dot" w:pos="8296"/>
            </w:tabs>
            <w:rPr>
              <w:rFonts w:eastAsiaTheme="minorEastAsia"/>
              <w:noProof/>
              <w:szCs w:val="22"/>
            </w:rPr>
          </w:pPr>
          <w:hyperlink w:anchor="_Toc137112099" w:history="1">
            <w:r w:rsidRPr="00591DE3">
              <w:rPr>
                <w:rStyle w:val="a7"/>
                <w:rFonts w:ascii="Times New Roman" w:eastAsia="楷体" w:hAnsi="Times New Roman"/>
                <w:b/>
                <w:noProof/>
              </w:rPr>
              <w:t>[</w:t>
            </w:r>
            <w:r w:rsidRPr="00591DE3">
              <w:rPr>
                <w:rStyle w:val="a7"/>
                <w:rFonts w:ascii="Times New Roman" w:eastAsia="楷体" w:hAnsi="Times New Roman"/>
                <w:b/>
                <w:noProof/>
              </w:rPr>
              <w:t>农产品</w:t>
            </w:r>
            <w:r w:rsidRPr="00591DE3">
              <w:rPr>
                <w:rStyle w:val="a7"/>
                <w:rFonts w:ascii="Times New Roman" w:eastAsia="楷体" w:hAnsi="Times New Roman"/>
                <w:b/>
                <w:noProof/>
              </w:rPr>
              <w:t>]</w:t>
            </w:r>
          </w:hyperlink>
        </w:p>
        <w:p w:rsidR="0023093E" w:rsidRDefault="0023093E">
          <w:pPr>
            <w:pStyle w:val="2"/>
            <w:tabs>
              <w:tab w:val="right" w:leader="dot" w:pos="8296"/>
            </w:tabs>
            <w:rPr>
              <w:rFonts w:eastAsiaTheme="minorEastAsia"/>
              <w:noProof/>
              <w:szCs w:val="22"/>
            </w:rPr>
          </w:pPr>
          <w:hyperlink w:anchor="_Toc137112100" w:history="1">
            <w:r w:rsidRPr="00591DE3">
              <w:rPr>
                <w:rStyle w:val="a7"/>
                <w:rFonts w:ascii="楷体" w:eastAsia="楷体" w:hAnsi="楷体"/>
                <w:b/>
                <w:noProof/>
              </w:rPr>
              <w:t>豆粕/菜粕：延续区间震荡</w:t>
            </w:r>
          </w:hyperlink>
        </w:p>
        <w:p w:rsidR="0023093E" w:rsidRDefault="0023093E">
          <w:pPr>
            <w:pStyle w:val="2"/>
            <w:tabs>
              <w:tab w:val="right" w:leader="dot" w:pos="8296"/>
            </w:tabs>
            <w:rPr>
              <w:rFonts w:eastAsiaTheme="minorEastAsia"/>
              <w:noProof/>
              <w:szCs w:val="22"/>
            </w:rPr>
          </w:pPr>
          <w:hyperlink w:anchor="_Toc137112101" w:history="1">
            <w:r w:rsidRPr="00591DE3">
              <w:rPr>
                <w:rStyle w:val="a7"/>
                <w:rFonts w:ascii="楷体" w:eastAsia="楷体" w:hAnsi="楷体"/>
                <w:b/>
                <w:noProof/>
              </w:rPr>
              <w:t>油脂：缺乏驱动，反弹乏力</w:t>
            </w:r>
          </w:hyperlink>
        </w:p>
        <w:p w:rsidR="0023093E" w:rsidRDefault="0023093E">
          <w:pPr>
            <w:pStyle w:val="2"/>
            <w:tabs>
              <w:tab w:val="right" w:leader="dot" w:pos="8296"/>
            </w:tabs>
            <w:rPr>
              <w:rFonts w:eastAsiaTheme="minorEastAsia"/>
              <w:noProof/>
              <w:szCs w:val="22"/>
            </w:rPr>
          </w:pPr>
          <w:hyperlink w:anchor="_Toc137112102" w:history="1">
            <w:r w:rsidRPr="00591DE3">
              <w:rPr>
                <w:rStyle w:val="a7"/>
                <w:rFonts w:ascii="楷体" w:eastAsia="楷体" w:hAnsi="楷体"/>
                <w:b/>
                <w:bCs/>
                <w:noProof/>
              </w:rPr>
              <w:t>玉米与淀粉：</w:t>
            </w:r>
            <w:r w:rsidRPr="00591DE3">
              <w:rPr>
                <w:rStyle w:val="a7"/>
                <w:rFonts w:ascii="楷体" w:eastAsia="楷体" w:hAnsi="楷体"/>
                <w:b/>
                <w:noProof/>
              </w:rPr>
              <w:t>期价震荡调整等待小麦压力释放</w:t>
            </w:r>
          </w:hyperlink>
        </w:p>
        <w:p w:rsidR="0023093E" w:rsidRDefault="0023093E">
          <w:pPr>
            <w:pStyle w:val="2"/>
            <w:tabs>
              <w:tab w:val="right" w:leader="dot" w:pos="8296"/>
            </w:tabs>
            <w:rPr>
              <w:rFonts w:eastAsiaTheme="minorEastAsia"/>
              <w:noProof/>
              <w:szCs w:val="22"/>
            </w:rPr>
          </w:pPr>
          <w:hyperlink w:anchor="_Toc137112103" w:history="1">
            <w:r w:rsidRPr="00591DE3">
              <w:rPr>
                <w:rStyle w:val="a7"/>
                <w:rFonts w:ascii="楷体" w:eastAsia="楷体" w:hAnsi="楷体"/>
                <w:b/>
                <w:bCs/>
                <w:noProof/>
              </w:rPr>
              <w:t>畜禽养殖：鸡蛋期价窄幅震荡</w:t>
            </w:r>
          </w:hyperlink>
        </w:p>
        <w:p w:rsidR="0023093E" w:rsidRDefault="0023093E">
          <w:pPr>
            <w:pStyle w:val="2"/>
            <w:tabs>
              <w:tab w:val="right" w:leader="dot" w:pos="8296"/>
            </w:tabs>
            <w:rPr>
              <w:rFonts w:eastAsiaTheme="minorEastAsia"/>
              <w:noProof/>
              <w:szCs w:val="22"/>
            </w:rPr>
          </w:pPr>
          <w:hyperlink w:anchor="_Toc137112104" w:history="1">
            <w:r w:rsidRPr="00591DE3">
              <w:rPr>
                <w:rStyle w:val="a7"/>
                <w:rFonts w:ascii="楷体" w:eastAsia="楷体" w:hAnsi="楷体"/>
                <w:b/>
                <w:noProof/>
              </w:rPr>
              <w:t>郑棉：预计09合约震荡整理，反套持有</w:t>
            </w:r>
          </w:hyperlink>
        </w:p>
        <w:p w:rsidR="003F56A5" w:rsidRPr="008F2A6E" w:rsidRDefault="00CC3FFA">
          <w:r>
            <w:rPr>
              <w:bCs/>
            </w:rPr>
            <w:fldChar w:fldCharType="end"/>
          </w:r>
        </w:p>
      </w:sdtContent>
    </w:sdt>
    <w:p w:rsidR="003F56A5" w:rsidRDefault="003F56A5">
      <w:pPr>
        <w:rPr>
          <w:rFonts w:ascii="Times New Roman" w:eastAsia="楷体" w:hAnsi="Times New Roman" w:cs="Times New Roman"/>
          <w:b/>
          <w:color w:val="823C0B"/>
          <w:sz w:val="24"/>
        </w:rPr>
      </w:pPr>
    </w:p>
    <w:p w:rsidR="003F56A5" w:rsidRDefault="003F56A5">
      <w:pPr>
        <w:rPr>
          <w:rFonts w:ascii="Times New Roman" w:eastAsia="楷体" w:hAnsi="Times New Roman" w:cs="Times New Roman"/>
          <w:b/>
          <w:color w:val="823C0B"/>
          <w:sz w:val="24"/>
        </w:rPr>
      </w:pPr>
    </w:p>
    <w:p w:rsidR="003F56A5" w:rsidRDefault="00CC3FFA">
      <w:pPr>
        <w:rPr>
          <w:rFonts w:ascii="Times New Roman" w:eastAsia="楷体" w:hAnsi="Times New Roman" w:cs="Times New Roman"/>
          <w:b/>
          <w:color w:val="823C0B"/>
          <w:sz w:val="24"/>
        </w:rPr>
        <w:sectPr w:rsidR="003F56A5">
          <w:headerReference w:type="default" r:id="rId8"/>
          <w:footerReference w:type="default" r:id="rId9"/>
          <w:headerReference w:type="first" r:id="rId10"/>
          <w:pgSz w:w="11906" w:h="16838"/>
          <w:pgMar w:top="1440" w:right="1800" w:bottom="1440" w:left="1800" w:header="850" w:footer="1077" w:gutter="0"/>
          <w:cols w:space="425"/>
          <w:titlePg/>
          <w:docGrid w:type="lines" w:linePitch="312"/>
        </w:sectPr>
      </w:pPr>
      <w:r>
        <w:rPr>
          <w:rFonts w:ascii="Times New Roman" w:eastAsia="楷体" w:hAnsi="Times New Roman" w:cs="Times New Roman" w:hint="eastAsia"/>
          <w:b/>
          <w:color w:val="823C0B"/>
          <w:sz w:val="24"/>
        </w:rPr>
        <w:t>本文观点、结论和建议等仅供参考，并不构成操作依据！请阅读文末免责声明。</w:t>
      </w:r>
    </w:p>
    <w:p w:rsidR="003F56A5" w:rsidRDefault="003F56A5">
      <w:pPr>
        <w:rPr>
          <w:rFonts w:ascii="Times New Roman" w:eastAsia="楷体" w:hAnsi="Times New Roman" w:cs="Times New Roman"/>
          <w:b/>
          <w:color w:val="823C0B"/>
          <w:sz w:val="24"/>
        </w:rPr>
      </w:pPr>
    </w:p>
    <w:p w:rsidR="003F56A5" w:rsidRDefault="00CC3FFA">
      <w:pPr>
        <w:jc w:val="center"/>
        <w:rPr>
          <w:rFonts w:ascii="Times New Roman" w:eastAsia="楷体" w:hAnsi="Times New Roman"/>
          <w:b/>
          <w:color w:val="823C0B"/>
          <w:sz w:val="30"/>
          <w:szCs w:val="30"/>
        </w:rPr>
      </w:pPr>
      <w:r>
        <w:rPr>
          <w:rFonts w:ascii="Times New Roman" w:eastAsia="楷体" w:hAnsi="Times New Roman" w:hint="eastAsia"/>
          <w:b/>
          <w:color w:val="823C0B"/>
          <w:sz w:val="30"/>
          <w:szCs w:val="30"/>
        </w:rPr>
        <w:t>本日早评</w:t>
      </w:r>
    </w:p>
    <w:p w:rsidR="003F56A5" w:rsidRDefault="00CC3FFA">
      <w:pPr>
        <w:pBdr>
          <w:top w:val="single" w:sz="4" w:space="0" w:color="auto"/>
        </w:pBdr>
        <w:outlineLvl w:val="0"/>
        <w:rPr>
          <w:rFonts w:ascii="Times New Roman" w:eastAsia="楷体" w:hAnsi="Times New Roman"/>
          <w:b/>
          <w:color w:val="823C0B"/>
        </w:rPr>
      </w:pPr>
      <w:bookmarkStart w:id="1" w:name="_Toc19317"/>
      <w:bookmarkStart w:id="2" w:name="_Toc18033"/>
      <w:bookmarkStart w:id="3" w:name="金融"/>
      <w:bookmarkStart w:id="4" w:name="_Toc137112076"/>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金融</w:t>
      </w:r>
      <w:r>
        <w:rPr>
          <w:rFonts w:ascii="Times New Roman" w:eastAsia="楷体" w:hAnsi="Times New Roman" w:hint="eastAsia"/>
          <w:b/>
          <w:color w:val="823C0B"/>
          <w:sz w:val="30"/>
          <w:szCs w:val="30"/>
        </w:rPr>
        <w:t>]</w:t>
      </w:r>
      <w:bookmarkEnd w:id="1"/>
      <w:bookmarkEnd w:id="2"/>
      <w:bookmarkEnd w:id="4"/>
    </w:p>
    <w:p w:rsidR="003F56A5" w:rsidRDefault="00CC3FFA">
      <w:pPr>
        <w:ind w:leftChars="200" w:left="420"/>
        <w:outlineLvl w:val="1"/>
        <w:rPr>
          <w:rFonts w:ascii="Times New Roman" w:eastAsia="楷体" w:hAnsi="Times New Roman"/>
          <w:b/>
          <w:color w:val="000000" w:themeColor="text1"/>
          <w:sz w:val="24"/>
          <w:szCs w:val="24"/>
        </w:rPr>
      </w:pPr>
      <w:bookmarkStart w:id="5" w:name="_Toc965"/>
      <w:bookmarkStart w:id="6" w:name="_Toc16295"/>
      <w:bookmarkStart w:id="7" w:name="_Toc137112077"/>
      <w:bookmarkEnd w:id="3"/>
      <w:r>
        <w:rPr>
          <w:rFonts w:ascii="Times New Roman" w:eastAsia="楷体" w:hAnsi="Times New Roman" w:hint="eastAsia"/>
          <w:b/>
          <w:color w:val="000000" w:themeColor="text1"/>
          <w:sz w:val="24"/>
          <w:szCs w:val="24"/>
        </w:rPr>
        <w:t>股指：</w:t>
      </w:r>
      <w:bookmarkEnd w:id="5"/>
      <w:bookmarkEnd w:id="6"/>
      <w:r w:rsidR="00127803" w:rsidRPr="00127803">
        <w:rPr>
          <w:rFonts w:ascii="Times New Roman" w:eastAsia="楷体" w:hAnsi="Times New Roman" w:hint="eastAsia"/>
          <w:b/>
          <w:color w:val="000000" w:themeColor="text1"/>
          <w:sz w:val="24"/>
          <w:szCs w:val="24"/>
        </w:rPr>
        <w:t>关注</w:t>
      </w:r>
      <w:r w:rsidR="00127803" w:rsidRPr="00127803">
        <w:rPr>
          <w:rFonts w:ascii="Times New Roman" w:eastAsia="楷体" w:hAnsi="Times New Roman" w:hint="eastAsia"/>
          <w:b/>
          <w:color w:val="000000" w:themeColor="text1"/>
          <w:sz w:val="24"/>
          <w:szCs w:val="24"/>
        </w:rPr>
        <w:t>IM</w:t>
      </w:r>
      <w:r w:rsidR="00127803" w:rsidRPr="00127803">
        <w:rPr>
          <w:rFonts w:ascii="Times New Roman" w:eastAsia="楷体" w:hAnsi="Times New Roman" w:hint="eastAsia"/>
          <w:b/>
          <w:color w:val="000000" w:themeColor="text1"/>
          <w:sz w:val="24"/>
          <w:szCs w:val="24"/>
        </w:rPr>
        <w:t>低多机会</w:t>
      </w:r>
      <w:bookmarkEnd w:id="7"/>
    </w:p>
    <w:p w:rsidR="003F56A5" w:rsidRDefault="00127803">
      <w:pPr>
        <w:ind w:leftChars="300" w:left="630"/>
        <w:rPr>
          <w:rFonts w:ascii="Times New Roman" w:eastAsia="楷体" w:hAnsi="Times New Roman"/>
          <w:color w:val="000000" w:themeColor="text1"/>
          <w:sz w:val="24"/>
          <w:szCs w:val="24"/>
        </w:rPr>
      </w:pPr>
      <w:r w:rsidRPr="00127803">
        <w:rPr>
          <w:rFonts w:ascii="Times New Roman" w:eastAsia="楷体" w:hAnsi="Times New Roman" w:hint="eastAsia"/>
          <w:color w:val="000000" w:themeColor="text1"/>
          <w:sz w:val="24"/>
          <w:szCs w:val="24"/>
        </w:rPr>
        <w:t>5</w:t>
      </w:r>
      <w:r w:rsidRPr="00127803">
        <w:rPr>
          <w:rFonts w:ascii="Times New Roman" w:eastAsia="楷体" w:hAnsi="Times New Roman" w:hint="eastAsia"/>
          <w:color w:val="000000" w:themeColor="text1"/>
          <w:sz w:val="24"/>
          <w:szCs w:val="24"/>
        </w:rPr>
        <w:t>月出口数据转弱，大行下调存款利率，市场或开始关注稳增长政策驱动相关板块可能性。技术上，短线沪指继续挑战上方均线压力，前期低点</w:t>
      </w:r>
      <w:r w:rsidRPr="00127803">
        <w:rPr>
          <w:rFonts w:ascii="Times New Roman" w:eastAsia="楷体" w:hAnsi="Times New Roman" w:hint="eastAsia"/>
          <w:color w:val="000000" w:themeColor="text1"/>
          <w:sz w:val="24"/>
          <w:szCs w:val="24"/>
        </w:rPr>
        <w:t>3168</w:t>
      </w:r>
      <w:r w:rsidRPr="00127803">
        <w:rPr>
          <w:rFonts w:ascii="Times New Roman" w:eastAsia="楷体" w:hAnsi="Times New Roman" w:hint="eastAsia"/>
          <w:color w:val="000000" w:themeColor="text1"/>
          <w:sz w:val="24"/>
          <w:szCs w:val="24"/>
        </w:rPr>
        <w:t>点附近支撑，关注</w:t>
      </w:r>
      <w:r w:rsidRPr="00127803">
        <w:rPr>
          <w:rFonts w:ascii="Times New Roman" w:eastAsia="楷体" w:hAnsi="Times New Roman" w:hint="eastAsia"/>
          <w:color w:val="000000" w:themeColor="text1"/>
          <w:sz w:val="24"/>
          <w:szCs w:val="24"/>
        </w:rPr>
        <w:t>IM</w:t>
      </w:r>
      <w:r w:rsidRPr="00127803">
        <w:rPr>
          <w:rFonts w:ascii="Times New Roman" w:eastAsia="楷体" w:hAnsi="Times New Roman" w:hint="eastAsia"/>
          <w:color w:val="000000" w:themeColor="text1"/>
          <w:sz w:val="24"/>
          <w:szCs w:val="24"/>
        </w:rPr>
        <w:t>低多机会</w:t>
      </w:r>
      <w:r w:rsidR="00CC3FFA">
        <w:rPr>
          <w:rFonts w:ascii="Times New Roman" w:eastAsia="楷体" w:hAnsi="Times New Roman" w:hint="eastAsia"/>
          <w:color w:val="000000" w:themeColor="text1"/>
          <w:sz w:val="24"/>
          <w:szCs w:val="24"/>
        </w:rPr>
        <w:t>。</w:t>
      </w:r>
    </w:p>
    <w:p w:rsidR="003F56A5" w:rsidRDefault="003F56A5">
      <w:pPr>
        <w:ind w:leftChars="300" w:left="630"/>
        <w:rPr>
          <w:rFonts w:ascii="Times New Roman" w:eastAsia="楷体" w:hAnsi="Times New Roman"/>
          <w:color w:val="000000" w:themeColor="text1"/>
          <w:sz w:val="24"/>
          <w:szCs w:val="24"/>
        </w:rPr>
      </w:pPr>
    </w:p>
    <w:p w:rsidR="003F56A5" w:rsidRDefault="00CC3FFA">
      <w:pPr>
        <w:pBdr>
          <w:top w:val="single" w:sz="4" w:space="0" w:color="auto"/>
        </w:pBdr>
        <w:outlineLvl w:val="0"/>
        <w:rPr>
          <w:rFonts w:ascii="Times New Roman" w:eastAsia="楷体" w:hAnsi="Times New Roman"/>
          <w:b/>
          <w:color w:val="823C0B"/>
        </w:rPr>
      </w:pPr>
      <w:bookmarkStart w:id="8" w:name="_Toc137112078"/>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贵金属</w:t>
      </w:r>
      <w:r>
        <w:rPr>
          <w:rFonts w:ascii="Times New Roman" w:eastAsia="楷体" w:hAnsi="Times New Roman" w:hint="eastAsia"/>
          <w:b/>
          <w:color w:val="823C0B"/>
          <w:sz w:val="30"/>
          <w:szCs w:val="30"/>
        </w:rPr>
        <w:t>]</w:t>
      </w:r>
      <w:bookmarkEnd w:id="8"/>
    </w:p>
    <w:p w:rsidR="003F56A5" w:rsidRDefault="00CC3FFA">
      <w:pPr>
        <w:ind w:leftChars="200" w:left="420"/>
        <w:outlineLvl w:val="1"/>
        <w:rPr>
          <w:rFonts w:ascii="Times New Roman" w:eastAsia="楷体" w:hAnsi="Times New Roman"/>
          <w:b/>
          <w:color w:val="000000" w:themeColor="text1"/>
          <w:sz w:val="24"/>
          <w:szCs w:val="24"/>
        </w:rPr>
      </w:pPr>
      <w:bookmarkStart w:id="9" w:name="_Toc137112079"/>
      <w:r>
        <w:rPr>
          <w:rFonts w:ascii="Times New Roman" w:eastAsia="楷体" w:hAnsi="Times New Roman" w:hint="eastAsia"/>
          <w:b/>
          <w:color w:val="000000" w:themeColor="text1"/>
          <w:sz w:val="24"/>
          <w:szCs w:val="24"/>
        </w:rPr>
        <w:t>贵金属：</w:t>
      </w:r>
      <w:r w:rsidR="00127803" w:rsidRPr="00127803">
        <w:rPr>
          <w:rFonts w:ascii="Times New Roman" w:eastAsia="楷体" w:hAnsi="Times New Roman" w:hint="eastAsia"/>
          <w:b/>
          <w:color w:val="000000" w:themeColor="text1"/>
          <w:sz w:val="24"/>
          <w:szCs w:val="24"/>
        </w:rPr>
        <w:t>央行持续增持黄金，贵金属价格区间震荡</w:t>
      </w:r>
      <w:bookmarkEnd w:id="9"/>
    </w:p>
    <w:p w:rsidR="003F56A5" w:rsidRDefault="00127803">
      <w:pPr>
        <w:ind w:leftChars="300" w:left="630"/>
        <w:rPr>
          <w:rFonts w:ascii="Times New Roman" w:eastAsia="楷体" w:hAnsi="Times New Roman"/>
          <w:sz w:val="24"/>
          <w:szCs w:val="24"/>
        </w:rPr>
      </w:pPr>
      <w:r w:rsidRPr="00127803">
        <w:rPr>
          <w:rFonts w:ascii="Times New Roman" w:eastAsia="楷体" w:hAnsi="Times New Roman" w:hint="eastAsia"/>
          <w:color w:val="000000" w:themeColor="text1"/>
          <w:sz w:val="24"/>
          <w:szCs w:val="24"/>
        </w:rPr>
        <w:t>隔夜</w:t>
      </w:r>
      <w:r w:rsidRPr="00127803">
        <w:rPr>
          <w:rFonts w:ascii="Times New Roman" w:eastAsia="楷体" w:hAnsi="Times New Roman" w:hint="eastAsia"/>
          <w:color w:val="000000" w:themeColor="text1"/>
          <w:sz w:val="24"/>
          <w:szCs w:val="24"/>
        </w:rPr>
        <w:t>COMEX</w:t>
      </w:r>
      <w:r w:rsidRPr="00127803">
        <w:rPr>
          <w:rFonts w:ascii="Times New Roman" w:eastAsia="楷体" w:hAnsi="Times New Roman" w:hint="eastAsia"/>
          <w:color w:val="000000" w:themeColor="text1"/>
          <w:sz w:val="24"/>
          <w:szCs w:val="24"/>
        </w:rPr>
        <w:t>金价跌至</w:t>
      </w:r>
      <w:r w:rsidRPr="00127803">
        <w:rPr>
          <w:rFonts w:ascii="Times New Roman" w:eastAsia="楷体" w:hAnsi="Times New Roman" w:hint="eastAsia"/>
          <w:color w:val="000000" w:themeColor="text1"/>
          <w:sz w:val="24"/>
          <w:szCs w:val="24"/>
        </w:rPr>
        <w:t>1960</w:t>
      </w:r>
      <w:r w:rsidRPr="00127803">
        <w:rPr>
          <w:rFonts w:ascii="Times New Roman" w:eastAsia="楷体" w:hAnsi="Times New Roman" w:hint="eastAsia"/>
          <w:color w:val="000000" w:themeColor="text1"/>
          <w:sz w:val="24"/>
          <w:szCs w:val="24"/>
        </w:rPr>
        <w:t>美元</w:t>
      </w:r>
      <w:r w:rsidRPr="00127803">
        <w:rPr>
          <w:rFonts w:ascii="Times New Roman" w:eastAsia="楷体" w:hAnsi="Times New Roman" w:hint="eastAsia"/>
          <w:color w:val="000000" w:themeColor="text1"/>
          <w:sz w:val="24"/>
          <w:szCs w:val="24"/>
        </w:rPr>
        <w:t>/</w:t>
      </w:r>
      <w:r w:rsidRPr="00127803">
        <w:rPr>
          <w:rFonts w:ascii="Times New Roman" w:eastAsia="楷体" w:hAnsi="Times New Roman" w:hint="eastAsia"/>
          <w:color w:val="000000" w:themeColor="text1"/>
          <w:sz w:val="24"/>
          <w:szCs w:val="24"/>
        </w:rPr>
        <w:t>盎司一线，沪银冲高回落，沪金跌</w:t>
      </w:r>
      <w:r w:rsidRPr="00127803">
        <w:rPr>
          <w:rFonts w:ascii="Times New Roman" w:eastAsia="楷体" w:hAnsi="Times New Roman" w:hint="eastAsia"/>
          <w:color w:val="000000" w:themeColor="text1"/>
          <w:sz w:val="24"/>
          <w:szCs w:val="24"/>
        </w:rPr>
        <w:t>0.7%</w:t>
      </w:r>
      <w:r w:rsidRPr="00127803">
        <w:rPr>
          <w:rFonts w:ascii="Times New Roman" w:eastAsia="楷体" w:hAnsi="Times New Roman" w:hint="eastAsia"/>
          <w:color w:val="000000" w:themeColor="text1"/>
          <w:sz w:val="24"/>
          <w:szCs w:val="24"/>
        </w:rPr>
        <w:t>，整体维持区间震荡。美国财长耶伦讲话称，财政部仍有能力继续支付美国所有债务，预计</w:t>
      </w:r>
      <w:r w:rsidRPr="00127803">
        <w:rPr>
          <w:rFonts w:ascii="Times New Roman" w:eastAsia="楷体" w:hAnsi="Times New Roman" w:hint="eastAsia"/>
          <w:color w:val="000000" w:themeColor="text1"/>
          <w:sz w:val="24"/>
          <w:szCs w:val="24"/>
        </w:rPr>
        <w:t>6</w:t>
      </w:r>
      <w:r w:rsidRPr="00127803">
        <w:rPr>
          <w:rFonts w:ascii="Times New Roman" w:eastAsia="楷体" w:hAnsi="Times New Roman" w:hint="eastAsia"/>
          <w:color w:val="000000" w:themeColor="text1"/>
          <w:sz w:val="24"/>
          <w:szCs w:val="24"/>
        </w:rPr>
        <w:t>月底现金余额为</w:t>
      </w:r>
      <w:r w:rsidRPr="00127803">
        <w:rPr>
          <w:rFonts w:ascii="Times New Roman" w:eastAsia="楷体" w:hAnsi="Times New Roman" w:hint="eastAsia"/>
          <w:color w:val="000000" w:themeColor="text1"/>
          <w:sz w:val="24"/>
          <w:szCs w:val="24"/>
        </w:rPr>
        <w:t>4250</w:t>
      </w:r>
      <w:r w:rsidRPr="00127803">
        <w:rPr>
          <w:rFonts w:ascii="Times New Roman" w:eastAsia="楷体" w:hAnsi="Times New Roman" w:hint="eastAsia"/>
          <w:color w:val="000000" w:themeColor="text1"/>
          <w:sz w:val="24"/>
          <w:szCs w:val="24"/>
        </w:rPr>
        <w:t>亿美元；债务协议将支持美联储降低通胀。美国</w:t>
      </w:r>
      <w:r w:rsidRPr="00127803">
        <w:rPr>
          <w:rFonts w:ascii="Times New Roman" w:eastAsia="楷体" w:hAnsi="Times New Roman" w:hint="eastAsia"/>
          <w:color w:val="000000" w:themeColor="text1"/>
          <w:sz w:val="24"/>
          <w:szCs w:val="24"/>
        </w:rPr>
        <w:t>4</w:t>
      </w:r>
      <w:r w:rsidRPr="00127803">
        <w:rPr>
          <w:rFonts w:ascii="Times New Roman" w:eastAsia="楷体" w:hAnsi="Times New Roman" w:hint="eastAsia"/>
          <w:color w:val="000000" w:themeColor="text1"/>
          <w:sz w:val="24"/>
          <w:szCs w:val="24"/>
        </w:rPr>
        <w:t>月贸易逆差环比增加</w:t>
      </w:r>
      <w:r w:rsidRPr="00127803">
        <w:rPr>
          <w:rFonts w:ascii="Times New Roman" w:eastAsia="楷体" w:hAnsi="Times New Roman" w:hint="eastAsia"/>
          <w:color w:val="000000" w:themeColor="text1"/>
          <w:sz w:val="24"/>
          <w:szCs w:val="24"/>
        </w:rPr>
        <w:t>23%</w:t>
      </w:r>
      <w:r w:rsidRPr="00127803">
        <w:rPr>
          <w:rFonts w:ascii="Times New Roman" w:eastAsia="楷体" w:hAnsi="Times New Roman" w:hint="eastAsia"/>
          <w:color w:val="000000" w:themeColor="text1"/>
          <w:sz w:val="24"/>
          <w:szCs w:val="24"/>
        </w:rPr>
        <w:t>至</w:t>
      </w:r>
      <w:r w:rsidRPr="00127803">
        <w:rPr>
          <w:rFonts w:ascii="Times New Roman" w:eastAsia="楷体" w:hAnsi="Times New Roman" w:hint="eastAsia"/>
          <w:color w:val="000000" w:themeColor="text1"/>
          <w:sz w:val="24"/>
          <w:szCs w:val="24"/>
        </w:rPr>
        <w:t>746</w:t>
      </w:r>
      <w:r w:rsidRPr="00127803">
        <w:rPr>
          <w:rFonts w:ascii="Times New Roman" w:eastAsia="楷体" w:hAnsi="Times New Roman" w:hint="eastAsia"/>
          <w:color w:val="000000" w:themeColor="text1"/>
          <w:sz w:val="24"/>
          <w:szCs w:val="24"/>
        </w:rPr>
        <w:t>亿美元，为近一年以来最大逆差。欧洲央行管委诺特称，预计欧央行将在很长时间内维持峰值利率，若通胀保持高位，欧央行应继续加息，通胀上行风险将在未来几年内继续主导欧央行政策。中国</w:t>
      </w:r>
      <w:r w:rsidRPr="00127803">
        <w:rPr>
          <w:rFonts w:ascii="Times New Roman" w:eastAsia="楷体" w:hAnsi="Times New Roman" w:hint="eastAsia"/>
          <w:color w:val="000000" w:themeColor="text1"/>
          <w:sz w:val="24"/>
          <w:szCs w:val="24"/>
        </w:rPr>
        <w:t>5</w:t>
      </w:r>
      <w:r w:rsidRPr="00127803">
        <w:rPr>
          <w:rFonts w:ascii="Times New Roman" w:eastAsia="楷体" w:hAnsi="Times New Roman" w:hint="eastAsia"/>
          <w:color w:val="000000" w:themeColor="text1"/>
          <w:sz w:val="24"/>
          <w:szCs w:val="24"/>
        </w:rPr>
        <w:t>月末黄金储备规模为</w:t>
      </w:r>
      <w:r w:rsidRPr="00127803">
        <w:rPr>
          <w:rFonts w:ascii="Times New Roman" w:eastAsia="楷体" w:hAnsi="Times New Roman" w:hint="eastAsia"/>
          <w:color w:val="000000" w:themeColor="text1"/>
          <w:sz w:val="24"/>
          <w:szCs w:val="24"/>
        </w:rPr>
        <w:t>6727</w:t>
      </w:r>
      <w:r w:rsidRPr="00127803">
        <w:rPr>
          <w:rFonts w:ascii="Times New Roman" w:eastAsia="楷体" w:hAnsi="Times New Roman" w:hint="eastAsia"/>
          <w:color w:val="000000" w:themeColor="text1"/>
          <w:sz w:val="24"/>
          <w:szCs w:val="24"/>
        </w:rPr>
        <w:t>万盎司，环比增加</w:t>
      </w:r>
      <w:r w:rsidRPr="00127803">
        <w:rPr>
          <w:rFonts w:ascii="Times New Roman" w:eastAsia="楷体" w:hAnsi="Times New Roman" w:hint="eastAsia"/>
          <w:color w:val="000000" w:themeColor="text1"/>
          <w:sz w:val="24"/>
          <w:szCs w:val="24"/>
        </w:rPr>
        <w:t>51</w:t>
      </w:r>
      <w:r w:rsidRPr="00127803">
        <w:rPr>
          <w:rFonts w:ascii="Times New Roman" w:eastAsia="楷体" w:hAnsi="Times New Roman" w:hint="eastAsia"/>
          <w:color w:val="000000" w:themeColor="text1"/>
          <w:sz w:val="24"/>
          <w:szCs w:val="24"/>
        </w:rPr>
        <w:t>万盎司，连续第七个月增持黄金。海外市场预期美联储大概率</w:t>
      </w:r>
      <w:r w:rsidRPr="00127803">
        <w:rPr>
          <w:rFonts w:ascii="Times New Roman" w:eastAsia="楷体" w:hAnsi="Times New Roman" w:hint="eastAsia"/>
          <w:color w:val="000000" w:themeColor="text1"/>
          <w:sz w:val="24"/>
          <w:szCs w:val="24"/>
        </w:rPr>
        <w:t>6</w:t>
      </w:r>
      <w:r w:rsidRPr="00127803">
        <w:rPr>
          <w:rFonts w:ascii="Times New Roman" w:eastAsia="楷体" w:hAnsi="Times New Roman" w:hint="eastAsia"/>
          <w:color w:val="000000" w:themeColor="text1"/>
          <w:sz w:val="24"/>
          <w:szCs w:val="24"/>
        </w:rPr>
        <w:t>月暂停加息，建议沪金、沪银维持偏多思路</w:t>
      </w:r>
      <w:r w:rsidR="00CC3FFA">
        <w:rPr>
          <w:rFonts w:ascii="Times New Roman" w:eastAsia="楷体" w:hAnsi="Times New Roman" w:hint="eastAsia"/>
          <w:color w:val="000000" w:themeColor="text1"/>
          <w:sz w:val="24"/>
          <w:szCs w:val="24"/>
        </w:rPr>
        <w:t>。</w:t>
      </w:r>
    </w:p>
    <w:p w:rsidR="003F56A5" w:rsidRDefault="003F56A5">
      <w:pPr>
        <w:ind w:leftChars="300" w:left="630"/>
        <w:rPr>
          <w:rFonts w:ascii="Times New Roman" w:eastAsia="楷体" w:hAnsi="Times New Roman"/>
          <w:color w:val="000000" w:themeColor="text1"/>
          <w:sz w:val="24"/>
          <w:szCs w:val="24"/>
        </w:rPr>
      </w:pPr>
    </w:p>
    <w:p w:rsidR="003F56A5" w:rsidRDefault="00CC3FFA">
      <w:pPr>
        <w:pBdr>
          <w:top w:val="single" w:sz="4" w:space="0" w:color="auto"/>
        </w:pBdr>
        <w:outlineLvl w:val="0"/>
        <w:rPr>
          <w:rFonts w:ascii="Times New Roman" w:eastAsia="楷体" w:hAnsi="Times New Roman"/>
          <w:b/>
          <w:color w:val="823C0B"/>
          <w:sz w:val="30"/>
          <w:szCs w:val="30"/>
        </w:rPr>
      </w:pPr>
      <w:bookmarkStart w:id="10" w:name="_Toc3096"/>
      <w:bookmarkStart w:id="11" w:name="金属"/>
      <w:bookmarkStart w:id="12" w:name="_Toc20891"/>
      <w:bookmarkStart w:id="13" w:name="农产品"/>
      <w:bookmarkStart w:id="14" w:name="_Toc137112080"/>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金属</w:t>
      </w:r>
      <w:r>
        <w:rPr>
          <w:rFonts w:ascii="Times New Roman" w:eastAsia="楷体" w:hAnsi="Times New Roman" w:hint="eastAsia"/>
          <w:b/>
          <w:color w:val="823C0B"/>
          <w:sz w:val="30"/>
          <w:szCs w:val="30"/>
        </w:rPr>
        <w:t>]</w:t>
      </w:r>
      <w:bookmarkEnd w:id="10"/>
      <w:bookmarkEnd w:id="11"/>
      <w:bookmarkEnd w:id="12"/>
      <w:bookmarkEnd w:id="14"/>
    </w:p>
    <w:p w:rsidR="003F56A5" w:rsidRDefault="00CC3FFA">
      <w:pPr>
        <w:ind w:leftChars="200" w:left="420"/>
        <w:outlineLvl w:val="1"/>
        <w:rPr>
          <w:rFonts w:ascii="楷体" w:eastAsia="楷体" w:hAnsi="楷体"/>
          <w:b/>
          <w:color w:val="000000" w:themeColor="text1"/>
          <w:sz w:val="24"/>
          <w:szCs w:val="24"/>
        </w:rPr>
      </w:pPr>
      <w:bookmarkStart w:id="15" w:name="_Toc27831"/>
      <w:bookmarkStart w:id="16" w:name="_Toc5371"/>
      <w:bookmarkStart w:id="17" w:name="_Toc137112081"/>
      <w:r>
        <w:rPr>
          <w:rFonts w:ascii="楷体" w:eastAsia="楷体" w:hAnsi="楷体" w:hint="eastAsia"/>
          <w:b/>
          <w:color w:val="000000" w:themeColor="text1"/>
          <w:sz w:val="24"/>
          <w:szCs w:val="24"/>
        </w:rPr>
        <w:t>螺纹钢：</w:t>
      </w:r>
      <w:bookmarkEnd w:id="15"/>
      <w:bookmarkEnd w:id="16"/>
      <w:r w:rsidR="00127803" w:rsidRPr="00127803">
        <w:rPr>
          <w:rFonts w:ascii="楷体" w:eastAsia="楷体" w:hAnsi="楷体" w:hint="eastAsia"/>
          <w:b/>
          <w:color w:val="000000" w:themeColor="text1"/>
          <w:sz w:val="24"/>
          <w:szCs w:val="24"/>
        </w:rPr>
        <w:t>市场风格切换较快，日内波动为主</w:t>
      </w:r>
      <w:bookmarkEnd w:id="17"/>
    </w:p>
    <w:p w:rsidR="003F56A5" w:rsidRDefault="00127803">
      <w:pPr>
        <w:ind w:leftChars="300" w:left="630"/>
        <w:rPr>
          <w:rFonts w:ascii="楷体" w:eastAsia="楷体" w:hAnsi="楷体"/>
          <w:color w:val="000000" w:themeColor="text1"/>
          <w:sz w:val="24"/>
          <w:szCs w:val="24"/>
        </w:rPr>
      </w:pPr>
      <w:r w:rsidRPr="00127803">
        <w:rPr>
          <w:rFonts w:ascii="楷体" w:eastAsia="楷体" w:hAnsi="楷体" w:hint="eastAsia"/>
          <w:color w:val="000000" w:themeColor="text1"/>
          <w:sz w:val="24"/>
          <w:szCs w:val="24"/>
        </w:rPr>
        <w:t>基本面中性，市场处于震荡状态，目前整体铁元素去库速度较快，支撑价格，但需求不支持趋势性上行，估值修复后，震荡偏强，预计波动区间（3580,3700）</w:t>
      </w:r>
      <w:r w:rsidR="00CC3FFA">
        <w:rPr>
          <w:rFonts w:ascii="楷体" w:eastAsia="楷体" w:hAnsi="楷体" w:hint="eastAsia"/>
          <w:color w:val="000000" w:themeColor="text1"/>
          <w:sz w:val="24"/>
          <w:szCs w:val="24"/>
        </w:rPr>
        <w:t>。</w:t>
      </w:r>
    </w:p>
    <w:p w:rsidR="003F56A5" w:rsidRDefault="003F56A5">
      <w:pPr>
        <w:rPr>
          <w:rFonts w:ascii="楷体" w:eastAsia="楷体" w:hAnsi="楷体"/>
          <w:bCs/>
          <w:sz w:val="24"/>
          <w:szCs w:val="24"/>
        </w:rPr>
      </w:pPr>
    </w:p>
    <w:p w:rsidR="003F56A5" w:rsidRDefault="00CC3FFA">
      <w:pPr>
        <w:ind w:leftChars="200" w:left="420"/>
        <w:outlineLvl w:val="1"/>
        <w:rPr>
          <w:rFonts w:ascii="楷体" w:eastAsia="楷体" w:hAnsi="楷体"/>
          <w:b/>
          <w:color w:val="000000" w:themeColor="text1"/>
          <w:sz w:val="24"/>
          <w:szCs w:val="24"/>
        </w:rPr>
      </w:pPr>
      <w:bookmarkStart w:id="18" w:name="_Toc4790"/>
      <w:bookmarkStart w:id="19" w:name="_Toc11356"/>
      <w:bookmarkStart w:id="20" w:name="_Toc137112082"/>
      <w:r>
        <w:rPr>
          <w:rFonts w:ascii="楷体" w:eastAsia="楷体" w:hAnsi="楷体" w:hint="eastAsia"/>
          <w:b/>
          <w:color w:val="000000" w:themeColor="text1"/>
          <w:sz w:val="24"/>
          <w:szCs w:val="24"/>
        </w:rPr>
        <w:t>焦炭：</w:t>
      </w:r>
      <w:bookmarkEnd w:id="18"/>
      <w:bookmarkEnd w:id="19"/>
      <w:r w:rsidR="00127803" w:rsidRPr="00127803">
        <w:rPr>
          <w:rFonts w:ascii="楷体" w:eastAsia="楷体" w:hAnsi="楷体" w:hint="eastAsia"/>
          <w:b/>
          <w:color w:val="000000" w:themeColor="text1"/>
          <w:sz w:val="24"/>
          <w:szCs w:val="24"/>
        </w:rPr>
        <w:t>复产预期下，偏强震荡</w:t>
      </w:r>
      <w:bookmarkEnd w:id="20"/>
    </w:p>
    <w:p w:rsidR="003F56A5" w:rsidRDefault="00127803">
      <w:pPr>
        <w:ind w:leftChars="300" w:left="630"/>
        <w:rPr>
          <w:rFonts w:ascii="楷体" w:eastAsia="楷体" w:hAnsi="楷体"/>
          <w:color w:val="000000" w:themeColor="text1"/>
          <w:sz w:val="24"/>
          <w:szCs w:val="24"/>
        </w:rPr>
      </w:pPr>
      <w:r w:rsidRPr="00127803">
        <w:rPr>
          <w:rFonts w:ascii="楷体" w:eastAsia="楷体" w:hAnsi="楷体" w:hint="eastAsia"/>
          <w:color w:val="000000" w:themeColor="text1"/>
          <w:sz w:val="24"/>
          <w:szCs w:val="24"/>
        </w:rPr>
        <w:t>唐山限产下其他区域存在复产预期，整体钢材去库较好，高铁水下现货偏稳运行，盘面随情绪波动，在预计（1960,2060）区间震荡</w:t>
      </w:r>
      <w:r w:rsidR="00CC3FFA">
        <w:rPr>
          <w:rFonts w:ascii="楷体" w:eastAsia="楷体" w:hAnsi="楷体" w:hint="eastAsia"/>
          <w:color w:val="000000" w:themeColor="text1"/>
          <w:sz w:val="24"/>
          <w:szCs w:val="24"/>
        </w:rPr>
        <w:t>。</w:t>
      </w:r>
    </w:p>
    <w:p w:rsidR="003F56A5" w:rsidRDefault="003F56A5">
      <w:pPr>
        <w:ind w:leftChars="100" w:left="210"/>
        <w:rPr>
          <w:rFonts w:ascii="楷体" w:eastAsia="楷体" w:hAnsi="楷体"/>
          <w:bCs/>
          <w:sz w:val="24"/>
          <w:szCs w:val="24"/>
        </w:rPr>
      </w:pPr>
    </w:p>
    <w:p w:rsidR="003F56A5" w:rsidRPr="00535DC9" w:rsidRDefault="00CC3FFA" w:rsidP="00535DC9">
      <w:pPr>
        <w:ind w:leftChars="200" w:left="420"/>
        <w:outlineLvl w:val="1"/>
        <w:rPr>
          <w:rFonts w:ascii="楷体" w:eastAsia="楷体" w:hAnsi="楷体"/>
          <w:b/>
          <w:sz w:val="24"/>
          <w:szCs w:val="24"/>
        </w:rPr>
      </w:pPr>
      <w:bookmarkStart w:id="21" w:name="_Toc137112083"/>
      <w:r>
        <w:rPr>
          <w:rFonts w:ascii="楷体" w:eastAsia="楷体" w:hAnsi="楷体" w:hint="eastAsia"/>
          <w:b/>
          <w:color w:val="000000" w:themeColor="text1"/>
          <w:sz w:val="24"/>
          <w:szCs w:val="24"/>
        </w:rPr>
        <w:t>焦煤：</w:t>
      </w:r>
      <w:r w:rsidR="00127803" w:rsidRPr="00127803">
        <w:rPr>
          <w:rFonts w:ascii="楷体" w:eastAsia="楷体" w:hAnsi="楷体" w:hint="eastAsia"/>
          <w:b/>
          <w:sz w:val="24"/>
          <w:szCs w:val="24"/>
        </w:rPr>
        <w:t>现货偏稳，盘面随情绪波动</w:t>
      </w:r>
      <w:bookmarkEnd w:id="21"/>
    </w:p>
    <w:p w:rsidR="003F56A5" w:rsidRDefault="00127803">
      <w:pPr>
        <w:ind w:leftChars="300" w:left="630"/>
        <w:rPr>
          <w:rFonts w:ascii="楷体" w:eastAsia="楷体" w:hAnsi="楷体"/>
          <w:bCs/>
          <w:sz w:val="24"/>
          <w:szCs w:val="24"/>
        </w:rPr>
      </w:pPr>
      <w:r w:rsidRPr="00127803">
        <w:rPr>
          <w:rFonts w:ascii="楷体" w:eastAsia="楷体" w:hAnsi="楷体" w:hint="eastAsia"/>
          <w:sz w:val="24"/>
          <w:szCs w:val="24"/>
        </w:rPr>
        <w:t>供需中性，供应弹性仍存，钢材走强或驱动补库意愿，现货反弹幅度或有限，预计在（1250,1300）区间震荡</w:t>
      </w:r>
      <w:r w:rsidR="00CC3FFA">
        <w:rPr>
          <w:rFonts w:ascii="楷体" w:eastAsia="楷体" w:hAnsi="楷体" w:hint="eastAsia"/>
          <w:sz w:val="24"/>
          <w:szCs w:val="24"/>
        </w:rPr>
        <w:t>。</w:t>
      </w:r>
    </w:p>
    <w:p w:rsidR="003F56A5" w:rsidRDefault="003F56A5">
      <w:pPr>
        <w:ind w:firstLineChars="200" w:firstLine="480"/>
        <w:rPr>
          <w:rFonts w:ascii="楷体" w:eastAsia="楷体" w:hAnsi="楷体"/>
          <w:sz w:val="24"/>
          <w:szCs w:val="24"/>
        </w:rPr>
      </w:pPr>
    </w:p>
    <w:p w:rsidR="003F56A5" w:rsidRDefault="00CC3FFA">
      <w:pPr>
        <w:ind w:leftChars="200" w:left="420"/>
        <w:outlineLvl w:val="1"/>
        <w:rPr>
          <w:rFonts w:ascii="楷体" w:eastAsia="楷体" w:hAnsi="楷体"/>
          <w:b/>
          <w:color w:val="000000" w:themeColor="text1"/>
          <w:sz w:val="24"/>
          <w:szCs w:val="24"/>
        </w:rPr>
      </w:pPr>
      <w:bookmarkStart w:id="22" w:name="_Toc9719"/>
      <w:bookmarkStart w:id="23" w:name="_Toc25617"/>
      <w:bookmarkStart w:id="24" w:name="_Toc137112084"/>
      <w:r>
        <w:rPr>
          <w:rFonts w:ascii="楷体" w:eastAsia="楷体" w:hAnsi="楷体" w:hint="eastAsia"/>
          <w:b/>
          <w:color w:val="000000" w:themeColor="text1"/>
          <w:sz w:val="24"/>
          <w:szCs w:val="24"/>
        </w:rPr>
        <w:t>铜：</w:t>
      </w:r>
      <w:bookmarkEnd w:id="22"/>
      <w:bookmarkEnd w:id="23"/>
      <w:r w:rsidR="00127803" w:rsidRPr="00127803">
        <w:rPr>
          <w:rFonts w:ascii="楷体" w:eastAsia="楷体" w:hAnsi="楷体" w:hint="eastAsia"/>
          <w:b/>
          <w:color w:val="000000" w:themeColor="text1"/>
          <w:sz w:val="24"/>
          <w:szCs w:val="24"/>
        </w:rPr>
        <w:t>继续上行压力加大</w:t>
      </w:r>
      <w:bookmarkEnd w:id="24"/>
    </w:p>
    <w:p w:rsidR="00127803" w:rsidRPr="00127803" w:rsidRDefault="00127803" w:rsidP="00127803">
      <w:pPr>
        <w:ind w:leftChars="300" w:left="630"/>
        <w:rPr>
          <w:rFonts w:ascii="楷体" w:eastAsia="楷体" w:hAnsi="楷体" w:hint="eastAsia"/>
          <w:color w:val="000000" w:themeColor="text1"/>
          <w:sz w:val="24"/>
          <w:szCs w:val="24"/>
        </w:rPr>
      </w:pPr>
      <w:r w:rsidRPr="00127803">
        <w:rPr>
          <w:rFonts w:ascii="楷体" w:eastAsia="楷体" w:hAnsi="楷体" w:hint="eastAsia"/>
          <w:color w:val="000000" w:themeColor="text1"/>
          <w:sz w:val="24"/>
          <w:szCs w:val="24"/>
        </w:rPr>
        <w:t>(1)宏观：经济合作与发展组织（经合组织）7日发布经济展望报告，预测全球经济增速将从2022年的3.3%放缓到2023年的2.7%，2024年回升到2.9%。</w:t>
      </w:r>
    </w:p>
    <w:p w:rsidR="00127803" w:rsidRPr="00127803" w:rsidRDefault="00127803" w:rsidP="00127803">
      <w:pPr>
        <w:ind w:leftChars="300" w:left="630"/>
        <w:rPr>
          <w:rFonts w:ascii="楷体" w:eastAsia="楷体" w:hAnsi="楷体" w:hint="eastAsia"/>
          <w:color w:val="000000" w:themeColor="text1"/>
          <w:sz w:val="24"/>
          <w:szCs w:val="24"/>
        </w:rPr>
      </w:pPr>
      <w:r w:rsidRPr="00127803">
        <w:rPr>
          <w:rFonts w:ascii="楷体" w:eastAsia="楷体" w:hAnsi="楷体" w:hint="eastAsia"/>
          <w:color w:val="000000" w:themeColor="text1"/>
          <w:sz w:val="24"/>
          <w:szCs w:val="24"/>
        </w:rPr>
        <w:t>(2)库存：6月7日，SHFE仓单库存37588吨，减4839吨。LME仓单库存100100吨，增275吨。</w:t>
      </w:r>
    </w:p>
    <w:p w:rsidR="00127803" w:rsidRPr="00127803" w:rsidRDefault="00127803" w:rsidP="00127803">
      <w:pPr>
        <w:ind w:leftChars="300" w:left="630"/>
        <w:rPr>
          <w:rFonts w:ascii="楷体" w:eastAsia="楷体" w:hAnsi="楷体" w:hint="eastAsia"/>
          <w:color w:val="000000" w:themeColor="text1"/>
          <w:sz w:val="24"/>
          <w:szCs w:val="24"/>
        </w:rPr>
      </w:pPr>
      <w:r w:rsidRPr="00127803">
        <w:rPr>
          <w:rFonts w:ascii="楷体" w:eastAsia="楷体" w:hAnsi="楷体" w:hint="eastAsia"/>
          <w:color w:val="000000" w:themeColor="text1"/>
          <w:sz w:val="24"/>
          <w:szCs w:val="24"/>
        </w:rPr>
        <w:lastRenderedPageBreak/>
        <w:t>(3)精废价差：6月7日，Mysteel精废价差1980，扩大34。目前价差在合理价差1372之上。</w:t>
      </w:r>
    </w:p>
    <w:p w:rsidR="00127803" w:rsidRPr="00127803" w:rsidRDefault="00127803" w:rsidP="00127803">
      <w:pPr>
        <w:ind w:leftChars="300" w:left="630"/>
        <w:rPr>
          <w:rFonts w:ascii="楷体" w:eastAsia="楷体" w:hAnsi="楷体"/>
          <w:color w:val="000000" w:themeColor="text1"/>
          <w:sz w:val="24"/>
          <w:szCs w:val="24"/>
        </w:rPr>
      </w:pPr>
    </w:p>
    <w:p w:rsidR="00A71A7E" w:rsidRPr="00A71A7E" w:rsidRDefault="00127803" w:rsidP="00127803">
      <w:pPr>
        <w:ind w:leftChars="300" w:left="630"/>
        <w:rPr>
          <w:rFonts w:ascii="楷体" w:eastAsia="楷体" w:hAnsi="楷体"/>
          <w:color w:val="000000" w:themeColor="text1"/>
          <w:sz w:val="24"/>
          <w:szCs w:val="24"/>
        </w:rPr>
      </w:pPr>
      <w:r w:rsidRPr="00127803">
        <w:rPr>
          <w:rFonts w:ascii="楷体" w:eastAsia="楷体" w:hAnsi="楷体" w:hint="eastAsia"/>
          <w:color w:val="000000" w:themeColor="text1"/>
          <w:sz w:val="24"/>
          <w:szCs w:val="24"/>
        </w:rPr>
        <w:t>综述：国内多家银行存款利率下调，利好流动性。5月中国进出口数据表现不佳，拖累市场情绪。铜价走高后精废价差明显扩大，废铜供应或好转，且淡季效应下现货供应或逐步宽松，价格上方压力加大，维持逢高沽空思路，关注67000一线压力。操作上，具有常备库存企业可尝试卖出虚值看涨期权CU2308C68000或CU2308C69000。关注今日国内CPI数据</w:t>
      </w:r>
      <w:r w:rsidR="00A71A7E" w:rsidRPr="00A71A7E">
        <w:rPr>
          <w:rFonts w:ascii="楷体" w:eastAsia="楷体" w:hAnsi="楷体" w:hint="eastAsia"/>
          <w:color w:val="000000" w:themeColor="text1"/>
          <w:sz w:val="24"/>
          <w:szCs w:val="24"/>
        </w:rPr>
        <w:t>。</w:t>
      </w:r>
    </w:p>
    <w:p w:rsidR="003F56A5" w:rsidRDefault="003F56A5">
      <w:pPr>
        <w:ind w:firstLineChars="200" w:firstLine="480"/>
        <w:rPr>
          <w:rFonts w:ascii="楷体" w:eastAsia="楷体" w:hAnsi="楷体"/>
          <w:bCs/>
          <w:sz w:val="24"/>
          <w:szCs w:val="24"/>
        </w:rPr>
      </w:pPr>
    </w:p>
    <w:p w:rsidR="003F56A5" w:rsidRPr="002C73FE" w:rsidRDefault="00CC3FFA" w:rsidP="002C73FE">
      <w:pPr>
        <w:ind w:leftChars="200" w:left="420"/>
        <w:outlineLvl w:val="1"/>
        <w:rPr>
          <w:rFonts w:ascii="楷体" w:eastAsia="楷体" w:hAnsi="楷体"/>
          <w:b/>
          <w:color w:val="000000" w:themeColor="text1"/>
          <w:sz w:val="24"/>
          <w:szCs w:val="24"/>
        </w:rPr>
      </w:pPr>
      <w:bookmarkStart w:id="25" w:name="_Toc8897"/>
      <w:bookmarkStart w:id="26" w:name="_Toc6247"/>
      <w:bookmarkStart w:id="27" w:name="_Toc137112085"/>
      <w:r>
        <w:rPr>
          <w:rFonts w:ascii="楷体" w:eastAsia="楷体" w:hAnsi="楷体" w:hint="eastAsia"/>
          <w:b/>
          <w:color w:val="000000" w:themeColor="text1"/>
          <w:sz w:val="24"/>
          <w:szCs w:val="24"/>
        </w:rPr>
        <w:t>铝：</w:t>
      </w:r>
      <w:bookmarkEnd w:id="25"/>
      <w:bookmarkEnd w:id="26"/>
      <w:r w:rsidR="00127803" w:rsidRPr="00127803">
        <w:rPr>
          <w:rFonts w:ascii="楷体" w:eastAsia="楷体" w:hAnsi="楷体" w:hint="eastAsia"/>
          <w:b/>
          <w:color w:val="000000" w:themeColor="text1"/>
          <w:sz w:val="24"/>
          <w:szCs w:val="24"/>
        </w:rPr>
        <w:t>宏观情绪刺激价格走升，基本面供强需弱建议偏空对待</w:t>
      </w:r>
      <w:bookmarkEnd w:id="27"/>
    </w:p>
    <w:p w:rsidR="00127803" w:rsidRPr="00127803" w:rsidRDefault="00127803" w:rsidP="00127803">
      <w:pPr>
        <w:ind w:leftChars="300" w:left="630"/>
        <w:rPr>
          <w:rFonts w:ascii="楷体" w:eastAsia="楷体" w:hAnsi="楷体" w:hint="eastAsia"/>
          <w:color w:val="000000" w:themeColor="text1"/>
          <w:sz w:val="24"/>
          <w:szCs w:val="24"/>
        </w:rPr>
      </w:pPr>
      <w:r w:rsidRPr="00127803">
        <w:rPr>
          <w:rFonts w:ascii="楷体" w:eastAsia="楷体" w:hAnsi="楷体" w:hint="eastAsia"/>
          <w:color w:val="000000" w:themeColor="text1"/>
          <w:sz w:val="24"/>
          <w:szCs w:val="24"/>
        </w:rPr>
        <w:t>美联储暂停加息预期升温，国内多家银行存款利率下调，政策面利多释放，宏观情绪走强。</w:t>
      </w:r>
    </w:p>
    <w:p w:rsidR="003F56A5" w:rsidRDefault="00127803" w:rsidP="00127803">
      <w:pPr>
        <w:ind w:leftChars="300" w:left="630"/>
        <w:rPr>
          <w:rFonts w:ascii="楷体" w:eastAsia="楷体" w:hAnsi="楷体"/>
          <w:color w:val="000000" w:themeColor="text1"/>
          <w:sz w:val="24"/>
          <w:szCs w:val="24"/>
        </w:rPr>
      </w:pPr>
      <w:r w:rsidRPr="00127803">
        <w:rPr>
          <w:rFonts w:ascii="楷体" w:eastAsia="楷体" w:hAnsi="楷体" w:hint="eastAsia"/>
          <w:color w:val="000000" w:themeColor="text1"/>
          <w:sz w:val="24"/>
          <w:szCs w:val="24"/>
        </w:rPr>
        <w:t>6月起印尼将逐步落实铝土矿禁止出口，国内矿端供应整体偏紧，氧化铝产能过剩，产量高位价格持续走弱，电价下行叠加预焙阳极等辅料价格下降，电解铝冶炼成本塌陷，电解铝利润高位刺激企业生产，西南地区进入汛期，云南预期释放前期减产产能约计130万吨，供应预期走增。海外库存累库，国内交易所及社会库存持续去库，铝水比例偏高，铸锭存量较少，铝棒库存拐入累库，需求进入淡季，加工企业开工率走低，铝价上驱动力不足，下行空间有限，预计上下区间为17000-18500，基本面供走强、需向弱，目前价格正在区间靠上沿位置，可逢高布空</w:t>
      </w:r>
      <w:r w:rsidR="00CC3FFA">
        <w:rPr>
          <w:rFonts w:ascii="楷体" w:eastAsia="楷体" w:hAnsi="楷体" w:hint="eastAsia"/>
          <w:color w:val="000000" w:themeColor="text1"/>
          <w:sz w:val="24"/>
          <w:szCs w:val="24"/>
        </w:rPr>
        <w:t>。</w:t>
      </w:r>
    </w:p>
    <w:p w:rsidR="003F56A5" w:rsidRDefault="003F56A5">
      <w:pPr>
        <w:ind w:leftChars="300" w:left="630"/>
        <w:rPr>
          <w:rFonts w:ascii="楷体" w:eastAsia="楷体" w:hAnsi="楷体"/>
          <w:color w:val="000000" w:themeColor="text1"/>
          <w:sz w:val="24"/>
          <w:szCs w:val="24"/>
        </w:rPr>
      </w:pPr>
    </w:p>
    <w:p w:rsidR="003F56A5" w:rsidRPr="00666DE4" w:rsidRDefault="00CC3FFA" w:rsidP="00666DE4">
      <w:pPr>
        <w:ind w:leftChars="200" w:left="420"/>
        <w:outlineLvl w:val="1"/>
        <w:rPr>
          <w:rFonts w:ascii="楷体" w:eastAsia="楷体" w:hAnsi="楷体"/>
          <w:b/>
          <w:color w:val="000000" w:themeColor="text1"/>
          <w:sz w:val="24"/>
          <w:szCs w:val="24"/>
        </w:rPr>
      </w:pPr>
      <w:bookmarkStart w:id="28" w:name="_Toc137112086"/>
      <w:r>
        <w:rPr>
          <w:rFonts w:ascii="楷体" w:eastAsia="楷体" w:hAnsi="楷体" w:hint="eastAsia"/>
          <w:b/>
          <w:color w:val="000000" w:themeColor="text1"/>
          <w:sz w:val="24"/>
          <w:szCs w:val="24"/>
        </w:rPr>
        <w:t>锌：</w:t>
      </w:r>
      <w:r w:rsidR="00127803" w:rsidRPr="00127803">
        <w:rPr>
          <w:rFonts w:ascii="楷体" w:eastAsia="楷体" w:hAnsi="楷体" w:hint="eastAsia"/>
          <w:b/>
          <w:color w:val="000000" w:themeColor="text1"/>
          <w:sz w:val="24"/>
          <w:szCs w:val="24"/>
        </w:rPr>
        <w:t>锌价快速下跌后企稳反弹，建议先观望为主</w:t>
      </w:r>
      <w:bookmarkEnd w:id="28"/>
    </w:p>
    <w:p w:rsidR="003F56A5" w:rsidRDefault="00127803" w:rsidP="000B0648">
      <w:pPr>
        <w:ind w:leftChars="300" w:left="630"/>
        <w:rPr>
          <w:rFonts w:ascii="楷体" w:eastAsia="楷体" w:hAnsi="楷体"/>
          <w:color w:val="000000" w:themeColor="text1"/>
          <w:sz w:val="24"/>
          <w:szCs w:val="24"/>
        </w:rPr>
      </w:pPr>
      <w:r w:rsidRPr="00127803">
        <w:rPr>
          <w:rFonts w:ascii="楷体" w:eastAsia="楷体" w:hAnsi="楷体" w:hint="eastAsia"/>
          <w:color w:val="000000" w:themeColor="text1"/>
          <w:sz w:val="24"/>
          <w:szCs w:val="24"/>
        </w:rPr>
        <w:t>联储6月或暂停加息，国内多家银行下调存款利率，市场流动性预期走增。前期锌价跌破成本支撑而后再度收复上行。目前海外复产有预期但节奏偏慢，国内锌精矿产量走弱，锌精矿加工费震荡下行，矿商及冶炼厂综合利润持续收缩，精炼锌产量维持高位但环比走弱，伴随利润的快速挤出，精炼锌利润几乎走平，在无利可图的前提下，厂家或有计划检修停产，目前来看精炼锌生产仍处高位。需求端来看，海外经济衰退市场疲软，国内锌市需求进入淡季，消费乐观预期再度被修正，海内外显性库存保持低位，锌价快速下跌企稳反弹，价格震荡盘整，建议先观望</w:t>
      </w:r>
      <w:r w:rsidR="00CC3FFA">
        <w:rPr>
          <w:rFonts w:ascii="楷体" w:eastAsia="楷体" w:hAnsi="楷体" w:hint="eastAsia"/>
          <w:color w:val="000000" w:themeColor="text1"/>
          <w:sz w:val="24"/>
          <w:szCs w:val="24"/>
        </w:rPr>
        <w:t>。</w:t>
      </w:r>
    </w:p>
    <w:p w:rsidR="003F56A5" w:rsidRDefault="003F56A5">
      <w:pPr>
        <w:ind w:leftChars="300" w:left="630"/>
        <w:rPr>
          <w:rFonts w:ascii="楷体" w:eastAsia="楷体" w:hAnsi="楷体"/>
          <w:color w:val="000000" w:themeColor="text1"/>
          <w:sz w:val="24"/>
          <w:szCs w:val="24"/>
        </w:rPr>
      </w:pPr>
    </w:p>
    <w:p w:rsidR="003F56A5" w:rsidRDefault="00CC3FFA">
      <w:pPr>
        <w:ind w:leftChars="200" w:left="420"/>
        <w:outlineLvl w:val="1"/>
        <w:rPr>
          <w:rFonts w:ascii="楷体" w:eastAsia="楷体" w:hAnsi="楷体"/>
          <w:b/>
          <w:color w:val="000000" w:themeColor="text1"/>
          <w:sz w:val="24"/>
          <w:szCs w:val="24"/>
        </w:rPr>
      </w:pPr>
      <w:bookmarkStart w:id="29" w:name="_Toc137112087"/>
      <w:r>
        <w:rPr>
          <w:rFonts w:ascii="楷体" w:eastAsia="楷体" w:hAnsi="楷体" w:hint="eastAsia"/>
          <w:b/>
          <w:color w:val="000000" w:themeColor="text1"/>
          <w:sz w:val="24"/>
          <w:szCs w:val="24"/>
        </w:rPr>
        <w:t>镍：</w:t>
      </w:r>
      <w:r w:rsidR="00127803" w:rsidRPr="00127803">
        <w:rPr>
          <w:rFonts w:ascii="楷体" w:eastAsia="楷体" w:hAnsi="楷体" w:hint="eastAsia"/>
          <w:b/>
          <w:color w:val="000000" w:themeColor="text1"/>
          <w:sz w:val="24"/>
          <w:szCs w:val="24"/>
        </w:rPr>
        <w:t>下行趋势未变，维持反弹后逢高空思路</w:t>
      </w:r>
      <w:bookmarkEnd w:id="29"/>
    </w:p>
    <w:p w:rsidR="003F56A5" w:rsidRDefault="00127803">
      <w:pPr>
        <w:ind w:leftChars="300" w:left="630"/>
        <w:rPr>
          <w:rFonts w:ascii="楷体" w:eastAsia="楷体" w:hAnsi="楷体"/>
          <w:color w:val="000000" w:themeColor="text1"/>
          <w:sz w:val="24"/>
          <w:szCs w:val="24"/>
        </w:rPr>
      </w:pPr>
      <w:r w:rsidRPr="00127803">
        <w:rPr>
          <w:rFonts w:ascii="楷体" w:eastAsia="楷体" w:hAnsi="楷体" w:hint="eastAsia"/>
          <w:color w:val="000000" w:themeColor="text1"/>
          <w:sz w:val="24"/>
          <w:szCs w:val="24"/>
        </w:rPr>
        <w:t>昨日上期所镍仓单日增2287吨，达到2453吨，增幅1378%。近期俄镍镍板大量进口到货，持货商大规模注册仓单，交割品紧缺的情况得到缓解。中期电积镍产能陆续释放，产量不断爬升，预计国内库存有望逐步累增，镍价下行态势未变。操作上维持反弹后逢高空思路</w:t>
      </w:r>
      <w:r w:rsidR="00CC3FFA">
        <w:rPr>
          <w:rFonts w:ascii="楷体" w:eastAsia="楷体" w:hAnsi="楷体" w:hint="eastAsia"/>
          <w:color w:val="000000" w:themeColor="text1"/>
          <w:sz w:val="24"/>
          <w:szCs w:val="24"/>
        </w:rPr>
        <w:t>。</w:t>
      </w:r>
    </w:p>
    <w:p w:rsidR="008B13D2" w:rsidRDefault="008B13D2">
      <w:pPr>
        <w:ind w:leftChars="300" w:left="630"/>
        <w:rPr>
          <w:rFonts w:ascii="楷体" w:eastAsia="楷体" w:hAnsi="楷体"/>
          <w:color w:val="000000" w:themeColor="text1"/>
          <w:sz w:val="24"/>
          <w:szCs w:val="24"/>
        </w:rPr>
      </w:pPr>
    </w:p>
    <w:p w:rsidR="008B13D2" w:rsidRPr="004E6093" w:rsidRDefault="0079299D" w:rsidP="004E6093">
      <w:pPr>
        <w:ind w:leftChars="200" w:left="420"/>
        <w:outlineLvl w:val="1"/>
        <w:rPr>
          <w:rFonts w:ascii="楷体" w:eastAsia="楷体" w:hAnsi="楷体"/>
          <w:b/>
          <w:color w:val="000000" w:themeColor="text1"/>
          <w:sz w:val="24"/>
          <w:szCs w:val="24"/>
        </w:rPr>
      </w:pPr>
      <w:bookmarkStart w:id="30" w:name="_Toc137112088"/>
      <w:r>
        <w:rPr>
          <w:rFonts w:ascii="楷体" w:eastAsia="楷体" w:hAnsi="楷体" w:hint="eastAsia"/>
          <w:b/>
          <w:color w:val="000000" w:themeColor="text1"/>
          <w:sz w:val="24"/>
          <w:szCs w:val="24"/>
        </w:rPr>
        <w:t>铅</w:t>
      </w:r>
      <w:r w:rsidR="008B13D2">
        <w:rPr>
          <w:rFonts w:ascii="楷体" w:eastAsia="楷体" w:hAnsi="楷体" w:hint="eastAsia"/>
          <w:b/>
          <w:color w:val="000000" w:themeColor="text1"/>
          <w:sz w:val="24"/>
          <w:szCs w:val="24"/>
        </w:rPr>
        <w:t>：</w:t>
      </w:r>
      <w:r w:rsidR="00127803" w:rsidRPr="00127803">
        <w:rPr>
          <w:rFonts w:ascii="楷体" w:eastAsia="楷体" w:hAnsi="楷体" w:hint="eastAsia"/>
          <w:b/>
          <w:color w:val="000000" w:themeColor="text1"/>
          <w:sz w:val="24"/>
          <w:szCs w:val="24"/>
        </w:rPr>
        <w:t>铅价维持区间震荡</w:t>
      </w:r>
      <w:bookmarkEnd w:id="30"/>
    </w:p>
    <w:p w:rsidR="008B13D2" w:rsidRPr="008B13D2" w:rsidRDefault="00127803" w:rsidP="008B13D2">
      <w:pPr>
        <w:ind w:leftChars="300" w:left="630"/>
        <w:rPr>
          <w:rFonts w:ascii="楷体" w:eastAsia="楷体" w:hAnsi="楷体"/>
          <w:color w:val="000000" w:themeColor="text1"/>
          <w:sz w:val="24"/>
          <w:szCs w:val="24"/>
        </w:rPr>
      </w:pPr>
      <w:r w:rsidRPr="00127803">
        <w:rPr>
          <w:rFonts w:ascii="楷体" w:eastAsia="楷体" w:hAnsi="楷体" w:hint="eastAsia"/>
          <w:color w:val="000000" w:themeColor="text1"/>
          <w:sz w:val="24"/>
          <w:szCs w:val="24"/>
        </w:rPr>
        <w:t>铅矿供应偏紧，冶炼副产品利润偏低，原生铅与再生铅产量增减相抵，废旧电池流动货源偏紧，再生铅利润走缩，部分炼厂生产积极性降低，后续原生铅产能部分进入检修，铅锭供应仍有压力。下游淡季消费平淡，铅蓄电池库存高位，国内库存低位走增，铅价上下空间有限，价格维持震荡</w:t>
      </w:r>
      <w:r w:rsidR="008B13D2">
        <w:rPr>
          <w:rFonts w:ascii="楷体" w:eastAsia="楷体" w:hAnsi="楷体" w:hint="eastAsia"/>
          <w:color w:val="000000" w:themeColor="text1"/>
          <w:sz w:val="24"/>
          <w:szCs w:val="24"/>
        </w:rPr>
        <w:t>。</w:t>
      </w:r>
    </w:p>
    <w:p w:rsidR="003F56A5" w:rsidRDefault="003F56A5">
      <w:pPr>
        <w:ind w:leftChars="300" w:left="630"/>
        <w:rPr>
          <w:rFonts w:ascii="楷体" w:eastAsia="楷体" w:hAnsi="楷体"/>
          <w:color w:val="000000" w:themeColor="text1"/>
          <w:sz w:val="24"/>
          <w:szCs w:val="24"/>
        </w:rPr>
      </w:pPr>
    </w:p>
    <w:p w:rsidR="003F56A5" w:rsidRDefault="00CC3FFA">
      <w:pPr>
        <w:ind w:leftChars="200" w:left="420"/>
        <w:outlineLvl w:val="1"/>
        <w:rPr>
          <w:rFonts w:ascii="楷体" w:eastAsia="楷体" w:hAnsi="楷体"/>
          <w:b/>
          <w:color w:val="000000" w:themeColor="text1"/>
          <w:sz w:val="24"/>
          <w:szCs w:val="24"/>
        </w:rPr>
      </w:pPr>
      <w:bookmarkStart w:id="31" w:name="_Toc137112089"/>
      <w:r>
        <w:rPr>
          <w:rFonts w:ascii="楷体" w:eastAsia="楷体" w:hAnsi="楷体" w:hint="eastAsia"/>
          <w:b/>
          <w:color w:val="000000" w:themeColor="text1"/>
          <w:sz w:val="24"/>
          <w:szCs w:val="24"/>
        </w:rPr>
        <w:t>不锈钢：</w:t>
      </w:r>
      <w:r w:rsidR="002C73FE" w:rsidRPr="002C73FE">
        <w:rPr>
          <w:rFonts w:ascii="楷体" w:eastAsia="楷体" w:hAnsi="楷体" w:hint="eastAsia"/>
          <w:b/>
          <w:color w:val="000000" w:themeColor="text1"/>
          <w:sz w:val="24"/>
          <w:szCs w:val="24"/>
        </w:rPr>
        <w:t>压力位附近逢高试空</w:t>
      </w:r>
      <w:bookmarkEnd w:id="31"/>
    </w:p>
    <w:p w:rsidR="003F56A5" w:rsidRDefault="002C73FE">
      <w:pPr>
        <w:ind w:leftChars="300" w:left="630"/>
        <w:rPr>
          <w:rFonts w:ascii="楷体" w:eastAsia="楷体" w:hAnsi="楷体"/>
          <w:color w:val="000000" w:themeColor="text1"/>
          <w:sz w:val="24"/>
          <w:szCs w:val="24"/>
        </w:rPr>
      </w:pPr>
      <w:r w:rsidRPr="002C73FE">
        <w:rPr>
          <w:rFonts w:ascii="楷体" w:eastAsia="楷体" w:hAnsi="楷体" w:hint="eastAsia"/>
          <w:color w:val="000000" w:themeColor="text1"/>
          <w:sz w:val="24"/>
          <w:szCs w:val="24"/>
        </w:rPr>
        <w:lastRenderedPageBreak/>
        <w:t>近日在国内政策预期驱动下，股市期市联动反弹，上周不锈钢社会库存再次出现明显下降，目前库存水平略低于去年同期，对市场情绪有所提振，但预期价格反弹空间不大，一方面镍铁价格仍有压力，成本端无法提供有力支撑，且供应弹性大而需求疲弱下，价格驱动不强。短期宏观氛围偏暖下，价格震荡偏强运行，关注SS2307在15400一线压力，考虑该压力位附近试空</w:t>
      </w:r>
      <w:r w:rsidR="00CC3FFA">
        <w:rPr>
          <w:rFonts w:ascii="楷体" w:eastAsia="楷体" w:hAnsi="楷体" w:hint="eastAsia"/>
          <w:color w:val="000000" w:themeColor="text1"/>
          <w:sz w:val="24"/>
          <w:szCs w:val="24"/>
        </w:rPr>
        <w:t>。</w:t>
      </w:r>
    </w:p>
    <w:p w:rsidR="003F56A5" w:rsidRDefault="003F56A5">
      <w:pPr>
        <w:rPr>
          <w:rFonts w:ascii="楷体" w:eastAsia="楷体" w:hAnsi="楷体"/>
          <w:bCs/>
          <w:sz w:val="24"/>
          <w:szCs w:val="24"/>
        </w:rPr>
      </w:pPr>
    </w:p>
    <w:p w:rsidR="003F56A5" w:rsidRDefault="00CC3FFA">
      <w:pPr>
        <w:ind w:leftChars="200" w:left="420"/>
        <w:outlineLvl w:val="1"/>
        <w:rPr>
          <w:rFonts w:ascii="楷体" w:eastAsia="楷体" w:hAnsi="楷体"/>
          <w:b/>
          <w:sz w:val="24"/>
          <w:szCs w:val="24"/>
        </w:rPr>
      </w:pPr>
      <w:bookmarkStart w:id="32" w:name="_Toc137112090"/>
      <w:r>
        <w:rPr>
          <w:rFonts w:ascii="楷体" w:eastAsia="楷体" w:hAnsi="楷体" w:hint="eastAsia"/>
          <w:b/>
          <w:color w:val="000000" w:themeColor="text1"/>
          <w:sz w:val="24"/>
          <w:szCs w:val="24"/>
        </w:rPr>
        <w:t>工业硅：</w:t>
      </w:r>
      <w:r w:rsidR="00127803" w:rsidRPr="00127803">
        <w:rPr>
          <w:rFonts w:ascii="楷体" w:eastAsia="楷体" w:hAnsi="楷体" w:hint="eastAsia"/>
          <w:b/>
          <w:sz w:val="24"/>
          <w:szCs w:val="24"/>
        </w:rPr>
        <w:t>供需格局偏宽松，市场或仍将承压运行</w:t>
      </w:r>
      <w:bookmarkEnd w:id="32"/>
    </w:p>
    <w:p w:rsidR="003F56A5" w:rsidRDefault="00127803" w:rsidP="007103A5">
      <w:pPr>
        <w:ind w:leftChars="300" w:left="630"/>
        <w:rPr>
          <w:rFonts w:ascii="楷体" w:eastAsia="楷体" w:hAnsi="楷体"/>
          <w:sz w:val="24"/>
          <w:szCs w:val="24"/>
        </w:rPr>
      </w:pPr>
      <w:r w:rsidRPr="00127803">
        <w:rPr>
          <w:rFonts w:ascii="楷体" w:eastAsia="楷体" w:hAnsi="楷体" w:hint="eastAsia"/>
          <w:sz w:val="24"/>
          <w:szCs w:val="24"/>
        </w:rPr>
        <w:t>6月7日，Si2308主力合约呈下行走势，收盘价12705元/吨，较上一收盘价涨跌幅-2.19%。供应方面，当前西南地区已开始逐步进入丰水期，当地工厂已有实质性复产迹象，预计后续供应将逐步增加;需求方面，据SMM消息，多晶硅料价格已跌破10万元大关，目前仍未见明显止跌迹象，下游需求整体以刚需采购为主，短期增量空间有限。综合来看，供需格局偏宽松，市场或仍将承压运行</w:t>
      </w:r>
      <w:r w:rsidR="00CC3FFA">
        <w:rPr>
          <w:rFonts w:ascii="楷体" w:eastAsia="楷体" w:hAnsi="楷体" w:hint="eastAsia"/>
          <w:sz w:val="24"/>
          <w:szCs w:val="24"/>
        </w:rPr>
        <w:t>。</w:t>
      </w:r>
    </w:p>
    <w:p w:rsidR="003F56A5" w:rsidRDefault="003F56A5">
      <w:pPr>
        <w:ind w:firstLineChars="200" w:firstLine="420"/>
        <w:rPr>
          <w:rFonts w:ascii="Times New Roman" w:eastAsia="楷体" w:hAnsi="Times New Roman"/>
          <w:bCs/>
        </w:rPr>
      </w:pPr>
    </w:p>
    <w:p w:rsidR="003F56A5" w:rsidRDefault="003F56A5">
      <w:pPr>
        <w:ind w:firstLineChars="200" w:firstLine="420"/>
        <w:rPr>
          <w:rFonts w:ascii="Times New Roman" w:eastAsia="楷体" w:hAnsi="Times New Roman"/>
          <w:bCs/>
        </w:rPr>
      </w:pPr>
    </w:p>
    <w:p w:rsidR="003F56A5" w:rsidRDefault="00CC3FFA">
      <w:pPr>
        <w:pBdr>
          <w:top w:val="single" w:sz="4" w:space="0" w:color="auto"/>
        </w:pBdr>
        <w:outlineLvl w:val="0"/>
        <w:rPr>
          <w:rFonts w:ascii="Times New Roman" w:eastAsia="楷体" w:hAnsi="Times New Roman"/>
          <w:b/>
          <w:color w:val="823C0B"/>
          <w:sz w:val="30"/>
          <w:szCs w:val="30"/>
        </w:rPr>
      </w:pPr>
      <w:bookmarkStart w:id="33" w:name="化工"/>
      <w:r>
        <w:rPr>
          <w:rFonts w:ascii="Times New Roman" w:eastAsia="楷体" w:hAnsi="Times New Roman" w:hint="eastAsia"/>
          <w:b/>
          <w:color w:val="823C0B"/>
          <w:sz w:val="30"/>
          <w:szCs w:val="30"/>
        </w:rPr>
        <w:t xml:space="preserve"> </w:t>
      </w:r>
      <w:bookmarkStart w:id="34" w:name="_Toc137112091"/>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化工</w:t>
      </w:r>
      <w:r>
        <w:rPr>
          <w:rFonts w:ascii="Times New Roman" w:eastAsia="楷体" w:hAnsi="Times New Roman" w:hint="eastAsia"/>
          <w:b/>
          <w:color w:val="823C0B"/>
          <w:sz w:val="30"/>
          <w:szCs w:val="30"/>
        </w:rPr>
        <w:t>]</w:t>
      </w:r>
      <w:bookmarkEnd w:id="33"/>
      <w:bookmarkEnd w:id="34"/>
    </w:p>
    <w:p w:rsidR="003F56A5" w:rsidRPr="005B790A" w:rsidRDefault="00CC3FFA" w:rsidP="005B790A">
      <w:pPr>
        <w:ind w:firstLineChars="200" w:firstLine="482"/>
        <w:outlineLvl w:val="1"/>
        <w:rPr>
          <w:rFonts w:ascii="楷体" w:eastAsia="楷体" w:hAnsi="楷体"/>
          <w:b/>
          <w:sz w:val="24"/>
          <w:szCs w:val="24"/>
        </w:rPr>
      </w:pPr>
      <w:bookmarkStart w:id="35" w:name="_Toc137112092"/>
      <w:r>
        <w:rPr>
          <w:rFonts w:ascii="Times New Roman" w:eastAsia="楷体" w:hAnsi="Times New Roman" w:hint="eastAsia"/>
          <w:b/>
          <w:color w:val="000000" w:themeColor="text1"/>
          <w:sz w:val="24"/>
          <w:szCs w:val="24"/>
        </w:rPr>
        <w:t>天然橡胶</w:t>
      </w:r>
      <w:r>
        <w:rPr>
          <w:rFonts w:ascii="Times New Roman" w:eastAsia="楷体" w:hAnsi="Times New Roman" w:hint="eastAsia"/>
          <w:b/>
          <w:color w:val="000000" w:themeColor="text1"/>
          <w:sz w:val="24"/>
          <w:szCs w:val="24"/>
        </w:rPr>
        <w:t>:</w:t>
      </w:r>
      <w:r w:rsidR="00B17165" w:rsidRPr="00B17165">
        <w:rPr>
          <w:rFonts w:ascii="楷体" w:eastAsia="楷体" w:hAnsi="楷体" w:hint="eastAsia"/>
          <w:b/>
          <w:sz w:val="24"/>
          <w:szCs w:val="24"/>
        </w:rPr>
        <w:t xml:space="preserve"> </w:t>
      </w:r>
      <w:r w:rsidR="00127803" w:rsidRPr="00127803">
        <w:rPr>
          <w:rFonts w:ascii="楷体" w:eastAsia="楷体" w:hAnsi="楷体" w:hint="eastAsia"/>
          <w:b/>
          <w:sz w:val="24"/>
          <w:szCs w:val="24"/>
        </w:rPr>
        <w:t>港口库存去库前，RU维持低位震荡</w:t>
      </w:r>
      <w:bookmarkEnd w:id="35"/>
    </w:p>
    <w:p w:rsidR="003F56A5" w:rsidRDefault="00127803">
      <w:pPr>
        <w:ind w:leftChars="300" w:left="630"/>
        <w:rPr>
          <w:rFonts w:ascii="楷体" w:eastAsia="楷体" w:hAnsi="楷体"/>
          <w:sz w:val="24"/>
          <w:szCs w:val="24"/>
        </w:rPr>
      </w:pPr>
      <w:r w:rsidRPr="00127803">
        <w:rPr>
          <w:rFonts w:ascii="楷体" w:eastAsia="楷体" w:hAnsi="楷体" w:hint="eastAsia"/>
          <w:sz w:val="24"/>
          <w:szCs w:val="24"/>
        </w:rPr>
        <w:t>点评：昨日天胶小幅反弹，或与库存累库放缓和乘用车销量回暖有关。而当前制约RU价格上行的主要矛盾还是屡创新高的港口库存。尽管短期美元汇率涨势强劲，进口货源或随之减量，库存高企有望得到改善。但上周天胶港口库存超预期大幅累库，导致本周即便累库速度放缓但港口库存依旧逼近百万吨大关，RU仍然需要谨防回落风险。橡胶其余基本面来看，供应端，国内外产区处于新胶增量初期，原料价格短时波动不大，工厂利润不断受到挤压，胶价下行空间有限，因此成本端支撑尚可。橡胶下游轮胎方面，多数企业内外销订单排产稳定，企业产能利用率将维持在偏高水平，期间不排除个别企业为控制库存，存临时降负可能。终端汽车方面，5月份乘用车终端销量在175万辆左右，环比继续小幅上升。从分项指数来看，汽车市场需求、平均日销量、经营状况指数环比上升，车市整体温和回暖；重卡方面，5月我国重卡市场大约万辆左右，环比下滑16%，同比增长42%，全行业仅仅处于弱复苏阶段，还未完全进入恢复期间。出口方面，Q1轮胎累计出口量同比微幅回升，前期对海外市场经济衰退和轮胎消费疲软的预期被证实过度悲观。综合来看，短期内橡胶收储与供应利好消退，并在库存压制下，持续好转预期仍弱。此外，RU2401-RU2309价差回落在一定程度上反应了仓单增长的预期，同时也显示了轮储可能性的下降。在目前橡胶基本面颓势下，同时面临着09合约交割前期现价差回归压力下，短期行情仍会回归供需基本面属性，震荡为主</w:t>
      </w:r>
      <w:r w:rsidR="00CC3FFA">
        <w:rPr>
          <w:rFonts w:ascii="楷体" w:eastAsia="楷体" w:hAnsi="楷体" w:hint="eastAsia"/>
          <w:sz w:val="24"/>
          <w:szCs w:val="24"/>
        </w:rPr>
        <w:t>。</w:t>
      </w:r>
    </w:p>
    <w:p w:rsidR="003F56A5" w:rsidRDefault="003F56A5">
      <w:pPr>
        <w:ind w:firstLineChars="200" w:firstLine="480"/>
        <w:rPr>
          <w:rFonts w:ascii="楷体" w:eastAsia="楷体" w:hAnsi="楷体"/>
          <w:sz w:val="24"/>
          <w:szCs w:val="24"/>
        </w:rPr>
      </w:pPr>
    </w:p>
    <w:p w:rsidR="003F56A5" w:rsidRDefault="00CC3FFA">
      <w:pPr>
        <w:ind w:leftChars="200" w:left="420"/>
        <w:outlineLvl w:val="1"/>
        <w:rPr>
          <w:rFonts w:ascii="楷体" w:eastAsia="楷体" w:hAnsi="楷体"/>
          <w:b/>
          <w:color w:val="000000" w:themeColor="text1"/>
          <w:sz w:val="24"/>
          <w:szCs w:val="24"/>
        </w:rPr>
      </w:pPr>
      <w:bookmarkStart w:id="36" w:name="_Toc137112093"/>
      <w:r>
        <w:rPr>
          <w:rFonts w:ascii="楷体" w:eastAsia="楷体" w:hAnsi="楷体"/>
          <w:b/>
          <w:color w:val="000000" w:themeColor="text1"/>
          <w:sz w:val="24"/>
          <w:szCs w:val="24"/>
        </w:rPr>
        <w:t>PTA</w:t>
      </w:r>
      <w:r>
        <w:rPr>
          <w:rFonts w:ascii="楷体" w:eastAsia="楷体" w:hAnsi="楷体" w:hint="eastAsia"/>
          <w:b/>
          <w:color w:val="000000" w:themeColor="text1"/>
          <w:sz w:val="24"/>
          <w:szCs w:val="24"/>
        </w:rPr>
        <w:t>：</w:t>
      </w:r>
      <w:r w:rsidR="00127803" w:rsidRPr="00127803">
        <w:rPr>
          <w:rFonts w:ascii="楷体" w:eastAsia="楷体" w:hAnsi="楷体" w:hint="eastAsia"/>
          <w:b/>
          <w:color w:val="000000" w:themeColor="text1"/>
          <w:sz w:val="24"/>
          <w:szCs w:val="24"/>
        </w:rPr>
        <w:t>反弹空间有限 关注上方压力位</w:t>
      </w:r>
      <w:bookmarkEnd w:id="36"/>
      <w:r>
        <w:rPr>
          <w:rFonts w:ascii="楷体" w:eastAsia="楷体" w:hAnsi="楷体" w:hint="eastAsia"/>
          <w:b/>
          <w:color w:val="000000" w:themeColor="text1"/>
          <w:sz w:val="24"/>
          <w:szCs w:val="24"/>
        </w:rPr>
        <w:t xml:space="preserve"> </w:t>
      </w:r>
    </w:p>
    <w:p w:rsidR="003F56A5" w:rsidRDefault="00127803" w:rsidP="002C73FE">
      <w:pPr>
        <w:ind w:leftChars="300" w:left="630"/>
        <w:rPr>
          <w:rFonts w:ascii="楷体" w:eastAsia="楷体" w:hAnsi="楷体"/>
          <w:color w:val="000000" w:themeColor="text1"/>
          <w:sz w:val="24"/>
          <w:szCs w:val="24"/>
        </w:rPr>
      </w:pPr>
      <w:r w:rsidRPr="00127803">
        <w:rPr>
          <w:rFonts w:ascii="楷体" w:eastAsia="楷体" w:hAnsi="楷体" w:hint="eastAsia"/>
          <w:color w:val="000000" w:themeColor="text1"/>
          <w:sz w:val="24"/>
          <w:szCs w:val="24"/>
        </w:rPr>
        <w:t>供给方面，独山能源250万吨重启，威联化学重启未出产品，亚东75万吨停车，三房巷120万吨装置停车，至6.1 PTA负荷调整至72.7%(+0.9%)。独山能源检修2周后将在6月上重启，6月中上旬开工负荷将低位回升。需求方面，上周其实有三套聚酯装置检修，但是同期除了有两套装置开启</w:t>
      </w:r>
      <w:r w:rsidRPr="00127803">
        <w:rPr>
          <w:rFonts w:ascii="楷体" w:eastAsia="楷体" w:hAnsi="楷体" w:hint="eastAsia"/>
          <w:color w:val="000000" w:themeColor="text1"/>
          <w:sz w:val="24"/>
          <w:szCs w:val="24"/>
        </w:rPr>
        <w:lastRenderedPageBreak/>
        <w:t>之外，还有更多工厂负荷提升中，尤其个别工厂近期提负较快，聚酯负荷整体继续提升。截至6.1，初步核算国内大陆地区聚酯负荷在92.2%（+2.1%)附近。目前涤纶长丝及短纤的社会库存处于年内低位，但终端弹丝、纱线、坯布库存还在逐步攀升中，终端减产压力较大。展望后市，近期PTA供需去库格局驱动现货端利润达到预期水平，后续PTA行情走势逻辑仍由成本端主导。OPEC+加深减产后对盘面提供进一步支撑，但利好程度呈现弱化状态叠加PX调油需求转弱，TA上方驱动不足。随着前期检修装置陆续重启，且考虑到近期PTA加工费尚可，预估6月新增检修有限，开工率有回升预期，6月中下旬供应格局偏宽松。终端减产压力较大，负反馈传导到原料端预期升温。成本端支撑不足叠加供需偏宽松预期，PTA反弹空间有限，关注5600附近压力位。仅供参考</w:t>
      </w:r>
      <w:r w:rsidR="00CC3FFA">
        <w:rPr>
          <w:rFonts w:ascii="楷体" w:eastAsia="楷体" w:hAnsi="楷体" w:hint="eastAsia"/>
          <w:color w:val="000000" w:themeColor="text1"/>
          <w:sz w:val="24"/>
          <w:szCs w:val="24"/>
        </w:rPr>
        <w:t>。</w:t>
      </w:r>
    </w:p>
    <w:p w:rsidR="003F56A5" w:rsidRDefault="003F56A5">
      <w:pPr>
        <w:ind w:leftChars="300" w:left="630"/>
        <w:rPr>
          <w:rFonts w:ascii="楷体" w:eastAsia="楷体" w:hAnsi="楷体"/>
          <w:color w:val="000000" w:themeColor="text1"/>
          <w:sz w:val="24"/>
          <w:szCs w:val="24"/>
        </w:rPr>
      </w:pPr>
    </w:p>
    <w:p w:rsidR="003F56A5" w:rsidRDefault="00CC3FFA">
      <w:pPr>
        <w:ind w:leftChars="200" w:left="420"/>
        <w:outlineLvl w:val="1"/>
        <w:rPr>
          <w:rFonts w:ascii="楷体" w:eastAsia="楷体" w:hAnsi="楷体"/>
          <w:b/>
          <w:color w:val="000000" w:themeColor="text1"/>
          <w:sz w:val="24"/>
          <w:szCs w:val="24"/>
        </w:rPr>
      </w:pPr>
      <w:bookmarkStart w:id="37" w:name="_Toc137112094"/>
      <w:r>
        <w:rPr>
          <w:rFonts w:ascii="楷体" w:eastAsia="楷体" w:hAnsi="楷体" w:hint="eastAsia"/>
          <w:b/>
          <w:color w:val="000000" w:themeColor="text1"/>
          <w:sz w:val="24"/>
          <w:szCs w:val="24"/>
        </w:rPr>
        <w:t>PVC：</w:t>
      </w:r>
      <w:r w:rsidR="00E34EAB" w:rsidRPr="00E34EAB">
        <w:rPr>
          <w:rFonts w:ascii="楷体" w:eastAsia="楷体" w:hAnsi="楷体" w:hint="eastAsia"/>
          <w:b/>
          <w:color w:val="000000" w:themeColor="text1"/>
          <w:sz w:val="24"/>
          <w:szCs w:val="24"/>
        </w:rPr>
        <w:t>高库存+弱复苏 驱动不足</w:t>
      </w:r>
      <w:bookmarkEnd w:id="37"/>
    </w:p>
    <w:p w:rsidR="003F56A5" w:rsidRDefault="00E34EAB">
      <w:pPr>
        <w:ind w:leftChars="300" w:left="630"/>
        <w:rPr>
          <w:rFonts w:ascii="楷体" w:eastAsia="楷体" w:hAnsi="楷体"/>
          <w:color w:val="000000" w:themeColor="text1"/>
          <w:sz w:val="24"/>
          <w:szCs w:val="24"/>
        </w:rPr>
      </w:pPr>
      <w:r w:rsidRPr="00E34EAB">
        <w:rPr>
          <w:rFonts w:ascii="楷体" w:eastAsia="楷体" w:hAnsi="楷体" w:hint="eastAsia"/>
          <w:color w:val="000000" w:themeColor="text1"/>
          <w:sz w:val="24"/>
          <w:szCs w:val="24"/>
        </w:rPr>
        <w:t>本周国内PVC行业开工负荷率小幅下降，据卓创资讯数据显示，本周PVC整体开工负荷率76.74%，环比下降0.72%；其中电石法PVC开工负荷率73.15%，环比下降1.40%；乙烯法PVC开工负荷率89.03%，环比增加1.61%。乙烯法产品出口较多，开工率提升对供给压力不大。从下游开工情况来看，近期下游开工走弱。本周管材开工率62.%，较上周下滑7.73%；型材开工率51.25%，较上周降1.25%。由于终端需求不佳，PVC下游企业以刚需补库为主，以华东地区为例，如果现货回落到6000元/吨左右，下游补库意向强烈。且前几日V期货触底6000附近下游成交单日华东+华南超过7万吨。但一旦反弹至6300附近，下游对于原料高价又较为抵触。综合来看，PVC近期受高库存及温和复苏的需求使得价格缺乏明显的向上驱动。短期来看供需关系的好转较为缓慢，预计上半年需求端的增长有限，PVC 行情持续上涨缺乏驱动。维持6000-6300区间操作为主</w:t>
      </w:r>
      <w:r w:rsidR="00CC3FFA">
        <w:rPr>
          <w:rFonts w:ascii="楷体" w:eastAsia="楷体" w:hAnsi="楷体" w:hint="eastAsia"/>
          <w:color w:val="000000" w:themeColor="text1"/>
          <w:sz w:val="24"/>
          <w:szCs w:val="24"/>
        </w:rPr>
        <w:t>。</w:t>
      </w:r>
    </w:p>
    <w:p w:rsidR="003F56A5" w:rsidRDefault="003F56A5">
      <w:pPr>
        <w:rPr>
          <w:rFonts w:ascii="楷体" w:eastAsia="楷体" w:hAnsi="楷体"/>
          <w:bCs/>
          <w:sz w:val="24"/>
          <w:szCs w:val="24"/>
        </w:rPr>
      </w:pPr>
    </w:p>
    <w:p w:rsidR="003F56A5" w:rsidRPr="00E373B2" w:rsidRDefault="00CC3FFA" w:rsidP="00E373B2">
      <w:pPr>
        <w:ind w:leftChars="200" w:left="420"/>
        <w:outlineLvl w:val="1"/>
        <w:rPr>
          <w:rFonts w:ascii="楷体" w:eastAsia="楷体" w:hAnsi="楷体"/>
          <w:b/>
          <w:color w:val="000000" w:themeColor="text1"/>
          <w:sz w:val="24"/>
          <w:szCs w:val="24"/>
        </w:rPr>
      </w:pPr>
      <w:bookmarkStart w:id="38" w:name="_Toc137112095"/>
      <w:r>
        <w:rPr>
          <w:rFonts w:ascii="楷体" w:eastAsia="楷体" w:hAnsi="楷体" w:hint="eastAsia"/>
          <w:b/>
          <w:color w:val="000000" w:themeColor="text1"/>
          <w:sz w:val="24"/>
          <w:szCs w:val="24"/>
        </w:rPr>
        <w:t>聚烯烃：</w:t>
      </w:r>
      <w:r w:rsidR="00127803" w:rsidRPr="00127803">
        <w:rPr>
          <w:rFonts w:ascii="楷体" w:eastAsia="楷体" w:hAnsi="楷体" w:hint="eastAsia"/>
          <w:b/>
          <w:color w:val="000000" w:themeColor="text1"/>
          <w:sz w:val="24"/>
          <w:szCs w:val="24"/>
        </w:rPr>
        <w:t>下游需求未见好转，聚烯烃或偏弱整理</w:t>
      </w:r>
      <w:bookmarkEnd w:id="38"/>
    </w:p>
    <w:p w:rsidR="003F56A5" w:rsidRDefault="00127803">
      <w:pPr>
        <w:ind w:leftChars="300" w:left="630"/>
        <w:rPr>
          <w:rFonts w:ascii="楷体" w:eastAsia="楷体" w:hAnsi="楷体"/>
          <w:bCs/>
          <w:sz w:val="24"/>
          <w:szCs w:val="24"/>
        </w:rPr>
      </w:pPr>
      <w:r w:rsidRPr="00127803">
        <w:rPr>
          <w:rFonts w:ascii="楷体" w:eastAsia="楷体" w:hAnsi="楷体" w:hint="eastAsia"/>
          <w:color w:val="000000" w:themeColor="text1"/>
          <w:sz w:val="24"/>
          <w:szCs w:val="24"/>
        </w:rPr>
        <w:t>近期聚烯烃窄幅波动。库存方面，PE上周五库存环比下降4.68%，其中主要生产环节PE库存环比下降7.26%，PE样本港口库存环比下降0.35%，样本贸易企业库存环比下降5.85%。上周五PP库存环比环比下降5.96%。其中主要生产环节PP库存、港口库存下降，贸易环节库存上升。聚烯烃整体呈现去库速度放缓。成本方面，美元汇率下跌、美国原油库存减少抵消了美国成品油库存增加影响，国际油价收涨；需求方面，PE下游方面，农膜整体需求平平，工厂生产清淡。棚膜工厂多停机检修；PP下游方面，BOPP市场成交刚需有量，整体量较上一交易日增加，BOPP企业未交付订单多数在一周以内，个别可至6月下旬。综合来看，PE方面，原油成本端走势回暖，对聚乙烯支撑力度尚可；供应端，近期检修集中季，供应压力不大；需求端下游工厂处于淡季，刚需采购为主，对原料端需求提振力度有限。综上所述预计今日聚乙烯价格震荡偏弱整理。PP方面，前期检修装置陆续重启，装置减损量小幅回落，产能利用率上涨，叠加新增产能即将投产放量，供应压力增大，下游需求复苏弱于市场预期，缺乏新订单，利润缩减压制下开工负荷显著降低，供大于求的局面难破。预计今日市场偏弱震荡整理</w:t>
      </w:r>
      <w:r w:rsidR="00CC3FFA">
        <w:rPr>
          <w:rFonts w:ascii="楷体" w:eastAsia="楷体" w:hAnsi="楷体" w:hint="eastAsia"/>
          <w:color w:val="000000" w:themeColor="text1"/>
          <w:sz w:val="24"/>
          <w:szCs w:val="24"/>
        </w:rPr>
        <w:t>。</w:t>
      </w:r>
    </w:p>
    <w:p w:rsidR="003F56A5" w:rsidRDefault="003F56A5">
      <w:pPr>
        <w:ind w:firstLineChars="200" w:firstLine="480"/>
        <w:rPr>
          <w:rFonts w:ascii="楷体" w:eastAsia="楷体" w:hAnsi="楷体"/>
          <w:bCs/>
          <w:sz w:val="24"/>
          <w:szCs w:val="24"/>
        </w:rPr>
      </w:pPr>
    </w:p>
    <w:p w:rsidR="003F56A5" w:rsidRDefault="00CC3FFA">
      <w:pPr>
        <w:ind w:leftChars="200" w:left="420"/>
        <w:outlineLvl w:val="1"/>
        <w:rPr>
          <w:rFonts w:ascii="楷体" w:eastAsia="楷体" w:hAnsi="楷体"/>
          <w:b/>
          <w:color w:val="000000" w:themeColor="text1"/>
          <w:sz w:val="24"/>
          <w:szCs w:val="24"/>
        </w:rPr>
      </w:pPr>
      <w:bookmarkStart w:id="39" w:name="_Toc137112096"/>
      <w:r>
        <w:rPr>
          <w:rFonts w:ascii="楷体" w:eastAsia="楷体" w:hAnsi="楷体" w:hint="eastAsia"/>
          <w:b/>
          <w:color w:val="000000" w:themeColor="text1"/>
          <w:sz w:val="24"/>
          <w:szCs w:val="24"/>
        </w:rPr>
        <w:lastRenderedPageBreak/>
        <w:t>MEG：</w:t>
      </w:r>
      <w:r w:rsidR="00127803" w:rsidRPr="00127803">
        <w:rPr>
          <w:rFonts w:ascii="楷体" w:eastAsia="楷体" w:hAnsi="楷体" w:hint="eastAsia"/>
          <w:b/>
          <w:color w:val="000000" w:themeColor="text1"/>
          <w:sz w:val="24"/>
          <w:szCs w:val="24"/>
        </w:rPr>
        <w:t>成本端煤、乙烯大幅走低估值重心下移</w:t>
      </w:r>
      <w:bookmarkEnd w:id="39"/>
    </w:p>
    <w:p w:rsidR="003F56A5" w:rsidRDefault="00127803" w:rsidP="00115EEA">
      <w:pPr>
        <w:ind w:leftChars="300" w:left="630"/>
        <w:rPr>
          <w:rFonts w:ascii="楷体" w:eastAsia="楷体" w:hAnsi="楷体"/>
          <w:color w:val="000000" w:themeColor="text1"/>
          <w:sz w:val="24"/>
          <w:szCs w:val="24"/>
        </w:rPr>
      </w:pPr>
      <w:r w:rsidRPr="00127803">
        <w:rPr>
          <w:rFonts w:ascii="楷体" w:eastAsia="楷体" w:hAnsi="楷体" w:hint="eastAsia"/>
          <w:color w:val="000000" w:themeColor="text1"/>
          <w:sz w:val="24"/>
          <w:szCs w:val="24"/>
        </w:rPr>
        <w:t>供需情况，6.5 华东主港地区MEG港口库存约102.2万吨附近，环比上期增加1万吨。截至2023年6月5日，国内乙二醇华东总到港量预计在14.5万吨，较上一期增加2.2万吨，增加9.02%。近期港口到港增多，华东主港库存小幅累积。 截至6月1日，中国大陆地区乙二醇整体开工负荷在54.52%（+1.60%），其中煤制乙二醇开工负荷在59.04%（+5.59%）。煤制乙二醇亏损延续大幅修复，煤制负荷延续回升。近期乙二醇开工率回升至54%偏上，后续仍有提升空间。新装置三江石化新装置投产较为顺利，预计下月将维持偏高负荷运行。进口方面来看，本周起随着美国货以及伊朗货陆续抵港，乙二醇主港到货量将逐步增加。聚酯需求端来看，截止6.1， 初步核算国内大陆地区聚酯负荷在92.2%高位附近。终端方面上周江浙终端开工率局部调整，江浙加弹综合开工率83%(+1%)，江浙织机综合开工率74%(+1%），江浙印染综合开工率77%（-1%）。展望后市，前期停车装置多以短停检修为主，近期开工率已从低点恢复。且乙二醇海外供应逐步增量中，预计6-7月乙二醇进口增量8-10万吨左右，后续供应压力增加。成本端煤、乙烯大幅走低下利润持续修复后煤企开工率提升预期增加，上行驱动不足，09合约估值或进一步下移。仅供参考</w:t>
      </w:r>
      <w:r w:rsidR="00CC3FFA">
        <w:rPr>
          <w:rFonts w:ascii="楷体" w:eastAsia="楷体" w:hAnsi="楷体" w:hint="eastAsia"/>
          <w:color w:val="000000" w:themeColor="text1"/>
          <w:sz w:val="24"/>
          <w:szCs w:val="24"/>
        </w:rPr>
        <w:t>。</w:t>
      </w:r>
    </w:p>
    <w:p w:rsidR="00A71A7E" w:rsidRDefault="00A71A7E" w:rsidP="00E45000">
      <w:pPr>
        <w:ind w:leftChars="300" w:left="630"/>
        <w:rPr>
          <w:rFonts w:ascii="楷体" w:eastAsia="楷体" w:hAnsi="楷体"/>
          <w:bCs/>
          <w:sz w:val="24"/>
          <w:szCs w:val="24"/>
        </w:rPr>
      </w:pPr>
    </w:p>
    <w:p w:rsidR="00A71A7E" w:rsidRDefault="0079299D" w:rsidP="00A71A7E">
      <w:pPr>
        <w:ind w:leftChars="200" w:left="420"/>
        <w:outlineLvl w:val="1"/>
        <w:rPr>
          <w:rFonts w:ascii="楷体" w:eastAsia="楷体" w:hAnsi="楷体"/>
          <w:b/>
          <w:color w:val="000000" w:themeColor="text1"/>
          <w:sz w:val="24"/>
          <w:szCs w:val="24"/>
        </w:rPr>
      </w:pPr>
      <w:bookmarkStart w:id="40" w:name="_Toc137112097"/>
      <w:r>
        <w:rPr>
          <w:rFonts w:ascii="楷体" w:eastAsia="楷体" w:hAnsi="楷体" w:hint="eastAsia"/>
          <w:b/>
          <w:color w:val="000000" w:themeColor="text1"/>
          <w:sz w:val="24"/>
          <w:szCs w:val="24"/>
        </w:rPr>
        <w:t>玻璃</w:t>
      </w:r>
      <w:r w:rsidR="00A71A7E">
        <w:rPr>
          <w:rFonts w:ascii="楷体" w:eastAsia="楷体" w:hAnsi="楷体" w:hint="eastAsia"/>
          <w:b/>
          <w:color w:val="000000" w:themeColor="text1"/>
          <w:sz w:val="24"/>
          <w:szCs w:val="24"/>
        </w:rPr>
        <w:t>：</w:t>
      </w:r>
      <w:r w:rsidR="00127803" w:rsidRPr="00127803">
        <w:rPr>
          <w:rFonts w:ascii="楷体" w:eastAsia="楷体" w:hAnsi="楷体" w:hint="eastAsia"/>
          <w:b/>
          <w:color w:val="000000" w:themeColor="text1"/>
          <w:sz w:val="24"/>
          <w:szCs w:val="24"/>
        </w:rPr>
        <w:t>需求偏弱，短期继续围绕政策预期博弈</w:t>
      </w:r>
      <w:bookmarkEnd w:id="40"/>
    </w:p>
    <w:p w:rsidR="00A71A7E" w:rsidRDefault="00127803" w:rsidP="0079299D">
      <w:pPr>
        <w:ind w:leftChars="300" w:left="630"/>
        <w:rPr>
          <w:rFonts w:ascii="楷体" w:eastAsia="楷体" w:hAnsi="楷体"/>
          <w:color w:val="000000" w:themeColor="text1"/>
          <w:sz w:val="24"/>
          <w:szCs w:val="24"/>
        </w:rPr>
      </w:pPr>
      <w:r w:rsidRPr="00127803">
        <w:rPr>
          <w:rFonts w:ascii="楷体" w:eastAsia="楷体" w:hAnsi="楷体" w:hint="eastAsia"/>
          <w:color w:val="000000" w:themeColor="text1"/>
          <w:sz w:val="24"/>
          <w:szCs w:val="24"/>
        </w:rPr>
        <w:t>今日浮法玻璃现货价格2032，较上交易日-6。沙河和西南地区价格继续松动，延续下跌。各地区再出保价政策，但下游需求一般，加工厂保持观望，以刚需采购为主。供给本周有产线复产，供给预增。在弱需求情况下，市场对政策刺激有一定期待，短期缺乏主线，继续围绕需求预期博弈。市场走震荡行情，建议观望为主。中长期来看，现货价格尚未稳定，建议等待稳价后低多</w:t>
      </w:r>
      <w:r w:rsidR="00A71A7E">
        <w:rPr>
          <w:rFonts w:ascii="楷体" w:eastAsia="楷体" w:hAnsi="楷体" w:hint="eastAsia"/>
          <w:color w:val="000000" w:themeColor="text1"/>
          <w:sz w:val="24"/>
          <w:szCs w:val="24"/>
        </w:rPr>
        <w:t>。</w:t>
      </w:r>
    </w:p>
    <w:p w:rsidR="00A71A7E" w:rsidRDefault="00A71A7E" w:rsidP="00A71A7E">
      <w:pPr>
        <w:ind w:leftChars="300" w:left="630"/>
        <w:rPr>
          <w:rFonts w:ascii="楷体" w:eastAsia="楷体" w:hAnsi="楷体"/>
          <w:bCs/>
          <w:sz w:val="24"/>
          <w:szCs w:val="24"/>
        </w:rPr>
      </w:pPr>
    </w:p>
    <w:p w:rsidR="00A71A7E" w:rsidRDefault="0079299D" w:rsidP="00A71A7E">
      <w:pPr>
        <w:ind w:leftChars="200" w:left="420"/>
        <w:outlineLvl w:val="1"/>
        <w:rPr>
          <w:rFonts w:ascii="楷体" w:eastAsia="楷体" w:hAnsi="楷体"/>
          <w:b/>
          <w:color w:val="000000" w:themeColor="text1"/>
          <w:sz w:val="24"/>
          <w:szCs w:val="24"/>
        </w:rPr>
      </w:pPr>
      <w:bookmarkStart w:id="41" w:name="_Toc137112098"/>
      <w:r>
        <w:rPr>
          <w:rFonts w:ascii="楷体" w:eastAsia="楷体" w:hAnsi="楷体" w:hint="eastAsia"/>
          <w:b/>
          <w:color w:val="000000" w:themeColor="text1"/>
          <w:sz w:val="24"/>
          <w:szCs w:val="24"/>
        </w:rPr>
        <w:t>纯碱</w:t>
      </w:r>
      <w:r w:rsidR="00A71A7E">
        <w:rPr>
          <w:rFonts w:ascii="楷体" w:eastAsia="楷体" w:hAnsi="楷体" w:hint="eastAsia"/>
          <w:b/>
          <w:color w:val="000000" w:themeColor="text1"/>
          <w:sz w:val="24"/>
          <w:szCs w:val="24"/>
        </w:rPr>
        <w:t>：</w:t>
      </w:r>
      <w:r w:rsidR="00127803" w:rsidRPr="00127803">
        <w:rPr>
          <w:rFonts w:ascii="楷体" w:eastAsia="楷体" w:hAnsi="楷体" w:hint="eastAsia"/>
          <w:b/>
          <w:color w:val="000000" w:themeColor="text1"/>
          <w:sz w:val="24"/>
          <w:szCs w:val="24"/>
        </w:rPr>
        <w:t>基本面变化不大，维持震荡走势</w:t>
      </w:r>
      <w:bookmarkEnd w:id="41"/>
    </w:p>
    <w:p w:rsidR="00A71A7E" w:rsidRDefault="00127803" w:rsidP="00A71A7E">
      <w:pPr>
        <w:ind w:leftChars="300" w:left="630"/>
        <w:rPr>
          <w:rFonts w:ascii="楷体" w:eastAsia="楷体" w:hAnsi="楷体"/>
          <w:bCs/>
          <w:sz w:val="24"/>
          <w:szCs w:val="24"/>
        </w:rPr>
      </w:pPr>
      <w:r w:rsidRPr="00127803">
        <w:rPr>
          <w:rFonts w:ascii="楷体" w:eastAsia="楷体" w:hAnsi="楷体" w:hint="eastAsia"/>
          <w:color w:val="000000" w:themeColor="text1"/>
          <w:sz w:val="24"/>
          <w:szCs w:val="24"/>
        </w:rPr>
        <w:t>纯碱市场小幅震荡，现货表现尚可，库存下降，订单增加。青海五彩装置恢复稳定，需求端适量补库，基本面平淡无大变化。短期维持窄幅震荡判断</w:t>
      </w:r>
      <w:r w:rsidR="00A71A7E">
        <w:rPr>
          <w:rFonts w:ascii="楷体" w:eastAsia="楷体" w:hAnsi="楷体" w:hint="eastAsia"/>
          <w:color w:val="000000" w:themeColor="text1"/>
          <w:sz w:val="24"/>
          <w:szCs w:val="24"/>
        </w:rPr>
        <w:t>。</w:t>
      </w:r>
    </w:p>
    <w:p w:rsidR="003F56A5" w:rsidRPr="00A71A7E" w:rsidRDefault="003F56A5">
      <w:pPr>
        <w:ind w:firstLineChars="200" w:firstLine="480"/>
        <w:rPr>
          <w:rFonts w:ascii="楷体" w:eastAsia="楷体" w:hAnsi="楷体"/>
          <w:bCs/>
          <w:sz w:val="24"/>
          <w:szCs w:val="24"/>
        </w:rPr>
      </w:pPr>
    </w:p>
    <w:p w:rsidR="003F56A5" w:rsidRDefault="003F56A5">
      <w:pPr>
        <w:ind w:firstLineChars="200" w:firstLine="420"/>
        <w:rPr>
          <w:rFonts w:ascii="Times New Roman" w:eastAsia="楷体" w:hAnsi="Times New Roman"/>
          <w:bCs/>
        </w:rPr>
      </w:pPr>
    </w:p>
    <w:p w:rsidR="003F56A5" w:rsidRDefault="00CC3FFA">
      <w:pPr>
        <w:pBdr>
          <w:top w:val="single" w:sz="4" w:space="1" w:color="auto"/>
        </w:pBdr>
        <w:outlineLvl w:val="0"/>
        <w:rPr>
          <w:rFonts w:ascii="Times New Roman" w:eastAsia="楷体" w:hAnsi="Times New Roman"/>
          <w:b/>
          <w:color w:val="823C0B"/>
          <w:sz w:val="30"/>
          <w:szCs w:val="30"/>
        </w:rPr>
      </w:pPr>
      <w:r>
        <w:rPr>
          <w:rFonts w:ascii="Times New Roman" w:eastAsia="楷体" w:hAnsi="Times New Roman" w:hint="eastAsia"/>
          <w:b/>
          <w:color w:val="823C0B"/>
          <w:sz w:val="30"/>
          <w:szCs w:val="30"/>
        </w:rPr>
        <w:t xml:space="preserve"> </w:t>
      </w:r>
      <w:bookmarkStart w:id="42" w:name="_Toc137112099"/>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农产品</w:t>
      </w:r>
      <w:r>
        <w:rPr>
          <w:rFonts w:ascii="Times New Roman" w:eastAsia="楷体" w:hAnsi="Times New Roman" w:hint="eastAsia"/>
          <w:b/>
          <w:color w:val="823C0B"/>
          <w:sz w:val="30"/>
          <w:szCs w:val="30"/>
        </w:rPr>
        <w:t>]</w:t>
      </w:r>
      <w:bookmarkEnd w:id="13"/>
      <w:bookmarkEnd w:id="42"/>
    </w:p>
    <w:p w:rsidR="003F56A5" w:rsidRDefault="00147B03">
      <w:pPr>
        <w:ind w:leftChars="200" w:left="420"/>
        <w:outlineLvl w:val="1"/>
        <w:rPr>
          <w:rFonts w:ascii="楷体" w:eastAsia="楷体" w:hAnsi="楷体"/>
          <w:b/>
          <w:sz w:val="24"/>
          <w:szCs w:val="24"/>
        </w:rPr>
      </w:pPr>
      <w:bookmarkStart w:id="43" w:name="_Toc137112100"/>
      <w:r w:rsidRPr="00147B03">
        <w:rPr>
          <w:rFonts w:ascii="楷体" w:eastAsia="楷体" w:hAnsi="楷体" w:hint="eastAsia"/>
          <w:b/>
          <w:color w:val="000000" w:themeColor="text1"/>
          <w:sz w:val="24"/>
          <w:szCs w:val="24"/>
        </w:rPr>
        <w:t>豆粕/菜粕</w:t>
      </w:r>
      <w:r w:rsidR="00CC3FFA">
        <w:rPr>
          <w:rFonts w:ascii="楷体" w:eastAsia="楷体" w:hAnsi="楷体" w:hint="eastAsia"/>
          <w:b/>
          <w:color w:val="000000" w:themeColor="text1"/>
          <w:sz w:val="24"/>
          <w:szCs w:val="24"/>
        </w:rPr>
        <w:t>：</w:t>
      </w:r>
      <w:r w:rsidR="00127803" w:rsidRPr="00127803">
        <w:rPr>
          <w:rFonts w:ascii="楷体" w:eastAsia="楷体" w:hAnsi="楷体" w:hint="eastAsia"/>
          <w:b/>
          <w:sz w:val="24"/>
          <w:szCs w:val="24"/>
        </w:rPr>
        <w:t>延续区间震荡</w:t>
      </w:r>
      <w:bookmarkEnd w:id="43"/>
    </w:p>
    <w:p w:rsidR="003F56A5" w:rsidRDefault="00127803">
      <w:pPr>
        <w:ind w:leftChars="300" w:left="630"/>
        <w:rPr>
          <w:rFonts w:ascii="楷体" w:eastAsia="楷体" w:hAnsi="楷体"/>
          <w:sz w:val="24"/>
          <w:szCs w:val="24"/>
        </w:rPr>
      </w:pPr>
      <w:r w:rsidRPr="00127803">
        <w:rPr>
          <w:rFonts w:ascii="楷体" w:eastAsia="楷体" w:hAnsi="楷体" w:hint="eastAsia"/>
          <w:sz w:val="24"/>
          <w:szCs w:val="24"/>
        </w:rPr>
        <w:t>国际方面，受助于美国中西部地区干旱天气炒作以及陈豆供应紧张等影响，美豆期价及内盘期价构成支撑。截至6月4日，美国大豆种植率为91%，低于市场预期的92%，去年同期为76%，五年均值为76%。大豆优良率为62%，低于市场预期的65%。巴西当前收割进入尾声，当前大豆价格仍存性价比，对华排船量也维持高位。国内市场，随着当前大豆到港量增加，油厂已逐步恢复开机压榨，供给端问题解决，主流油厂豆粕现货报价3750-3820元/吨。大豆4-6月到港量较大，5月进口到港1202万吨，环比增66%，阶段性供应压力仍待释放，关注大豆到厂进度及后续油厂开工情况。下游养殖利润表现仍不佳，且在杂粕替代下饲企和养殖企业等对豆粕饲用需求</w:t>
      </w:r>
      <w:r w:rsidRPr="00127803">
        <w:rPr>
          <w:rFonts w:ascii="楷体" w:eastAsia="楷体" w:hAnsi="楷体" w:hint="eastAsia"/>
          <w:sz w:val="24"/>
          <w:szCs w:val="24"/>
        </w:rPr>
        <w:lastRenderedPageBreak/>
        <w:t>增量有限，现货基差仍面临着下行压力。菜粕当前供给相对偏紧，虽油厂开机及压榨维持较高水平，但菜籽二季度后到港预计减少。而需求方面在近期天气逐步回暖后，为华南水产需求旺季，替代需求方面，豆粕价格企稳，菜粕性价比仍存，整体供需表现紧张。策略方面，虽进口大豆增加是现实，但当前高基差仍对盘面构成支撑，建议豆粕仍可在3300-3550区间逢高空，菜粕维持区间上沿震荡</w:t>
      </w:r>
      <w:r w:rsidR="00CC3FFA">
        <w:rPr>
          <w:rFonts w:ascii="楷体" w:eastAsia="楷体" w:hAnsi="楷体" w:hint="eastAsia"/>
          <w:sz w:val="24"/>
          <w:szCs w:val="24"/>
        </w:rPr>
        <w:t>。</w:t>
      </w:r>
    </w:p>
    <w:p w:rsidR="003F56A5" w:rsidRDefault="003F56A5">
      <w:pPr>
        <w:ind w:firstLineChars="200" w:firstLine="480"/>
        <w:rPr>
          <w:rFonts w:ascii="楷体" w:eastAsia="楷体" w:hAnsi="楷体"/>
          <w:bCs/>
          <w:sz w:val="24"/>
          <w:szCs w:val="24"/>
        </w:rPr>
      </w:pPr>
    </w:p>
    <w:p w:rsidR="003F56A5" w:rsidRDefault="00CC3FFA">
      <w:pPr>
        <w:ind w:leftChars="200" w:left="420"/>
        <w:outlineLvl w:val="1"/>
        <w:rPr>
          <w:rFonts w:ascii="楷体" w:eastAsia="楷体" w:hAnsi="楷体"/>
          <w:b/>
          <w:sz w:val="24"/>
          <w:szCs w:val="24"/>
        </w:rPr>
      </w:pPr>
      <w:bookmarkStart w:id="44" w:name="_Toc137112101"/>
      <w:r>
        <w:rPr>
          <w:rFonts w:ascii="楷体" w:eastAsia="楷体" w:hAnsi="楷体" w:hint="eastAsia"/>
          <w:b/>
          <w:color w:val="000000" w:themeColor="text1"/>
          <w:sz w:val="24"/>
          <w:szCs w:val="24"/>
        </w:rPr>
        <w:t>油脂：</w:t>
      </w:r>
      <w:r w:rsidR="00127803" w:rsidRPr="00127803">
        <w:rPr>
          <w:rFonts w:ascii="楷体" w:eastAsia="楷体" w:hAnsi="楷体" w:hint="eastAsia"/>
          <w:b/>
          <w:sz w:val="24"/>
          <w:szCs w:val="24"/>
        </w:rPr>
        <w:t>缺乏驱动，反弹乏力</w:t>
      </w:r>
      <w:bookmarkEnd w:id="44"/>
    </w:p>
    <w:p w:rsidR="003F56A5" w:rsidRDefault="00127803" w:rsidP="00792D31">
      <w:pPr>
        <w:ind w:leftChars="300" w:left="630"/>
        <w:rPr>
          <w:rFonts w:ascii="楷体" w:eastAsia="楷体" w:hAnsi="楷体"/>
          <w:sz w:val="24"/>
          <w:szCs w:val="24"/>
        </w:rPr>
      </w:pPr>
      <w:r w:rsidRPr="00127803">
        <w:rPr>
          <w:rFonts w:ascii="楷体" w:eastAsia="楷体" w:hAnsi="楷体" w:hint="eastAsia"/>
          <w:sz w:val="24"/>
          <w:szCs w:val="24"/>
        </w:rPr>
        <w:t>在宏观市场利多情绪消化后，叠加基本面供需平衡格局未改变，油脂价格缺乏进一步向上的驱动。棕榈油，马棕5月产量将呈现季节性回升，出口因棕榈油价格在国际市场性价比较低而受抑，同时5月印尼出口放开后抑制马来棕榈油出口，也限制了棕榈油上方空间，关注MPOB报告。其次，产地棕榈油fob报价持续走弱，对成本端构成压力。国内棕榈油在需求增加及进口下滑下，库存稳步去化。但在近期产地报价下滑，国内进口利润有所修复，6月船期买船增加，后续累库有望放缓。需求端，随着气温回升虽利好棕榈油消费，但豆棕价差收窄影响棕榈油掺混需求。豆油在供应修复预期下，压力仍存。虽5月初在大豆入关问题下，油厂开机不及预期，豆油供给修复缓慢。但随着5月下旬进口大豆到港增加，豆油供应存边际修复预期。需求，近期因豆棕价差收窄，豆油成交好转，但在后续供应增加下，价格上方仍存压。菜油处于供强需弱格局。随着进口加籽到港量维持高位，菜籽供应较稳定，4月菜籽进口60万吨，菜油进口31万吨，环比同比均增，且近期菜油进口利润打开，有新增买船，菜油供应较宽松。需求方面，在地域饮食偏好下整体增量有限，而替代需求仍需看到明显价格优势出现。短期反弹乏力，中期也难出现大幅反弹，预计上方空间有限，建议反弹沽空</w:t>
      </w:r>
      <w:r w:rsidR="00CC3FFA">
        <w:rPr>
          <w:rFonts w:ascii="楷体" w:eastAsia="楷体" w:hAnsi="楷体" w:hint="eastAsia"/>
          <w:sz w:val="24"/>
          <w:szCs w:val="24"/>
        </w:rPr>
        <w:t>。</w:t>
      </w:r>
    </w:p>
    <w:p w:rsidR="003F56A5" w:rsidRDefault="003F56A5">
      <w:pPr>
        <w:ind w:firstLineChars="200" w:firstLine="480"/>
        <w:rPr>
          <w:rFonts w:ascii="楷体" w:eastAsia="楷体" w:hAnsi="楷体"/>
          <w:bCs/>
          <w:sz w:val="24"/>
          <w:szCs w:val="24"/>
        </w:rPr>
      </w:pPr>
    </w:p>
    <w:p w:rsidR="003F56A5" w:rsidRDefault="00CC3FFA">
      <w:pPr>
        <w:pStyle w:val="paragraph"/>
        <w:spacing w:before="60" w:beforeAutospacing="0" w:after="60" w:afterAutospacing="0"/>
        <w:ind w:leftChars="200" w:left="420"/>
        <w:outlineLvl w:val="1"/>
        <w:rPr>
          <w:rFonts w:ascii="楷体" w:eastAsia="楷体" w:hAnsi="楷体"/>
          <w:b/>
        </w:rPr>
      </w:pPr>
      <w:bookmarkStart w:id="45" w:name="_Toc137112102"/>
      <w:r>
        <w:rPr>
          <w:rFonts w:ascii="楷体" w:eastAsia="楷体" w:hAnsi="楷体" w:hint="eastAsia"/>
          <w:b/>
          <w:bCs/>
          <w:color w:val="000000" w:themeColor="text1"/>
        </w:rPr>
        <w:t>玉米与淀粉：</w:t>
      </w:r>
      <w:r w:rsidR="00127803" w:rsidRPr="00127803">
        <w:rPr>
          <w:rFonts w:ascii="楷体" w:eastAsia="楷体" w:hAnsi="楷体" w:hint="eastAsia"/>
          <w:b/>
        </w:rPr>
        <w:t>期价震荡调整等待小麦压力释放</w:t>
      </w:r>
      <w:bookmarkEnd w:id="45"/>
    </w:p>
    <w:p w:rsidR="00127803" w:rsidRPr="00127803" w:rsidRDefault="00127803" w:rsidP="00127803">
      <w:pPr>
        <w:pStyle w:val="paragraph"/>
        <w:spacing w:before="60" w:after="60"/>
        <w:ind w:leftChars="300" w:left="630"/>
        <w:rPr>
          <w:rFonts w:ascii="楷体" w:eastAsia="楷体" w:hAnsi="楷体" w:hint="eastAsia"/>
        </w:rPr>
      </w:pPr>
      <w:r w:rsidRPr="00127803">
        <w:rPr>
          <w:rFonts w:ascii="楷体" w:eastAsia="楷体" w:hAnsi="楷体" w:hint="eastAsia"/>
        </w:rPr>
        <w:t>对于玉米而言，受国内小麦止跌回升及外盘触底反弹带动，国内玉米市场趋于乐观，直观体现在华北-东北玉米价差和产销区玉米价差上，市场也逐步转向年度产需缺口问题，这需要关注接下来新作小麦特别是芽麦上市压力，及其后续陈化水稻抛储政策。我们建议继续关注两个方面的上涨驱动，其一是新作单产前景的变数，其二是旧作被动补库存，因当前下游需求企业如饲料养殖企业与华北深加工企业原料库存偏低，而产销区倒挂大概率带动渠道库存去化。</w:t>
      </w:r>
    </w:p>
    <w:p w:rsidR="003F56A5" w:rsidRDefault="00127803" w:rsidP="00127803">
      <w:pPr>
        <w:pStyle w:val="paragraph"/>
        <w:spacing w:before="60" w:beforeAutospacing="0" w:after="60" w:afterAutospacing="0"/>
        <w:ind w:leftChars="300" w:left="630"/>
        <w:rPr>
          <w:rFonts w:ascii="楷体" w:eastAsia="楷体" w:hAnsi="楷体"/>
        </w:rPr>
      </w:pPr>
      <w:r w:rsidRPr="00127803">
        <w:rPr>
          <w:rFonts w:ascii="楷体" w:eastAsia="楷体" w:hAnsi="楷体" w:hint="eastAsia"/>
        </w:rPr>
        <w:t>对于淀粉而言，近期淀粉-玉米价差环比小幅收窄，多数合约价差维持在300一线徘徊，在我们看来，主要源于市场对华北玉米原料成本的担忧，因小麦饲用替代或导致华北玉米相对更为弱势，但实际市场所反映出来的是华北-东北玉米价差走扩。在这种情况下，我们维持前期判断，继续认为市场各方面因素诸如基差、原料成本、行业供需和副产品价格均支持价差继续走扩。在这种情况下，我们建议持有前期价差走扩套利，激进投资者可以考虑持有单边多单</w:t>
      </w:r>
      <w:r w:rsidR="00CC3FFA">
        <w:rPr>
          <w:rFonts w:ascii="楷体" w:eastAsia="楷体" w:hAnsi="楷体" w:hint="eastAsia"/>
        </w:rPr>
        <w:t>。</w:t>
      </w:r>
    </w:p>
    <w:p w:rsidR="003F56A5" w:rsidRDefault="003F56A5">
      <w:pPr>
        <w:pStyle w:val="paragraph"/>
        <w:spacing w:before="60" w:beforeAutospacing="0" w:after="60" w:afterAutospacing="0"/>
        <w:ind w:leftChars="300" w:left="630"/>
        <w:rPr>
          <w:rFonts w:ascii="楷体" w:eastAsia="楷体" w:hAnsi="楷体"/>
        </w:rPr>
      </w:pPr>
    </w:p>
    <w:p w:rsidR="003F56A5" w:rsidRDefault="00CC3FFA">
      <w:pPr>
        <w:pStyle w:val="paragraph"/>
        <w:spacing w:before="60" w:beforeAutospacing="0" w:after="60" w:afterAutospacing="0"/>
        <w:ind w:leftChars="200" w:left="420"/>
        <w:outlineLvl w:val="1"/>
        <w:rPr>
          <w:rFonts w:ascii="楷体" w:eastAsia="楷体" w:hAnsi="楷体"/>
          <w:b/>
          <w:bCs/>
          <w:color w:val="000000" w:themeColor="text1"/>
        </w:rPr>
      </w:pPr>
      <w:bookmarkStart w:id="46" w:name="_Toc137112103"/>
      <w:r>
        <w:rPr>
          <w:rFonts w:ascii="楷体" w:eastAsia="楷体" w:hAnsi="楷体" w:hint="eastAsia"/>
          <w:b/>
          <w:bCs/>
          <w:color w:val="000000" w:themeColor="text1"/>
        </w:rPr>
        <w:lastRenderedPageBreak/>
        <w:t>畜禽养殖：</w:t>
      </w:r>
      <w:r w:rsidR="00127803" w:rsidRPr="00127803">
        <w:rPr>
          <w:rFonts w:ascii="楷体" w:eastAsia="楷体" w:hAnsi="楷体" w:hint="eastAsia"/>
          <w:b/>
          <w:bCs/>
          <w:color w:val="000000" w:themeColor="text1"/>
        </w:rPr>
        <w:t>鸡蛋期价窄幅震荡</w:t>
      </w:r>
      <w:bookmarkEnd w:id="46"/>
    </w:p>
    <w:p w:rsidR="00127803" w:rsidRPr="00127803" w:rsidRDefault="00127803" w:rsidP="00127803">
      <w:pPr>
        <w:pStyle w:val="paragraph"/>
        <w:spacing w:before="60" w:after="60"/>
        <w:ind w:leftChars="300" w:left="630"/>
        <w:rPr>
          <w:rFonts w:ascii="楷体" w:eastAsia="楷体" w:hAnsi="楷体" w:hint="eastAsia"/>
        </w:rPr>
      </w:pPr>
      <w:r w:rsidRPr="00127803">
        <w:rPr>
          <w:rFonts w:ascii="楷体" w:eastAsia="楷体" w:hAnsi="楷体" w:hint="eastAsia"/>
        </w:rPr>
        <w:t>对于生猪而言，在前期报告中我们指出，3月以来现货表现不及我们之前预期，问题出在供应量，集中在两个方面，其一是春节前堆积的供应量，其二是节前仔猪带来的生猪出栏量。各机构数据显示年后以来供应持续去化，更为重要的是，考虑到去年四季度以来生猪价格下跌和春季前后非瘟疫情导致的仔猪供应下滑，对应后期生猪供应有望阶段性下滑，有望带动生猪价格出现阶段性上涨。对于期价而言，由于5月以来期价持续震荡下行，带动近月合约基差持续走强，这意味期价逐步挤出升水，目前7月和9月合约均低于生猪养殖成本，远月合约亦仅略高于养殖成本线，再加上国家收储政策的潜在支撑，我们倾向于期价下方空间或有限，维持谨慎看多观点，建议择机入场。</w:t>
      </w:r>
    </w:p>
    <w:p w:rsidR="003F56A5" w:rsidRDefault="00127803" w:rsidP="00127803">
      <w:pPr>
        <w:pStyle w:val="paragraph"/>
        <w:spacing w:before="60" w:beforeAutospacing="0" w:after="60" w:afterAutospacing="0"/>
        <w:ind w:leftChars="300" w:left="630"/>
        <w:rPr>
          <w:rFonts w:ascii="楷体" w:eastAsia="楷体" w:hAnsi="楷体"/>
        </w:rPr>
      </w:pPr>
      <w:r w:rsidRPr="00127803">
        <w:rPr>
          <w:rFonts w:ascii="楷体" w:eastAsia="楷体" w:hAnsi="楷体" w:hint="eastAsia"/>
        </w:rPr>
        <w:t>对于鸡蛋而言，当前市场的主要矛盾体现在高基差上，之前市场的预期存在合理性，因节后以来鸡蛋价格和蛋鸡养殖利润处于同期高位水平，带动养殖户补栏积极性上涨，市场据此预计远期供需有望趋于改善，使得远月期价持续下跌。但5月以来，随着鸡蛋现货价格的下跌，蛋鸡养殖利润亦有显著下滑，带动养殖户补栏积极性下滑，与此同时，养殖户淘汰积极性上升，这会导致市场之前的供需改善预期存在较大变数。此外，9月合约一度跌至4070左右，这接近于博亚和讯测算的鸡蛋养殖成本线，考虑到9月处于季节性旺季，供需之外还有季节性规律。我们倾向于鸡蛋期价下方空间或有限，维持谨慎看多观点，建议谨慎投资者观望，激进投资者可以考虑轻仓做多，以去年8月低点作为止损</w:t>
      </w:r>
      <w:r w:rsidR="00CC3FFA">
        <w:rPr>
          <w:rFonts w:ascii="楷体" w:eastAsia="楷体" w:hAnsi="楷体" w:hint="eastAsia"/>
        </w:rPr>
        <w:t>。</w:t>
      </w:r>
    </w:p>
    <w:p w:rsidR="003F56A5" w:rsidRDefault="003F56A5">
      <w:pPr>
        <w:ind w:firstLineChars="200" w:firstLine="480"/>
        <w:rPr>
          <w:rFonts w:ascii="楷体" w:eastAsia="楷体" w:hAnsi="楷体"/>
          <w:sz w:val="24"/>
          <w:szCs w:val="24"/>
        </w:rPr>
      </w:pPr>
    </w:p>
    <w:p w:rsidR="003F56A5" w:rsidRDefault="00CC3FFA">
      <w:pPr>
        <w:ind w:leftChars="200" w:left="420"/>
        <w:outlineLvl w:val="1"/>
        <w:rPr>
          <w:rFonts w:ascii="楷体" w:eastAsia="楷体" w:hAnsi="楷体"/>
          <w:b/>
          <w:sz w:val="24"/>
          <w:szCs w:val="24"/>
        </w:rPr>
      </w:pPr>
      <w:bookmarkStart w:id="47" w:name="_Toc137112104"/>
      <w:r>
        <w:rPr>
          <w:rFonts w:ascii="楷体" w:eastAsia="楷体" w:hAnsi="楷体" w:hint="eastAsia"/>
          <w:b/>
          <w:sz w:val="24"/>
          <w:szCs w:val="24"/>
        </w:rPr>
        <w:t>郑棉：</w:t>
      </w:r>
      <w:r w:rsidR="00127803" w:rsidRPr="00127803">
        <w:rPr>
          <w:rFonts w:ascii="楷体" w:eastAsia="楷体" w:hAnsi="楷体" w:hint="eastAsia"/>
          <w:b/>
          <w:sz w:val="24"/>
          <w:szCs w:val="24"/>
        </w:rPr>
        <w:t>预计09合约震荡整理，反套持有</w:t>
      </w:r>
      <w:bookmarkEnd w:id="47"/>
    </w:p>
    <w:p w:rsidR="003F56A5" w:rsidRDefault="00127803" w:rsidP="007B3290">
      <w:pPr>
        <w:ind w:leftChars="300" w:left="630"/>
        <w:rPr>
          <w:rFonts w:ascii="楷体" w:eastAsia="楷体" w:hAnsi="楷体"/>
          <w:sz w:val="24"/>
          <w:szCs w:val="24"/>
        </w:rPr>
      </w:pPr>
      <w:r w:rsidRPr="00127803">
        <w:rPr>
          <w:rFonts w:ascii="楷体" w:eastAsia="楷体" w:hAnsi="楷体" w:hint="eastAsia"/>
          <w:sz w:val="24"/>
          <w:szCs w:val="24"/>
        </w:rPr>
        <w:t>市场对本次上涨的另一种解读为部分纺织大厂接长单后大量采购基差点价棉花，而基差点价时相当于空平，因此被部分资金捕捉机会后软逼仓。商品企稳并小反弹，郑棉新年度减产等因素也一定程度起到了推涨的作用。但价格升至1.7以后内外价差、期现基差等都在制约着继续上行的高度，同时产业的利空积聚，高度越高，持续时间越长，则利空积聚越多。如5月的出口数据并不如意，但盘面对此反响不大，需等待利空积累至一定程度后再集中反馈。预计后续上行高度有限，可考虑空9多1反套持有</w:t>
      </w:r>
      <w:r w:rsidR="00CC3FFA">
        <w:rPr>
          <w:rFonts w:ascii="楷体" w:eastAsia="楷体" w:hAnsi="楷体" w:hint="eastAsia"/>
          <w:sz w:val="24"/>
          <w:szCs w:val="24"/>
        </w:rPr>
        <w:t>。</w:t>
      </w:r>
    </w:p>
    <w:p w:rsidR="003F56A5" w:rsidRDefault="003F56A5">
      <w:pPr>
        <w:ind w:firstLineChars="200" w:firstLine="480"/>
        <w:rPr>
          <w:rFonts w:ascii="楷体" w:eastAsia="楷体" w:hAnsi="楷体"/>
          <w:bCs/>
          <w:sz w:val="24"/>
          <w:szCs w:val="24"/>
        </w:rPr>
      </w:pPr>
    </w:p>
    <w:p w:rsidR="003F56A5" w:rsidRDefault="00CC3FFA">
      <w:pPr>
        <w:ind w:firstLineChars="200" w:firstLine="602"/>
        <w:rPr>
          <w:rFonts w:ascii="Times New Roman" w:eastAsia="楷体" w:hAnsi="Times New Roman"/>
          <w:b/>
          <w:color w:val="800000"/>
          <w:sz w:val="30"/>
          <w:szCs w:val="30"/>
        </w:rPr>
      </w:pPr>
      <w:r>
        <w:rPr>
          <w:rFonts w:ascii="Times New Roman" w:eastAsia="楷体" w:hAnsi="Times New Roman"/>
          <w:b/>
          <w:color w:val="800000"/>
          <w:sz w:val="30"/>
          <w:szCs w:val="30"/>
        </w:rPr>
        <w:br w:type="page"/>
      </w:r>
    </w:p>
    <w:p w:rsidR="003F56A5" w:rsidRDefault="00CC3FFA">
      <w:pPr>
        <w:spacing w:line="360" w:lineRule="auto"/>
        <w:jc w:val="center"/>
        <w:rPr>
          <w:rFonts w:ascii="Times New Roman" w:eastAsia="楷体" w:hAnsi="Times New Roman"/>
          <w:b/>
          <w:color w:val="411D05"/>
          <w:sz w:val="30"/>
          <w:szCs w:val="30"/>
        </w:rPr>
      </w:pPr>
      <w:bookmarkStart w:id="48" w:name="_Toc71212556"/>
      <w:bookmarkStart w:id="49" w:name="_Toc19667"/>
      <w:bookmarkStart w:id="50" w:name="_Toc98426751"/>
      <w:bookmarkStart w:id="51" w:name="_Toc12779"/>
      <w:bookmarkStart w:id="52" w:name="_Toc72481108"/>
      <w:r>
        <w:rPr>
          <w:rFonts w:ascii="Times New Roman" w:eastAsia="楷体" w:hAnsi="Times New Roman"/>
          <w:b/>
          <w:color w:val="411D05"/>
          <w:sz w:val="30"/>
          <w:szCs w:val="30"/>
        </w:rPr>
        <w:lastRenderedPageBreak/>
        <w:t>免责声明</w:t>
      </w:r>
      <w:bookmarkEnd w:id="48"/>
      <w:bookmarkEnd w:id="49"/>
      <w:bookmarkEnd w:id="50"/>
      <w:bookmarkEnd w:id="51"/>
      <w:bookmarkEnd w:id="52"/>
    </w:p>
    <w:p w:rsidR="003F56A5" w:rsidRDefault="00CC3FFA">
      <w:pPr>
        <w:widowControl/>
        <w:ind w:firstLineChars="200" w:firstLine="422"/>
        <w:jc w:val="left"/>
        <w:rPr>
          <w:rFonts w:ascii="Times New Roman" w:eastAsia="楷体" w:hAnsi="Times New Roman"/>
          <w:b/>
          <w:bCs/>
          <w:color w:val="C00000"/>
        </w:rPr>
      </w:pPr>
      <w:r>
        <w:rPr>
          <w:rFonts w:ascii="Times New Roman" w:eastAsia="楷体" w:hAnsi="Times New Roman" w:hint="eastAsia"/>
          <w:b/>
          <w:bCs/>
          <w:color w:val="C00000"/>
        </w:rPr>
        <w:t>本报告由广州期货股份有限公司（以下简称“本公司”）编制，本公司具有中国证监会许可的期货公司投资咨询业务资格，本报告基于合法取得的信息，但本公司对这些信息的准确性和完整性不作任何保证，也不保证所包含的信息和建议不会发生任何变更。</w:t>
      </w:r>
    </w:p>
    <w:p w:rsidR="003F56A5" w:rsidRDefault="00CC3FFA">
      <w:pPr>
        <w:widowControl/>
        <w:ind w:firstLineChars="200" w:firstLine="422"/>
        <w:jc w:val="left"/>
        <w:rPr>
          <w:rFonts w:ascii="Times New Roman" w:eastAsia="楷体" w:hAnsi="Times New Roman"/>
          <w:b/>
          <w:bCs/>
          <w:color w:val="C00000"/>
        </w:rPr>
      </w:pPr>
      <w:r>
        <w:rPr>
          <w:rFonts w:ascii="Times New Roman" w:eastAsia="楷体" w:hAnsi="Times New Roman" w:hint="eastAsia"/>
          <w:b/>
          <w:bCs/>
          <w:color w:val="C00000"/>
        </w:rPr>
        <w:t>我们已力求报告内容的客观、公正，但文中的观点、结论和建议仅供参考，并不构成所述品种的操作依据，投资者据此做出的任何投资决策与本公司和作者无关。在任何情况下，本公司以及雇员不对任何人因使用本报告中的任何内容所引发的任何直接或间接损失负任何责任。</w:t>
      </w:r>
    </w:p>
    <w:p w:rsidR="003F56A5" w:rsidRDefault="00CC3FFA">
      <w:pPr>
        <w:widowControl/>
        <w:ind w:firstLineChars="200" w:firstLine="422"/>
        <w:jc w:val="left"/>
        <w:rPr>
          <w:rFonts w:ascii="Times New Roman" w:eastAsia="楷体" w:hAnsi="Times New Roman"/>
          <w:b/>
          <w:bCs/>
          <w:color w:val="C00000"/>
        </w:rPr>
      </w:pPr>
      <w:r>
        <w:rPr>
          <w:rFonts w:ascii="Times New Roman" w:eastAsia="楷体" w:hAnsi="Times New Roman" w:hint="eastAsia"/>
          <w:b/>
          <w:bCs/>
          <w:color w:val="C00000"/>
        </w:rPr>
        <w:t>本报告版权归本公司所有，本公司保留所有权利。未经本公司事先书面许可，任何机构和个人不得以任何形式翻版、复制、引用或转载本报告的全部或部分内容，不得再次分发给任何其他人，或以任何侵犯本公司版权的其他方式使用。如引用、刊发，须注明出处为广州期货股份有限公司，且不得对本报告进行有悖原意的引用、删节和修改。</w:t>
      </w:r>
    </w:p>
    <w:p w:rsidR="003F56A5" w:rsidRDefault="00CC3FFA">
      <w:pPr>
        <w:ind w:firstLineChars="200" w:firstLine="422"/>
        <w:rPr>
          <w:rFonts w:ascii="Times New Roman" w:eastAsia="楷体" w:hAnsi="Times New Roman"/>
        </w:rPr>
      </w:pPr>
      <w:r>
        <w:rPr>
          <w:rFonts w:ascii="Times New Roman" w:eastAsia="楷体" w:hAnsi="Times New Roman" w:hint="eastAsia"/>
          <w:b/>
          <w:bCs/>
          <w:color w:val="C00000"/>
        </w:rPr>
        <w:t>广州期货股份有限公司提醒广大投资者：期市有风险，入市需谨慎！</w:t>
      </w:r>
    </w:p>
    <w:p w:rsidR="003F56A5" w:rsidRDefault="003F56A5">
      <w:pPr>
        <w:ind w:firstLineChars="200" w:firstLine="420"/>
        <w:rPr>
          <w:rFonts w:ascii="Times New Roman" w:eastAsia="楷体" w:hAnsi="Times New Roman"/>
        </w:rPr>
      </w:pPr>
    </w:p>
    <w:p w:rsidR="003F56A5" w:rsidRDefault="003F56A5">
      <w:pPr>
        <w:ind w:firstLineChars="200" w:firstLine="420"/>
        <w:rPr>
          <w:rFonts w:ascii="Times New Roman" w:eastAsia="楷体" w:hAnsi="Times New Roman"/>
        </w:rPr>
      </w:pPr>
    </w:p>
    <w:p w:rsidR="003F56A5" w:rsidRDefault="00CC3FFA">
      <w:pPr>
        <w:jc w:val="left"/>
        <w:rPr>
          <w:rFonts w:ascii="Times New Roman" w:eastAsia="楷体" w:hAnsi="Times New Roman"/>
          <w:b/>
          <w:color w:val="823C0B"/>
          <w:sz w:val="28"/>
        </w:rPr>
      </w:pPr>
      <w:r>
        <w:rPr>
          <w:rFonts w:ascii="Times New Roman" w:eastAsia="楷体" w:hAnsi="Times New Roman"/>
          <w:b/>
          <w:color w:val="823C0B"/>
          <w:sz w:val="28"/>
        </w:rPr>
        <w:t>投资咨询业务资格</w:t>
      </w:r>
      <w:r>
        <w:rPr>
          <w:rFonts w:ascii="Times New Roman" w:eastAsia="楷体" w:hAnsi="Times New Roman"/>
          <w:b/>
          <w:color w:val="823C0B"/>
          <w:sz w:val="28"/>
        </w:rPr>
        <w:t>:</w:t>
      </w:r>
      <w:r>
        <w:rPr>
          <w:rFonts w:ascii="Times New Roman" w:eastAsia="楷体" w:hAnsi="Times New Roman"/>
          <w:b/>
          <w:color w:val="823C0B"/>
          <w:sz w:val="28"/>
        </w:rPr>
        <w:t>证监许可【</w:t>
      </w:r>
      <w:r>
        <w:rPr>
          <w:rFonts w:ascii="Times New Roman" w:eastAsia="楷体" w:hAnsi="Times New Roman"/>
          <w:b/>
          <w:color w:val="823C0B"/>
          <w:sz w:val="28"/>
        </w:rPr>
        <w:t>2012</w:t>
      </w:r>
      <w:r>
        <w:rPr>
          <w:rFonts w:ascii="Times New Roman" w:eastAsia="楷体" w:hAnsi="Times New Roman"/>
          <w:b/>
          <w:color w:val="823C0B"/>
          <w:sz w:val="28"/>
        </w:rPr>
        <w:t>】</w:t>
      </w:r>
      <w:r>
        <w:rPr>
          <w:rFonts w:ascii="Times New Roman" w:eastAsia="楷体" w:hAnsi="Times New Roman"/>
          <w:b/>
          <w:color w:val="823C0B"/>
          <w:sz w:val="28"/>
        </w:rPr>
        <w:t>1497</w:t>
      </w:r>
      <w:r>
        <w:rPr>
          <w:rFonts w:ascii="Times New Roman" w:eastAsia="楷体" w:hAnsi="Times New Roman"/>
          <w:b/>
          <w:color w:val="823C0B"/>
          <w:sz w:val="28"/>
        </w:rPr>
        <w:t>号</w:t>
      </w:r>
      <w:r>
        <w:rPr>
          <w:rFonts w:ascii="Times New Roman" w:eastAsia="楷体" w:hAnsi="Times New Roman"/>
          <w:b/>
          <w:color w:val="823C0B"/>
          <w:sz w:val="28"/>
        </w:rPr>
        <w:t xml:space="preserve"> </w:t>
      </w:r>
    </w:p>
    <w:p w:rsidR="003F56A5" w:rsidRDefault="003F56A5">
      <w:pPr>
        <w:ind w:firstLineChars="200" w:firstLine="440"/>
        <w:rPr>
          <w:rFonts w:ascii="Times New Roman" w:eastAsia="楷体" w:hAnsi="Times New Roman" w:cs="Times New Roman"/>
          <w:sz w:val="22"/>
        </w:rPr>
      </w:pPr>
    </w:p>
    <w:tbl>
      <w:tblPr>
        <w:tblStyle w:val="a5"/>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2"/>
        <w:gridCol w:w="4154"/>
      </w:tblGrid>
      <w:tr w:rsidR="003F56A5">
        <w:trPr>
          <w:jc w:val="center"/>
        </w:trPr>
        <w:tc>
          <w:tcPr>
            <w:tcW w:w="4260"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王荆杰</w:t>
            </w:r>
          </w:p>
          <w:p w:rsidR="003F56A5" w:rsidRDefault="00CC3FFA">
            <w:pPr>
              <w:tabs>
                <w:tab w:val="left" w:pos="1842"/>
              </w:tabs>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color w:val="823C0B"/>
                <w:sz w:val="22"/>
              </w:rPr>
              <w:t>F3084112</w:t>
            </w:r>
            <w:r>
              <w:rPr>
                <w:rFonts w:ascii="Times New Roman" w:eastAsia="楷体" w:hAnsi="Times New Roman" w:cs="Times New Roman" w:hint="eastAsia"/>
                <w:color w:val="823C0B"/>
                <w:sz w:val="22"/>
              </w:rPr>
              <w:t xml:space="preserve">    </w:t>
            </w:r>
          </w:p>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color w:val="823C0B"/>
                <w:sz w:val="22"/>
              </w:rPr>
              <w:t>Z0016329</w:t>
            </w:r>
          </w:p>
        </w:tc>
        <w:tc>
          <w:tcPr>
            <w:tcW w:w="4262"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范红军</w:t>
            </w:r>
          </w:p>
          <w:p w:rsidR="003F56A5" w:rsidRDefault="00CC3FFA">
            <w:pPr>
              <w:tabs>
                <w:tab w:val="left" w:pos="1842"/>
              </w:tabs>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color w:val="823C0B"/>
                <w:sz w:val="22"/>
              </w:rPr>
              <w:t>F03098791</w:t>
            </w:r>
          </w:p>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Z0017690</w:t>
            </w:r>
          </w:p>
        </w:tc>
      </w:tr>
      <w:tr w:rsidR="003F56A5">
        <w:trPr>
          <w:jc w:val="center"/>
        </w:trPr>
        <w:tc>
          <w:tcPr>
            <w:tcW w:w="4260"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李代</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F03086605</w:t>
            </w:r>
          </w:p>
          <w:p w:rsidR="003F56A5" w:rsidRDefault="00CC3FFA">
            <w:pPr>
              <w:tabs>
                <w:tab w:val="left" w:pos="1842"/>
              </w:tabs>
              <w:rPr>
                <w:rFonts w:ascii="Times New Roman" w:eastAsia="楷体" w:hAnsi="Times New Roman" w:cs="Times New Roman"/>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Z0016791</w:t>
            </w:r>
          </w:p>
        </w:tc>
        <w:tc>
          <w:tcPr>
            <w:tcW w:w="4262"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许克元</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F3022666</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Z0013612</w:t>
            </w:r>
          </w:p>
        </w:tc>
      </w:tr>
      <w:tr w:rsidR="003F56A5">
        <w:trPr>
          <w:jc w:val="center"/>
        </w:trPr>
        <w:tc>
          <w:tcPr>
            <w:tcW w:w="4260"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谢紫琪</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F3032560</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Z0014338</w:t>
            </w:r>
          </w:p>
        </w:tc>
        <w:tc>
          <w:tcPr>
            <w:tcW w:w="4262"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薛晴</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F3035906</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Z0016940</w:t>
            </w:r>
          </w:p>
        </w:tc>
      </w:tr>
    </w:tbl>
    <w:p w:rsidR="003F56A5" w:rsidRDefault="003F56A5">
      <w:pPr>
        <w:ind w:firstLineChars="200" w:firstLine="420"/>
        <w:rPr>
          <w:rFonts w:ascii="Times New Roman" w:eastAsia="楷体" w:hAnsi="Times New Roman"/>
        </w:rPr>
      </w:pPr>
    </w:p>
    <w:p w:rsidR="003F56A5" w:rsidRDefault="003F56A5">
      <w:pPr>
        <w:ind w:firstLineChars="200" w:firstLine="420"/>
        <w:rPr>
          <w:rFonts w:ascii="Times New Roman" w:eastAsia="楷体" w:hAnsi="Times New Roman"/>
        </w:rPr>
      </w:pPr>
    </w:p>
    <w:p w:rsidR="003F56A5" w:rsidRDefault="003F56A5">
      <w:pPr>
        <w:ind w:firstLineChars="200" w:firstLine="420"/>
        <w:rPr>
          <w:rFonts w:ascii="Times New Roman" w:eastAsia="楷体" w:hAnsi="Times New Roman"/>
        </w:rPr>
      </w:pPr>
    </w:p>
    <w:tbl>
      <w:tblPr>
        <w:tblW w:w="5000" w:type="pct"/>
        <w:jc w:val="center"/>
        <w:tblLook w:val="04A0" w:firstRow="1" w:lastRow="0" w:firstColumn="1" w:lastColumn="0" w:noHBand="0" w:noVBand="1"/>
      </w:tblPr>
      <w:tblGrid>
        <w:gridCol w:w="8306"/>
      </w:tblGrid>
      <w:tr w:rsidR="003F56A5">
        <w:trPr>
          <w:jc w:val="center"/>
        </w:trPr>
        <w:tc>
          <w:tcPr>
            <w:tcW w:w="5000" w:type="pct"/>
            <w:shd w:val="clear" w:color="auto" w:fill="auto"/>
            <w:vAlign w:val="center"/>
          </w:tcPr>
          <w:p w:rsidR="003F56A5" w:rsidRDefault="00CC3FFA">
            <w:pPr>
              <w:rPr>
                <w:rFonts w:ascii="Times New Roman" w:eastAsia="楷体" w:hAnsi="Times New Roman"/>
                <w:b/>
                <w:bCs/>
                <w:color w:val="823C0B"/>
              </w:rPr>
            </w:pPr>
            <w:r>
              <w:rPr>
                <w:rFonts w:ascii="Times New Roman" w:eastAsia="楷体" w:hAnsi="Times New Roman"/>
                <w:bCs/>
                <w:color w:val="823C0B"/>
              </w:rPr>
              <w:t>办公地址：广州市天河区</w:t>
            </w:r>
            <w:r>
              <w:rPr>
                <w:rFonts w:ascii="Times New Roman" w:eastAsia="楷体" w:hAnsi="Times New Roman" w:hint="eastAsia"/>
                <w:bCs/>
                <w:color w:val="823C0B"/>
              </w:rPr>
              <w:t>临江大道</w:t>
            </w:r>
            <w:r>
              <w:rPr>
                <w:rFonts w:ascii="Times New Roman" w:eastAsia="楷体" w:hAnsi="Times New Roman" w:hint="eastAsia"/>
                <w:bCs/>
                <w:color w:val="823C0B"/>
              </w:rPr>
              <w:t>1</w:t>
            </w:r>
            <w:r>
              <w:rPr>
                <w:rFonts w:ascii="Times New Roman" w:eastAsia="楷体" w:hAnsi="Times New Roman" w:hint="eastAsia"/>
                <w:bCs/>
                <w:color w:val="823C0B"/>
              </w:rPr>
              <w:t>号寺右万科中心南塔</w:t>
            </w:r>
            <w:r>
              <w:rPr>
                <w:rFonts w:ascii="Times New Roman" w:eastAsia="楷体" w:hAnsi="Times New Roman"/>
                <w:bCs/>
                <w:color w:val="823C0B"/>
              </w:rPr>
              <w:t>6</w:t>
            </w:r>
            <w:r>
              <w:rPr>
                <w:rFonts w:ascii="Times New Roman" w:eastAsia="楷体" w:hAnsi="Times New Roman" w:hint="eastAsia"/>
                <w:bCs/>
                <w:color w:val="823C0B"/>
              </w:rPr>
              <w:t>层</w:t>
            </w:r>
          </w:p>
        </w:tc>
      </w:tr>
      <w:tr w:rsidR="003F56A5">
        <w:trPr>
          <w:jc w:val="center"/>
        </w:trPr>
        <w:tc>
          <w:tcPr>
            <w:tcW w:w="5000" w:type="pct"/>
            <w:shd w:val="clear" w:color="auto" w:fill="auto"/>
            <w:vAlign w:val="center"/>
          </w:tcPr>
          <w:p w:rsidR="003F56A5" w:rsidRDefault="00CC3FFA">
            <w:pPr>
              <w:jc w:val="left"/>
              <w:rPr>
                <w:rFonts w:ascii="Times New Roman" w:eastAsia="楷体" w:hAnsi="Times New Roman"/>
                <w:color w:val="823C0B"/>
              </w:rPr>
            </w:pPr>
            <w:r>
              <w:rPr>
                <w:rFonts w:ascii="Times New Roman" w:eastAsia="楷体" w:hAnsi="Times New Roman" w:hint="eastAsia"/>
                <w:bCs/>
                <w:color w:val="823C0B"/>
              </w:rPr>
              <w:t>联系方式</w:t>
            </w:r>
            <w:r>
              <w:rPr>
                <w:rFonts w:ascii="Times New Roman" w:eastAsia="楷体" w:hAnsi="Times New Roman" w:hint="eastAsia"/>
                <w:bCs/>
                <w:color w:val="823C0B"/>
              </w:rPr>
              <w:t>: (020)22836102</w:t>
            </w:r>
          </w:p>
        </w:tc>
      </w:tr>
      <w:tr w:rsidR="003F56A5">
        <w:trPr>
          <w:jc w:val="center"/>
        </w:trPr>
        <w:tc>
          <w:tcPr>
            <w:tcW w:w="5000" w:type="pct"/>
            <w:shd w:val="clear" w:color="auto" w:fill="auto"/>
            <w:vAlign w:val="center"/>
          </w:tcPr>
          <w:p w:rsidR="003F56A5" w:rsidRDefault="00CC3FFA">
            <w:pPr>
              <w:jc w:val="left"/>
              <w:rPr>
                <w:rFonts w:ascii="Times New Roman" w:eastAsia="楷体" w:hAnsi="Times New Roman"/>
                <w:bCs/>
                <w:color w:val="823C0B"/>
              </w:rPr>
            </w:pPr>
            <w:r>
              <w:rPr>
                <w:rFonts w:ascii="Times New Roman" w:eastAsia="楷体" w:hAnsi="Times New Roman"/>
                <w:bCs/>
                <w:color w:val="823C0B"/>
              </w:rPr>
              <w:t>邮政编码：</w:t>
            </w:r>
            <w:r>
              <w:rPr>
                <w:rFonts w:ascii="Times New Roman" w:eastAsia="楷体" w:hAnsi="Times New Roman"/>
                <w:bCs/>
                <w:color w:val="823C0B"/>
              </w:rPr>
              <w:t>510627</w:t>
            </w:r>
          </w:p>
        </w:tc>
      </w:tr>
    </w:tbl>
    <w:p w:rsidR="003F56A5" w:rsidRDefault="003F56A5">
      <w:pPr>
        <w:ind w:firstLineChars="200" w:firstLine="420"/>
        <w:rPr>
          <w:rFonts w:ascii="Times New Roman" w:eastAsia="楷体" w:hAnsi="Times New Roman"/>
        </w:rPr>
      </w:pPr>
    </w:p>
    <w:p w:rsidR="003F56A5" w:rsidRDefault="003F56A5">
      <w:pPr>
        <w:ind w:firstLineChars="200" w:firstLine="420"/>
        <w:rPr>
          <w:rFonts w:ascii="Times New Roman" w:eastAsia="楷体" w:hAnsi="Times New Roman"/>
        </w:rPr>
      </w:pPr>
    </w:p>
    <w:p w:rsidR="003F56A5" w:rsidRDefault="003F56A5">
      <w:pPr>
        <w:pBdr>
          <w:top w:val="none" w:sz="0" w:space="1" w:color="auto"/>
          <w:left w:val="none" w:sz="0" w:space="4" w:color="auto"/>
          <w:bottom w:val="none" w:sz="0" w:space="1" w:color="auto"/>
          <w:right w:val="none" w:sz="0" w:space="4" w:color="auto"/>
        </w:pBdr>
      </w:pPr>
    </w:p>
    <w:sectPr w:rsidR="003F56A5">
      <w:footerReference w:type="default" r:id="rId11"/>
      <w:footerReference w:type="first" r:id="rId12"/>
      <w:pgSz w:w="11906" w:h="16838"/>
      <w:pgMar w:top="1440" w:right="1800" w:bottom="1440" w:left="1800" w:header="850" w:footer="1077"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725D" w:rsidRDefault="00A4725D">
      <w:r>
        <w:separator/>
      </w:r>
    </w:p>
  </w:endnote>
  <w:endnote w:type="continuationSeparator" w:id="0">
    <w:p w:rsidR="00A4725D" w:rsidRDefault="00A472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3"/>
      <w:pBdr>
        <w:top w:val="single" w:sz="4" w:space="0" w:color="000000"/>
      </w:pBdr>
      <w:jc w:val="both"/>
    </w:pPr>
    <w:r>
      <w:rPr>
        <w:rFonts w:ascii="楷体" w:eastAsia="楷体" w:hAnsi="楷体" w:cs="Times New Roman" w:hint="eastAsia"/>
        <w:b/>
        <w:color w:val="833C0B"/>
        <w:sz w:val="21"/>
        <w:lang w:bidi="ar"/>
      </w:rPr>
      <w:t>广州期货提醒各位投资者，期市有风险，入市需谨慎！请阅读文末免责声明</w:t>
    </w:r>
    <w:r>
      <w:rPr>
        <w:noProof/>
      </w:rPr>
      <mc:AlternateContent>
        <mc:Choice Requires="wps">
          <w:drawing>
            <wp:anchor distT="0" distB="0" distL="114300" distR="114300" simplePos="0" relativeHeight="251660288" behindDoc="0" locked="0" layoutInCell="1" allowOverlap="1" wp14:anchorId="3270B8D8" wp14:editId="29700179">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F56A5" w:rsidRDefault="00CC3FFA">
                          <w:pPr>
                            <w:pStyle w:val="a3"/>
                            <w:rPr>
                              <w:rFonts w:ascii="Times New Roman" w:eastAsia="楷体" w:hAnsi="Times New Roman" w:cs="Times New Roman"/>
                              <w:b/>
                              <w:color w:val="833C0B"/>
                              <w:sz w:val="21"/>
                              <w:lang w:bidi="ar"/>
                            </w:rPr>
                          </w:pPr>
                          <w:r>
                            <w:rPr>
                              <w:rFonts w:ascii="Times New Roman" w:eastAsia="楷体" w:hAnsi="Times New Roman" w:cs="Times New Roman" w:hint="eastAsia"/>
                              <w:b/>
                              <w:color w:val="833C0B"/>
                              <w:sz w:val="21"/>
                              <w:lang w:bidi="ar"/>
                            </w:rPr>
                            <w:t>Page 1</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5D73EE8" id="_x0000_t202" coordsize="21600,21600" o:spt="202" path="m,l,21600r21600,l21600,xe">
              <v:stroke joinstyle="miter"/>
              <v:path gradientshapeok="t" o:connecttype="rect"/>
            </v:shapetype>
            <v:shape id="文本框 2" o:spid="_x0000_s1026" type="#_x0000_t202" style="position:absolute;left:0;text-align:left;margin-left:92.8pt;margin-top:0;width:2in;height:2in;z-index:251660288;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filled="f" stroked="f" strokeweight=".5pt">
              <v:textbox style="mso-fit-shape-to-text:t" inset="0,0,0,0">
                <w:txbxContent>
                  <w:p w:rsidR="003F56A5" w:rsidRDefault="00CC3FFA">
                    <w:pPr>
                      <w:pStyle w:val="a3"/>
                      <w:rPr>
                        <w:rFonts w:ascii="Times New Roman" w:eastAsia="楷体" w:hAnsi="Times New Roman" w:cs="Times New Roman"/>
                        <w:b/>
                        <w:color w:val="833C0B"/>
                        <w:sz w:val="21"/>
                        <w:lang w:bidi="ar"/>
                      </w:rPr>
                    </w:pPr>
                    <w:r>
                      <w:rPr>
                        <w:rFonts w:ascii="Times New Roman" w:eastAsia="楷体" w:hAnsi="Times New Roman" w:cs="Times New Roman" w:hint="eastAsia"/>
                        <w:b/>
                        <w:color w:val="833C0B"/>
                        <w:sz w:val="21"/>
                        <w:lang w:bidi="ar"/>
                      </w:rPr>
                      <w:t xml:space="preserve">Page </w:t>
                    </w:r>
                    <w:r>
                      <w:rPr>
                        <w:rFonts w:ascii="Times New Roman" w:eastAsia="楷体" w:hAnsi="Times New Roman" w:cs="Times New Roman" w:hint="eastAsia"/>
                        <w:b/>
                        <w:color w:val="833C0B"/>
                        <w:sz w:val="21"/>
                        <w:lang w:bidi="ar"/>
                      </w:rPr>
                      <w:t>1</w:t>
                    </w:r>
                  </w:p>
                </w:txbxContent>
              </v:textbox>
              <w10:wrap anchorx="margin"/>
            </v:shape>
          </w:pict>
        </mc:Fallback>
      </mc:AlternateContent>
    </w:r>
    <w:r>
      <w:rPr>
        <w:rFonts w:ascii="楷体" w:eastAsia="楷体" w:hAnsi="楷体" w:cs="Times New Roman" w:hint="eastAsia"/>
        <w:b/>
        <w:color w:val="833C0B"/>
        <w:sz w:val="21"/>
        <w:lang w:bidi="ar"/>
      </w:rPr>
      <w:t>。</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3"/>
      <w:pBdr>
        <w:top w:val="single" w:sz="4" w:space="0" w:color="000000"/>
      </w:pBdr>
      <w:jc w:val="both"/>
    </w:pPr>
    <w:r>
      <w:rPr>
        <w:noProof/>
      </w:rPr>
      <mc:AlternateContent>
        <mc:Choice Requires="wps">
          <w:drawing>
            <wp:anchor distT="0" distB="0" distL="114300" distR="114300" simplePos="0" relativeHeight="251662336" behindDoc="0" locked="0" layoutInCell="1" allowOverlap="1">
              <wp:simplePos x="0" y="0"/>
              <wp:positionH relativeFrom="margin">
                <wp:posOffset>4894580</wp:posOffset>
              </wp:positionH>
              <wp:positionV relativeFrom="paragraph">
                <wp:posOffset>-10795</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F56A5" w:rsidRDefault="00CC3FFA">
                          <w:pPr>
                            <w:pStyle w:val="a3"/>
                            <w:rPr>
                              <w:rFonts w:ascii="Times New Roman" w:eastAsia="楷体" w:hAnsi="Times New Roman" w:cs="Times New Roman"/>
                              <w:b/>
                              <w:color w:val="833C0B"/>
                              <w:sz w:val="21"/>
                              <w:lang w:bidi="ar"/>
                            </w:rPr>
                          </w:pPr>
                          <w:r>
                            <w:rPr>
                              <w:rFonts w:ascii="Times New Roman" w:eastAsia="楷体" w:hAnsi="Times New Roman" w:cs="Times New Roman" w:hint="eastAsia"/>
                              <w:b/>
                              <w:color w:val="833C0B"/>
                              <w:sz w:val="21"/>
                              <w:lang w:bidi="ar"/>
                            </w:rPr>
                            <w:t>Page</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7" type="#_x0000_t202" style="position:absolute;left:0;text-align:left;margin-left:385.4pt;margin-top:-.85pt;width:2in;height:2in;z-index:251662336;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" filled="f" stroked="f" strokeweight=".5pt">
              <v:textbox style="mso-fit-shape-to-text:t" inset="0,0,0,0">
                <w:txbxContent>
                  <w:p w:rsidR="003F56A5" w:rsidRDefault="00CC3FFA">
                    <w:pPr>
                      <w:pStyle w:val="a3"/>
                      <w:rPr>
                        <w:rFonts w:ascii="Times New Roman" w:eastAsia="楷体" w:hAnsi="Times New Roman" w:cs="Times New Roman"/>
                        <w:b/>
                        <w:color w:val="833C0B"/>
                        <w:sz w:val="21"/>
                        <w:lang w:bidi="ar"/>
                      </w:rPr>
                    </w:pPr>
                    <w:r>
                      <w:rPr>
                        <w:rFonts w:ascii="Times New Roman" w:eastAsia="楷体" w:hAnsi="Times New Roman" w:cs="Times New Roman" w:hint="eastAsia"/>
                        <w:b/>
                        <w:color w:val="833C0B"/>
                        <w:sz w:val="21"/>
                        <w:lang w:bidi="ar"/>
                      </w:rPr>
                      <w:t>Page</w:t>
                    </w:r>
                  </w:p>
                </w:txbxContent>
              </v:textbox>
              <w10:wrap anchorx="margin"/>
            </v:shape>
          </w:pict>
        </mc:Fallback>
      </mc:AlternateContent>
    </w:r>
    <w:r>
      <w:rPr>
        <w:noProof/>
        <w:sz w:val="21"/>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F56A5" w:rsidRDefault="00CC3FFA">
                          <w:pPr>
                            <w:pStyle w:val="a3"/>
                          </w:pPr>
                          <w:r>
                            <w:rPr>
                              <w:rFonts w:ascii="Times New Roman" w:eastAsia="楷体" w:hAnsi="Times New Roman" w:cs="Times New Roman" w:hint="eastAsia"/>
                              <w:b/>
                              <w:color w:val="833C0B"/>
                              <w:sz w:val="21"/>
                              <w:lang w:bidi="ar"/>
                            </w:rPr>
                            <w:fldChar w:fldCharType="begin"/>
                          </w:r>
                          <w:r>
                            <w:rPr>
                              <w:rFonts w:ascii="Times New Roman" w:eastAsia="楷体" w:hAnsi="Times New Roman" w:cs="Times New Roman" w:hint="eastAsia"/>
                              <w:b/>
                              <w:color w:val="833C0B"/>
                              <w:sz w:val="21"/>
                              <w:lang w:bidi="ar"/>
                            </w:rPr>
                            <w:instrText xml:space="preserve"> PAGE  \* MERGEFORMAT </w:instrText>
                          </w:r>
                          <w:r>
                            <w:rPr>
                              <w:rFonts w:ascii="Times New Roman" w:eastAsia="楷体" w:hAnsi="Times New Roman" w:cs="Times New Roman" w:hint="eastAsia"/>
                              <w:b/>
                              <w:color w:val="833C0B"/>
                              <w:sz w:val="21"/>
                              <w:lang w:bidi="ar"/>
                            </w:rPr>
                            <w:fldChar w:fldCharType="separate"/>
                          </w:r>
                          <w:r w:rsidR="0023093E">
                            <w:rPr>
                              <w:rFonts w:ascii="Times New Roman" w:eastAsia="楷体" w:hAnsi="Times New Roman" w:cs="Times New Roman"/>
                              <w:b/>
                              <w:noProof/>
                              <w:color w:val="833C0B"/>
                              <w:sz w:val="21"/>
                              <w:lang w:bidi="ar"/>
                            </w:rPr>
                            <w:t>8</w:t>
                          </w:r>
                          <w:r>
                            <w:rPr>
                              <w:rFonts w:ascii="Times New Roman" w:eastAsia="楷体" w:hAnsi="Times New Roman" w:cs="Times New Roman" w:hint="eastAsia"/>
                              <w:b/>
                              <w:color w:val="833C0B"/>
                              <w:sz w:val="21"/>
                              <w:lang w:bidi="ar"/>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28" type="#_x0000_t202" style="position:absolute;left:0;text-align:left;margin-left:92.8pt;margin-top:0;width:2in;height:2in;z-index:251663360;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PgpNg9kAgAAEQUAAA4AAAAAAAAAAAAAAAAALgIAAGRycy9lMm9Eb2Mu&#10;eG1sUEsBAi0AFAAGAAgAAAAhAHGq0bnXAAAABQEAAA8AAAAAAAAAAAAAAAAAvgQAAGRycy9kb3du&#10;cmV2LnhtbFBLBQYAAAAABAAEAPMAAADCBQAAAAA=&#10;" filled="f" stroked="f" strokeweight=".5pt">
              <v:textbox style="mso-fit-shape-to-text:t" inset="0,0,0,0">
                <w:txbxContent>
                  <w:p w:rsidR="003F56A5" w:rsidRDefault="00CC3FFA">
                    <w:pPr>
                      <w:pStyle w:val="a3"/>
                    </w:pPr>
                    <w:r>
                      <w:rPr>
                        <w:rFonts w:ascii="Times New Roman" w:eastAsia="楷体" w:hAnsi="Times New Roman" w:cs="Times New Roman" w:hint="eastAsia"/>
                        <w:b/>
                        <w:color w:val="833C0B"/>
                        <w:sz w:val="21"/>
                        <w:lang w:bidi="ar"/>
                      </w:rPr>
                      <w:fldChar w:fldCharType="begin"/>
                    </w:r>
                    <w:r>
                      <w:rPr>
                        <w:rFonts w:ascii="Times New Roman" w:eastAsia="楷体" w:hAnsi="Times New Roman" w:cs="Times New Roman" w:hint="eastAsia"/>
                        <w:b/>
                        <w:color w:val="833C0B"/>
                        <w:sz w:val="21"/>
                        <w:lang w:bidi="ar"/>
                      </w:rPr>
                      <w:instrText xml:space="preserve"> PAGE  \* MERGEFORMAT </w:instrText>
                    </w:r>
                    <w:r>
                      <w:rPr>
                        <w:rFonts w:ascii="Times New Roman" w:eastAsia="楷体" w:hAnsi="Times New Roman" w:cs="Times New Roman" w:hint="eastAsia"/>
                        <w:b/>
                        <w:color w:val="833C0B"/>
                        <w:sz w:val="21"/>
                        <w:lang w:bidi="ar"/>
                      </w:rPr>
                      <w:fldChar w:fldCharType="separate"/>
                    </w:r>
                    <w:r w:rsidR="0023093E">
                      <w:rPr>
                        <w:rFonts w:ascii="Times New Roman" w:eastAsia="楷体" w:hAnsi="Times New Roman" w:cs="Times New Roman"/>
                        <w:b/>
                        <w:noProof/>
                        <w:color w:val="833C0B"/>
                        <w:sz w:val="21"/>
                        <w:lang w:bidi="ar"/>
                      </w:rPr>
                      <w:t>8</w:t>
                    </w:r>
                    <w:r>
                      <w:rPr>
                        <w:rFonts w:ascii="Times New Roman" w:eastAsia="楷体" w:hAnsi="Times New Roman" w:cs="Times New Roman" w:hint="eastAsia"/>
                        <w:b/>
                        <w:color w:val="833C0B"/>
                        <w:sz w:val="21"/>
                        <w:lang w:bidi="ar"/>
                      </w:rPr>
                      <w:fldChar w:fldCharType="end"/>
                    </w:r>
                  </w:p>
                </w:txbxContent>
              </v:textbox>
              <w10:wrap anchorx="margin"/>
            </v:shape>
          </w:pict>
        </mc:Fallback>
      </mc:AlternateContent>
    </w:r>
    <w:r>
      <w:rPr>
        <w:rFonts w:ascii="楷体" w:eastAsia="楷体" w:hAnsi="楷体" w:cs="Times New Roman" w:hint="eastAsia"/>
        <w:b/>
        <w:color w:val="833C0B"/>
        <w:sz w:val="21"/>
        <w:lang w:bidi="ar"/>
      </w:rPr>
      <w:t>广州期货提醒各位投资者，期市有风险，入市需谨慎！请阅读文末免责声明。</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3"/>
    </w:pPr>
    <w:r>
      <w:rPr>
        <w:noProof/>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F56A5" w:rsidRDefault="00CC3FFA">
                          <w:pPr>
                            <w:pStyle w:val="a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6" o:spid="_x0000_s1029" type="#_x0000_t202" style="position:absolute;margin-left:0;margin-top:0;width:2in;height:2in;z-index:25166438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DnvQolkAgAAEQUAAA4AAAAAAAAAAAAAAAAALgIAAGRycy9lMm9Eb2Mu&#10;eG1sUEsBAi0AFAAGAAgAAAAhAHGq0bnXAAAABQEAAA8AAAAAAAAAAAAAAAAAvgQAAGRycy9kb3du&#10;cmV2LnhtbFBLBQYAAAAABAAEAPMAAADCBQAAAAA=&#10;" filled="f" stroked="f" strokeweight=".5pt">
              <v:textbox style="mso-fit-shape-to-text:t" inset="0,0,0,0">
                <w:txbxContent>
                  <w:p w:rsidR="003F56A5" w:rsidRDefault="00CC3FFA">
                    <w:pPr>
                      <w:pStyle w:val="a3"/>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725D" w:rsidRDefault="00A4725D">
      <w:r>
        <w:separator/>
      </w:r>
    </w:p>
  </w:footnote>
  <w:footnote w:type="continuationSeparator" w:id="0">
    <w:p w:rsidR="00A4725D" w:rsidRDefault="00A4725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4"/>
      <w:jc w:val="right"/>
    </w:pPr>
    <w:r>
      <w:rPr>
        <w:noProof/>
      </w:rPr>
      <w:drawing>
        <wp:anchor distT="0" distB="0" distL="114300" distR="114300" simplePos="0" relativeHeight="251659264" behindDoc="0" locked="0" layoutInCell="1" allowOverlap="1" wp14:anchorId="64D0A55B" wp14:editId="336485E0">
          <wp:simplePos x="0" y="0"/>
          <wp:positionH relativeFrom="column">
            <wp:posOffset>0</wp:posOffset>
          </wp:positionH>
          <wp:positionV relativeFrom="paragraph">
            <wp:posOffset>-164465</wp:posOffset>
          </wp:positionV>
          <wp:extent cx="1774190" cy="469265"/>
          <wp:effectExtent l="0" t="0" r="16510" b="698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p>
  <w:p w:rsidR="003F56A5" w:rsidRDefault="00CC3FFA">
    <w:pPr>
      <w:pStyle w:val="a4"/>
      <w:pBdr>
        <w:bottom w:val="single" w:sz="4" w:space="1" w:color="auto"/>
      </w:pBdr>
      <w:jc w:val="right"/>
      <w:rPr>
        <w:b/>
        <w:bCs/>
      </w:rPr>
    </w:pPr>
    <w:r>
      <w:ptab w:relativeTo="margin" w:alignment="center" w:leader="none"/>
    </w:r>
    <w:r>
      <w:rPr>
        <w:rFonts w:ascii="Times New Roman" w:eastAsia="楷体" w:hAnsi="Times New Roman" w:hint="eastAsia"/>
        <w:b/>
        <w:bCs/>
        <w:color w:val="833C0B"/>
        <w:sz w:val="21"/>
      </w:rPr>
      <w:t>早间直通车</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4"/>
      <w:jc w:val="right"/>
      <w:rPr>
        <w:rFonts w:ascii="Times New Roman" w:eastAsia="楷体" w:hAnsi="Times New Roman"/>
        <w:b/>
        <w:bCs/>
        <w:color w:val="833C0B"/>
        <w:sz w:val="21"/>
      </w:rPr>
    </w:pPr>
    <w:r>
      <w:ptab w:relativeTo="margin" w:alignment="center" w:leader="none"/>
    </w:r>
    <w:r>
      <w:rPr>
        <w:noProof/>
      </w:rPr>
      <w:drawing>
        <wp:anchor distT="0" distB="0" distL="114300" distR="114300" simplePos="0" relativeHeight="251661312" behindDoc="0" locked="0" layoutInCell="1" allowOverlap="1" wp14:anchorId="48F551FA" wp14:editId="0656C78E">
          <wp:simplePos x="0" y="0"/>
          <wp:positionH relativeFrom="column">
            <wp:posOffset>0</wp:posOffset>
          </wp:positionH>
          <wp:positionV relativeFrom="paragraph">
            <wp:posOffset>-180975</wp:posOffset>
          </wp:positionV>
          <wp:extent cx="1774190" cy="469265"/>
          <wp:effectExtent l="0" t="0" r="16510" b="6985"/>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r>
      <w:rPr>
        <w:rFonts w:ascii="Times New Roman" w:eastAsia="楷体" w:hAnsi="Times New Roman" w:hint="eastAsia"/>
        <w:b/>
        <w:bCs/>
        <w:color w:val="833C0B"/>
        <w:sz w:val="21"/>
      </w:rPr>
      <w:t>早间直通车</w:t>
    </w:r>
  </w:p>
  <w:p w:rsidR="003F56A5" w:rsidRDefault="00CC3FFA">
    <w:pPr>
      <w:pStyle w:val="a4"/>
      <w:pBdr>
        <w:bottom w:val="single" w:sz="4" w:space="1" w:color="auto"/>
      </w:pBdr>
      <w:jc w:val="right"/>
    </w:pPr>
    <w:r>
      <w:rPr>
        <w:rFonts w:ascii="Times New Roman" w:eastAsia="楷体" w:hAnsi="Times New Roman"/>
        <w:b/>
        <w:bCs/>
        <w:color w:val="833C0B"/>
        <w:sz w:val="21"/>
      </w:rPr>
      <w:fldChar w:fldCharType="begin"/>
    </w:r>
    <w:r>
      <w:rPr>
        <w:rFonts w:ascii="Times New Roman" w:eastAsia="楷体" w:hAnsi="Times New Roman"/>
        <w:b/>
        <w:bCs/>
        <w:color w:val="833C0B"/>
        <w:sz w:val="21"/>
      </w:rPr>
      <w:instrText xml:space="preserve"> </w:instrText>
    </w:r>
    <w:r>
      <w:rPr>
        <w:rFonts w:ascii="Times New Roman" w:eastAsia="楷体" w:hAnsi="Times New Roman" w:hint="eastAsia"/>
        <w:b/>
        <w:bCs/>
        <w:color w:val="833C0B"/>
        <w:sz w:val="21"/>
      </w:rPr>
      <w:instrText>TIME \@ "yyyy</w:instrText>
    </w:r>
    <w:r>
      <w:rPr>
        <w:rFonts w:ascii="Times New Roman" w:eastAsia="楷体" w:hAnsi="Times New Roman" w:hint="eastAsia"/>
        <w:b/>
        <w:bCs/>
        <w:color w:val="833C0B"/>
        <w:sz w:val="21"/>
      </w:rPr>
      <w:instrText>年</w:instrText>
    </w:r>
    <w:r>
      <w:rPr>
        <w:rFonts w:ascii="Times New Roman" w:eastAsia="楷体" w:hAnsi="Times New Roman" w:hint="eastAsia"/>
        <w:b/>
        <w:bCs/>
        <w:color w:val="833C0B"/>
        <w:sz w:val="21"/>
      </w:rPr>
      <w:instrText>M</w:instrText>
    </w:r>
    <w:r>
      <w:rPr>
        <w:rFonts w:ascii="Times New Roman" w:eastAsia="楷体" w:hAnsi="Times New Roman" w:hint="eastAsia"/>
        <w:b/>
        <w:bCs/>
        <w:color w:val="833C0B"/>
        <w:sz w:val="21"/>
      </w:rPr>
      <w:instrText>月</w:instrText>
    </w:r>
    <w:r>
      <w:rPr>
        <w:rFonts w:ascii="Times New Roman" w:eastAsia="楷体" w:hAnsi="Times New Roman" w:hint="eastAsia"/>
        <w:b/>
        <w:bCs/>
        <w:color w:val="833C0B"/>
        <w:sz w:val="21"/>
      </w:rPr>
      <w:instrText>d</w:instrText>
    </w:r>
    <w:r>
      <w:rPr>
        <w:rFonts w:ascii="Times New Roman" w:eastAsia="楷体" w:hAnsi="Times New Roman" w:hint="eastAsia"/>
        <w:b/>
        <w:bCs/>
        <w:color w:val="833C0B"/>
        <w:sz w:val="21"/>
      </w:rPr>
      <w:instrText>日星期</w:instrText>
    </w:r>
    <w:r>
      <w:rPr>
        <w:rFonts w:ascii="Times New Roman" w:eastAsia="楷体" w:hAnsi="Times New Roman" w:hint="eastAsia"/>
        <w:b/>
        <w:bCs/>
        <w:color w:val="833C0B"/>
        <w:sz w:val="21"/>
      </w:rPr>
      <w:instrText>W"</w:instrText>
    </w:r>
    <w:r>
      <w:rPr>
        <w:rFonts w:ascii="Times New Roman" w:eastAsia="楷体" w:hAnsi="Times New Roman"/>
        <w:b/>
        <w:bCs/>
        <w:color w:val="833C0B"/>
        <w:sz w:val="21"/>
      </w:rPr>
      <w:instrText xml:space="preserve"> </w:instrText>
    </w:r>
    <w:r>
      <w:rPr>
        <w:rFonts w:ascii="Times New Roman" w:eastAsia="楷体" w:hAnsi="Times New Roman"/>
        <w:b/>
        <w:bCs/>
        <w:color w:val="833C0B"/>
        <w:sz w:val="21"/>
      </w:rPr>
      <w:fldChar w:fldCharType="separate"/>
    </w:r>
    <w:r w:rsidR="00127803">
      <w:rPr>
        <w:rFonts w:ascii="Times New Roman" w:eastAsia="楷体" w:hAnsi="Times New Roman" w:hint="eastAsia"/>
        <w:b/>
        <w:bCs/>
        <w:noProof/>
        <w:color w:val="833C0B"/>
        <w:sz w:val="21"/>
      </w:rPr>
      <w:t>2023</w:t>
    </w:r>
    <w:r w:rsidR="00127803">
      <w:rPr>
        <w:rFonts w:ascii="Times New Roman" w:eastAsia="楷体" w:hAnsi="Times New Roman" w:hint="eastAsia"/>
        <w:b/>
        <w:bCs/>
        <w:noProof/>
        <w:color w:val="833C0B"/>
        <w:sz w:val="21"/>
      </w:rPr>
      <w:t>年</w:t>
    </w:r>
    <w:r w:rsidR="00127803">
      <w:rPr>
        <w:rFonts w:ascii="Times New Roman" w:eastAsia="楷体" w:hAnsi="Times New Roman" w:hint="eastAsia"/>
        <w:b/>
        <w:bCs/>
        <w:noProof/>
        <w:color w:val="833C0B"/>
        <w:sz w:val="21"/>
      </w:rPr>
      <w:t>6</w:t>
    </w:r>
    <w:r w:rsidR="00127803">
      <w:rPr>
        <w:rFonts w:ascii="Times New Roman" w:eastAsia="楷体" w:hAnsi="Times New Roman" w:hint="eastAsia"/>
        <w:b/>
        <w:bCs/>
        <w:noProof/>
        <w:color w:val="833C0B"/>
        <w:sz w:val="21"/>
      </w:rPr>
      <w:t>月</w:t>
    </w:r>
    <w:r w:rsidR="00127803">
      <w:rPr>
        <w:rFonts w:ascii="Times New Roman" w:eastAsia="楷体" w:hAnsi="Times New Roman" w:hint="eastAsia"/>
        <w:b/>
        <w:bCs/>
        <w:noProof/>
        <w:color w:val="833C0B"/>
        <w:sz w:val="21"/>
      </w:rPr>
      <w:t>8</w:t>
    </w:r>
    <w:r w:rsidR="00127803">
      <w:rPr>
        <w:rFonts w:ascii="Times New Roman" w:eastAsia="楷体" w:hAnsi="Times New Roman" w:hint="eastAsia"/>
        <w:b/>
        <w:bCs/>
        <w:noProof/>
        <w:color w:val="833C0B"/>
        <w:sz w:val="21"/>
      </w:rPr>
      <w:t>日星期四</w:t>
    </w:r>
    <w:r>
      <w:rPr>
        <w:rFonts w:ascii="Times New Roman" w:eastAsia="楷体" w:hAnsi="Times New Roman"/>
        <w:b/>
        <w:bCs/>
        <w:color w:val="833C0B"/>
        <w:sz w:val="21"/>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ljYzUzMWQ4OWI0YzBkYjYzMDRhZTY5ZjZkYmFmYTgifQ=="/>
  </w:docVars>
  <w:rsids>
    <w:rsidRoot w:val="3B3306F0"/>
    <w:rsid w:val="0000534E"/>
    <w:rsid w:val="000058D8"/>
    <w:rsid w:val="00006269"/>
    <w:rsid w:val="00012A9A"/>
    <w:rsid w:val="00020E82"/>
    <w:rsid w:val="00035EB2"/>
    <w:rsid w:val="000417D7"/>
    <w:rsid w:val="00050B6C"/>
    <w:rsid w:val="0005286B"/>
    <w:rsid w:val="0005726F"/>
    <w:rsid w:val="00072EAA"/>
    <w:rsid w:val="00076420"/>
    <w:rsid w:val="000820C6"/>
    <w:rsid w:val="00096258"/>
    <w:rsid w:val="000A413E"/>
    <w:rsid w:val="000B0648"/>
    <w:rsid w:val="000B4E70"/>
    <w:rsid w:val="000D36DC"/>
    <w:rsid w:val="000D42E2"/>
    <w:rsid w:val="000D7CF0"/>
    <w:rsid w:val="000E03FC"/>
    <w:rsid w:val="000E0C15"/>
    <w:rsid w:val="000E4EEB"/>
    <w:rsid w:val="00115EEA"/>
    <w:rsid w:val="00117470"/>
    <w:rsid w:val="00120B1F"/>
    <w:rsid w:val="00127803"/>
    <w:rsid w:val="00147668"/>
    <w:rsid w:val="00147B03"/>
    <w:rsid w:val="0015047B"/>
    <w:rsid w:val="001801C4"/>
    <w:rsid w:val="001942CB"/>
    <w:rsid w:val="001945E9"/>
    <w:rsid w:val="001A3E49"/>
    <w:rsid w:val="001B179D"/>
    <w:rsid w:val="001B1904"/>
    <w:rsid w:val="001B25C9"/>
    <w:rsid w:val="001B2D4C"/>
    <w:rsid w:val="001B6043"/>
    <w:rsid w:val="001B6394"/>
    <w:rsid w:val="001C2E87"/>
    <w:rsid w:val="001C77D0"/>
    <w:rsid w:val="001D1F0A"/>
    <w:rsid w:val="001D40EA"/>
    <w:rsid w:val="001D4474"/>
    <w:rsid w:val="001F5438"/>
    <w:rsid w:val="002074A1"/>
    <w:rsid w:val="00216C1E"/>
    <w:rsid w:val="00226406"/>
    <w:rsid w:val="0023093E"/>
    <w:rsid w:val="00230DB7"/>
    <w:rsid w:val="00235529"/>
    <w:rsid w:val="00244CA3"/>
    <w:rsid w:val="0025590B"/>
    <w:rsid w:val="00267FFD"/>
    <w:rsid w:val="00282262"/>
    <w:rsid w:val="00285297"/>
    <w:rsid w:val="00291461"/>
    <w:rsid w:val="002951EB"/>
    <w:rsid w:val="00297A1B"/>
    <w:rsid w:val="002A0670"/>
    <w:rsid w:val="002A6C89"/>
    <w:rsid w:val="002B2257"/>
    <w:rsid w:val="002B32AE"/>
    <w:rsid w:val="002C73FE"/>
    <w:rsid w:val="002F075C"/>
    <w:rsid w:val="002F545E"/>
    <w:rsid w:val="002F6AD1"/>
    <w:rsid w:val="002F7810"/>
    <w:rsid w:val="003230A0"/>
    <w:rsid w:val="00323550"/>
    <w:rsid w:val="0033167B"/>
    <w:rsid w:val="00332F22"/>
    <w:rsid w:val="0033644D"/>
    <w:rsid w:val="003416C2"/>
    <w:rsid w:val="00341727"/>
    <w:rsid w:val="003471F4"/>
    <w:rsid w:val="00357545"/>
    <w:rsid w:val="00370D25"/>
    <w:rsid w:val="00371ED6"/>
    <w:rsid w:val="00374836"/>
    <w:rsid w:val="00375F0B"/>
    <w:rsid w:val="00376AF1"/>
    <w:rsid w:val="003953FD"/>
    <w:rsid w:val="003A1F3C"/>
    <w:rsid w:val="003A3DB4"/>
    <w:rsid w:val="003C54F5"/>
    <w:rsid w:val="003C5F91"/>
    <w:rsid w:val="003D3A9E"/>
    <w:rsid w:val="003F2424"/>
    <w:rsid w:val="003F56A5"/>
    <w:rsid w:val="004201F5"/>
    <w:rsid w:val="004230AC"/>
    <w:rsid w:val="00426AB5"/>
    <w:rsid w:val="00433C64"/>
    <w:rsid w:val="00440FBE"/>
    <w:rsid w:val="004427D1"/>
    <w:rsid w:val="004567BD"/>
    <w:rsid w:val="00461147"/>
    <w:rsid w:val="00484C53"/>
    <w:rsid w:val="00485A3F"/>
    <w:rsid w:val="00487F77"/>
    <w:rsid w:val="004977A9"/>
    <w:rsid w:val="004A382D"/>
    <w:rsid w:val="004A3F85"/>
    <w:rsid w:val="004A65B5"/>
    <w:rsid w:val="004B4D4D"/>
    <w:rsid w:val="004C11A7"/>
    <w:rsid w:val="004C5F3F"/>
    <w:rsid w:val="004E58A5"/>
    <w:rsid w:val="004E6093"/>
    <w:rsid w:val="005145ED"/>
    <w:rsid w:val="00533D1C"/>
    <w:rsid w:val="00535DC9"/>
    <w:rsid w:val="00540298"/>
    <w:rsid w:val="00541F3F"/>
    <w:rsid w:val="00547DD7"/>
    <w:rsid w:val="00551A8D"/>
    <w:rsid w:val="005523A5"/>
    <w:rsid w:val="00553DEC"/>
    <w:rsid w:val="00576234"/>
    <w:rsid w:val="005818A8"/>
    <w:rsid w:val="0058734B"/>
    <w:rsid w:val="00591B89"/>
    <w:rsid w:val="00593B03"/>
    <w:rsid w:val="00593F40"/>
    <w:rsid w:val="005A5EEB"/>
    <w:rsid w:val="005B5BDF"/>
    <w:rsid w:val="005B790A"/>
    <w:rsid w:val="005C05F7"/>
    <w:rsid w:val="005C05FA"/>
    <w:rsid w:val="005C49BA"/>
    <w:rsid w:val="005E1CE0"/>
    <w:rsid w:val="005E6164"/>
    <w:rsid w:val="005F2CE6"/>
    <w:rsid w:val="005F45A8"/>
    <w:rsid w:val="00606E2B"/>
    <w:rsid w:val="00610C41"/>
    <w:rsid w:val="0061390B"/>
    <w:rsid w:val="00615F78"/>
    <w:rsid w:val="00637F19"/>
    <w:rsid w:val="00641752"/>
    <w:rsid w:val="00650F05"/>
    <w:rsid w:val="0065454E"/>
    <w:rsid w:val="00657B01"/>
    <w:rsid w:val="00661BB3"/>
    <w:rsid w:val="00666DE4"/>
    <w:rsid w:val="006911F3"/>
    <w:rsid w:val="006A135D"/>
    <w:rsid w:val="006A5214"/>
    <w:rsid w:val="006A7A79"/>
    <w:rsid w:val="006B4A5D"/>
    <w:rsid w:val="006D21ED"/>
    <w:rsid w:val="00710028"/>
    <w:rsid w:val="007103A5"/>
    <w:rsid w:val="0072164F"/>
    <w:rsid w:val="007253E7"/>
    <w:rsid w:val="0072736C"/>
    <w:rsid w:val="007315D8"/>
    <w:rsid w:val="00743CFD"/>
    <w:rsid w:val="007664C1"/>
    <w:rsid w:val="00785519"/>
    <w:rsid w:val="007866A5"/>
    <w:rsid w:val="0079299D"/>
    <w:rsid w:val="00792D31"/>
    <w:rsid w:val="007952E9"/>
    <w:rsid w:val="007A410D"/>
    <w:rsid w:val="007A66FE"/>
    <w:rsid w:val="007B3290"/>
    <w:rsid w:val="007B4FCE"/>
    <w:rsid w:val="007C2FD2"/>
    <w:rsid w:val="007D29EC"/>
    <w:rsid w:val="007D4BBD"/>
    <w:rsid w:val="007F09BE"/>
    <w:rsid w:val="007F1327"/>
    <w:rsid w:val="007F140C"/>
    <w:rsid w:val="007F186E"/>
    <w:rsid w:val="0080612D"/>
    <w:rsid w:val="00806354"/>
    <w:rsid w:val="0080692E"/>
    <w:rsid w:val="00806F4A"/>
    <w:rsid w:val="00815011"/>
    <w:rsid w:val="00815817"/>
    <w:rsid w:val="00820D28"/>
    <w:rsid w:val="00822591"/>
    <w:rsid w:val="0083605E"/>
    <w:rsid w:val="00840F4E"/>
    <w:rsid w:val="00856132"/>
    <w:rsid w:val="008649BB"/>
    <w:rsid w:val="00867CA5"/>
    <w:rsid w:val="00873ECE"/>
    <w:rsid w:val="008740D4"/>
    <w:rsid w:val="0087785E"/>
    <w:rsid w:val="00892203"/>
    <w:rsid w:val="0089393F"/>
    <w:rsid w:val="008A0893"/>
    <w:rsid w:val="008A11C6"/>
    <w:rsid w:val="008A1D22"/>
    <w:rsid w:val="008B13D2"/>
    <w:rsid w:val="008B3268"/>
    <w:rsid w:val="008B361D"/>
    <w:rsid w:val="008C1554"/>
    <w:rsid w:val="008C3F42"/>
    <w:rsid w:val="008E2B15"/>
    <w:rsid w:val="008E33F3"/>
    <w:rsid w:val="008E3B84"/>
    <w:rsid w:val="008F229B"/>
    <w:rsid w:val="008F2A6E"/>
    <w:rsid w:val="00906E0C"/>
    <w:rsid w:val="00907943"/>
    <w:rsid w:val="00916E97"/>
    <w:rsid w:val="00920372"/>
    <w:rsid w:val="009260D3"/>
    <w:rsid w:val="009316EC"/>
    <w:rsid w:val="009317CD"/>
    <w:rsid w:val="00934728"/>
    <w:rsid w:val="009644D9"/>
    <w:rsid w:val="0097131C"/>
    <w:rsid w:val="009870E4"/>
    <w:rsid w:val="009A12FA"/>
    <w:rsid w:val="009A564D"/>
    <w:rsid w:val="009B3801"/>
    <w:rsid w:val="009B534D"/>
    <w:rsid w:val="009B591A"/>
    <w:rsid w:val="009C3E56"/>
    <w:rsid w:val="009C483C"/>
    <w:rsid w:val="009D2477"/>
    <w:rsid w:val="009D4A74"/>
    <w:rsid w:val="009D5253"/>
    <w:rsid w:val="009D5D79"/>
    <w:rsid w:val="009D64FE"/>
    <w:rsid w:val="009E0994"/>
    <w:rsid w:val="009E4452"/>
    <w:rsid w:val="009E7578"/>
    <w:rsid w:val="009F5C7B"/>
    <w:rsid w:val="00A031CE"/>
    <w:rsid w:val="00A04421"/>
    <w:rsid w:val="00A11A0D"/>
    <w:rsid w:val="00A22080"/>
    <w:rsid w:val="00A42079"/>
    <w:rsid w:val="00A4725D"/>
    <w:rsid w:val="00A63022"/>
    <w:rsid w:val="00A71A7E"/>
    <w:rsid w:val="00A776D7"/>
    <w:rsid w:val="00A91E48"/>
    <w:rsid w:val="00A96E37"/>
    <w:rsid w:val="00A97444"/>
    <w:rsid w:val="00AA186F"/>
    <w:rsid w:val="00AA29E5"/>
    <w:rsid w:val="00AB0678"/>
    <w:rsid w:val="00AC00CF"/>
    <w:rsid w:val="00AC52CB"/>
    <w:rsid w:val="00AC7794"/>
    <w:rsid w:val="00AC7ECD"/>
    <w:rsid w:val="00AD009F"/>
    <w:rsid w:val="00AF56FD"/>
    <w:rsid w:val="00AF5EA0"/>
    <w:rsid w:val="00B066DA"/>
    <w:rsid w:val="00B072C0"/>
    <w:rsid w:val="00B10135"/>
    <w:rsid w:val="00B118A2"/>
    <w:rsid w:val="00B133D0"/>
    <w:rsid w:val="00B15418"/>
    <w:rsid w:val="00B17165"/>
    <w:rsid w:val="00B1737C"/>
    <w:rsid w:val="00B1758C"/>
    <w:rsid w:val="00B17639"/>
    <w:rsid w:val="00B443CE"/>
    <w:rsid w:val="00B4555A"/>
    <w:rsid w:val="00B53C56"/>
    <w:rsid w:val="00B60464"/>
    <w:rsid w:val="00B606EF"/>
    <w:rsid w:val="00B618F8"/>
    <w:rsid w:val="00B72E2D"/>
    <w:rsid w:val="00B745CB"/>
    <w:rsid w:val="00B805BD"/>
    <w:rsid w:val="00B91D3D"/>
    <w:rsid w:val="00B94E7D"/>
    <w:rsid w:val="00BA4663"/>
    <w:rsid w:val="00BA696B"/>
    <w:rsid w:val="00BC5F45"/>
    <w:rsid w:val="00BC71D6"/>
    <w:rsid w:val="00BD4C85"/>
    <w:rsid w:val="00BE456E"/>
    <w:rsid w:val="00BF3137"/>
    <w:rsid w:val="00C02ECE"/>
    <w:rsid w:val="00C06AC7"/>
    <w:rsid w:val="00C13E0F"/>
    <w:rsid w:val="00C2031B"/>
    <w:rsid w:val="00C2080D"/>
    <w:rsid w:val="00C228D6"/>
    <w:rsid w:val="00C240C3"/>
    <w:rsid w:val="00C25562"/>
    <w:rsid w:val="00C265C5"/>
    <w:rsid w:val="00C43DDB"/>
    <w:rsid w:val="00C575E9"/>
    <w:rsid w:val="00C62202"/>
    <w:rsid w:val="00C6240E"/>
    <w:rsid w:val="00C66C6C"/>
    <w:rsid w:val="00C70FDD"/>
    <w:rsid w:val="00C82E4D"/>
    <w:rsid w:val="00C91234"/>
    <w:rsid w:val="00C93E36"/>
    <w:rsid w:val="00CA1C01"/>
    <w:rsid w:val="00CB0962"/>
    <w:rsid w:val="00CB1AC3"/>
    <w:rsid w:val="00CB1F18"/>
    <w:rsid w:val="00CB2FD2"/>
    <w:rsid w:val="00CB3015"/>
    <w:rsid w:val="00CC03C4"/>
    <w:rsid w:val="00CC3E40"/>
    <w:rsid w:val="00CC3FFA"/>
    <w:rsid w:val="00CC6C03"/>
    <w:rsid w:val="00CD5884"/>
    <w:rsid w:val="00CD5DE8"/>
    <w:rsid w:val="00CD70A0"/>
    <w:rsid w:val="00CE7903"/>
    <w:rsid w:val="00CF6C71"/>
    <w:rsid w:val="00CF7A9A"/>
    <w:rsid w:val="00D00D60"/>
    <w:rsid w:val="00D017E5"/>
    <w:rsid w:val="00D01A19"/>
    <w:rsid w:val="00D04FF1"/>
    <w:rsid w:val="00D1582A"/>
    <w:rsid w:val="00D309C4"/>
    <w:rsid w:val="00D45E53"/>
    <w:rsid w:val="00D47039"/>
    <w:rsid w:val="00D55EAF"/>
    <w:rsid w:val="00D63655"/>
    <w:rsid w:val="00D75630"/>
    <w:rsid w:val="00D842AA"/>
    <w:rsid w:val="00D86D76"/>
    <w:rsid w:val="00D87130"/>
    <w:rsid w:val="00D93E0B"/>
    <w:rsid w:val="00DA7546"/>
    <w:rsid w:val="00DE02C4"/>
    <w:rsid w:val="00DF1796"/>
    <w:rsid w:val="00DF270D"/>
    <w:rsid w:val="00DF3B28"/>
    <w:rsid w:val="00DF56EC"/>
    <w:rsid w:val="00E020F2"/>
    <w:rsid w:val="00E12059"/>
    <w:rsid w:val="00E25D21"/>
    <w:rsid w:val="00E31716"/>
    <w:rsid w:val="00E32B95"/>
    <w:rsid w:val="00E34551"/>
    <w:rsid w:val="00E34EAB"/>
    <w:rsid w:val="00E373B2"/>
    <w:rsid w:val="00E40036"/>
    <w:rsid w:val="00E45000"/>
    <w:rsid w:val="00E451FD"/>
    <w:rsid w:val="00E556EC"/>
    <w:rsid w:val="00E55B22"/>
    <w:rsid w:val="00E60D44"/>
    <w:rsid w:val="00E64502"/>
    <w:rsid w:val="00E771D2"/>
    <w:rsid w:val="00E80EDB"/>
    <w:rsid w:val="00E84794"/>
    <w:rsid w:val="00E847DF"/>
    <w:rsid w:val="00E90013"/>
    <w:rsid w:val="00E928BB"/>
    <w:rsid w:val="00EA0CCD"/>
    <w:rsid w:val="00EA28CA"/>
    <w:rsid w:val="00EB4C04"/>
    <w:rsid w:val="00EB56F2"/>
    <w:rsid w:val="00EC2B12"/>
    <w:rsid w:val="00EC4D59"/>
    <w:rsid w:val="00ED06A6"/>
    <w:rsid w:val="00ED451D"/>
    <w:rsid w:val="00ED7C55"/>
    <w:rsid w:val="00F07C02"/>
    <w:rsid w:val="00F157C6"/>
    <w:rsid w:val="00F234BF"/>
    <w:rsid w:val="00F268B3"/>
    <w:rsid w:val="00F31CCA"/>
    <w:rsid w:val="00F43E0E"/>
    <w:rsid w:val="00F473F0"/>
    <w:rsid w:val="00F622ED"/>
    <w:rsid w:val="00F65EEA"/>
    <w:rsid w:val="00F776D3"/>
    <w:rsid w:val="00F95209"/>
    <w:rsid w:val="00FB3956"/>
    <w:rsid w:val="00FC0F8B"/>
    <w:rsid w:val="00FE1B77"/>
    <w:rsid w:val="02E32A5D"/>
    <w:rsid w:val="057D13AE"/>
    <w:rsid w:val="06B2613D"/>
    <w:rsid w:val="06B753E3"/>
    <w:rsid w:val="09B849A4"/>
    <w:rsid w:val="09F160E3"/>
    <w:rsid w:val="0AC64130"/>
    <w:rsid w:val="0B42525D"/>
    <w:rsid w:val="0C1F7DEE"/>
    <w:rsid w:val="0CDE660D"/>
    <w:rsid w:val="0D032A7C"/>
    <w:rsid w:val="0F662138"/>
    <w:rsid w:val="100732C8"/>
    <w:rsid w:val="10DA6205"/>
    <w:rsid w:val="113D3FD2"/>
    <w:rsid w:val="121F7D21"/>
    <w:rsid w:val="129B2E20"/>
    <w:rsid w:val="12AA5DF8"/>
    <w:rsid w:val="134E6356"/>
    <w:rsid w:val="15364A7C"/>
    <w:rsid w:val="15D52593"/>
    <w:rsid w:val="197E6634"/>
    <w:rsid w:val="1B8A2034"/>
    <w:rsid w:val="1BC72FF7"/>
    <w:rsid w:val="1D03226A"/>
    <w:rsid w:val="1D5030CD"/>
    <w:rsid w:val="1D876087"/>
    <w:rsid w:val="1DFF64E4"/>
    <w:rsid w:val="2056595D"/>
    <w:rsid w:val="20AE4DE8"/>
    <w:rsid w:val="216834DE"/>
    <w:rsid w:val="21996AC1"/>
    <w:rsid w:val="219F3EE2"/>
    <w:rsid w:val="22BB5089"/>
    <w:rsid w:val="24321B2E"/>
    <w:rsid w:val="244B21DE"/>
    <w:rsid w:val="247F3074"/>
    <w:rsid w:val="24B82D9D"/>
    <w:rsid w:val="258A2E5C"/>
    <w:rsid w:val="25B924F3"/>
    <w:rsid w:val="268419CF"/>
    <w:rsid w:val="26AC2D80"/>
    <w:rsid w:val="26F95364"/>
    <w:rsid w:val="2C6C12B9"/>
    <w:rsid w:val="2CA93C52"/>
    <w:rsid w:val="2D912E3A"/>
    <w:rsid w:val="2DC02C2B"/>
    <w:rsid w:val="2DE440F7"/>
    <w:rsid w:val="2FA70F17"/>
    <w:rsid w:val="340E7198"/>
    <w:rsid w:val="34A75784"/>
    <w:rsid w:val="373F75CC"/>
    <w:rsid w:val="3A2F6D68"/>
    <w:rsid w:val="3AC9385E"/>
    <w:rsid w:val="3B3306F0"/>
    <w:rsid w:val="3B563B4D"/>
    <w:rsid w:val="3C2825B0"/>
    <w:rsid w:val="3C2B26B7"/>
    <w:rsid w:val="3D8B796D"/>
    <w:rsid w:val="3DA80A30"/>
    <w:rsid w:val="3EC32453"/>
    <w:rsid w:val="3ECC520D"/>
    <w:rsid w:val="3EE0186C"/>
    <w:rsid w:val="3EFE09FD"/>
    <w:rsid w:val="3F345DBE"/>
    <w:rsid w:val="40F15753"/>
    <w:rsid w:val="43F63E0D"/>
    <w:rsid w:val="44092E2E"/>
    <w:rsid w:val="441077D2"/>
    <w:rsid w:val="44396064"/>
    <w:rsid w:val="459609D9"/>
    <w:rsid w:val="45A37566"/>
    <w:rsid w:val="45CF0A85"/>
    <w:rsid w:val="46194A11"/>
    <w:rsid w:val="47752ACA"/>
    <w:rsid w:val="47C813F2"/>
    <w:rsid w:val="4AB74C38"/>
    <w:rsid w:val="4B6224E5"/>
    <w:rsid w:val="4B8C4A56"/>
    <w:rsid w:val="4BF97936"/>
    <w:rsid w:val="4C457E30"/>
    <w:rsid w:val="4D2A3925"/>
    <w:rsid w:val="4DB20386"/>
    <w:rsid w:val="4DF02D90"/>
    <w:rsid w:val="5005695E"/>
    <w:rsid w:val="50286811"/>
    <w:rsid w:val="51266B84"/>
    <w:rsid w:val="546B5509"/>
    <w:rsid w:val="548642E9"/>
    <w:rsid w:val="54C12E33"/>
    <w:rsid w:val="55633225"/>
    <w:rsid w:val="56DD4D3A"/>
    <w:rsid w:val="57555A7B"/>
    <w:rsid w:val="57CB522F"/>
    <w:rsid w:val="58246D5D"/>
    <w:rsid w:val="59C52328"/>
    <w:rsid w:val="5B906095"/>
    <w:rsid w:val="5BF60A75"/>
    <w:rsid w:val="5C9F2D01"/>
    <w:rsid w:val="5D5617A6"/>
    <w:rsid w:val="5EA7685B"/>
    <w:rsid w:val="61DF02D0"/>
    <w:rsid w:val="62710E5F"/>
    <w:rsid w:val="64C32497"/>
    <w:rsid w:val="66D04BBC"/>
    <w:rsid w:val="685D4EEE"/>
    <w:rsid w:val="68D53E8D"/>
    <w:rsid w:val="6B292599"/>
    <w:rsid w:val="6ECB7DD2"/>
    <w:rsid w:val="70675779"/>
    <w:rsid w:val="713E0334"/>
    <w:rsid w:val="716F5E64"/>
    <w:rsid w:val="729B5F03"/>
    <w:rsid w:val="72F62A89"/>
    <w:rsid w:val="737357AF"/>
    <w:rsid w:val="74163BE4"/>
    <w:rsid w:val="75292EAC"/>
    <w:rsid w:val="75775016"/>
    <w:rsid w:val="7626762C"/>
    <w:rsid w:val="778F5135"/>
    <w:rsid w:val="784F7772"/>
    <w:rsid w:val="78E55995"/>
    <w:rsid w:val="79267C0B"/>
    <w:rsid w:val="7ABE4B56"/>
    <w:rsid w:val="7B264F79"/>
    <w:rsid w:val="7B3E5659"/>
    <w:rsid w:val="7CD80967"/>
    <w:rsid w:val="7EAF78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AFC7151-08B8-40E4-BF6D-30DCFA68A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uiPriority="99"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hAnsiTheme="minorHAnsi" w:cstheme="minorBidi"/>
      <w:kern w:val="2"/>
      <w:sz w:val="21"/>
      <w:szCs w:val="21"/>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1">
    <w:name w:val="toc 1"/>
    <w:basedOn w:val="a"/>
    <w:next w:val="a"/>
    <w:uiPriority w:val="39"/>
    <w:qFormat/>
  </w:style>
  <w:style w:type="paragraph" w:styleId="2">
    <w:name w:val="toc 2"/>
    <w:basedOn w:val="a"/>
    <w:next w:val="a"/>
    <w:uiPriority w:val="39"/>
    <w:qFormat/>
    <w:pPr>
      <w:ind w:leftChars="200" w:left="420"/>
    </w:pPr>
  </w:style>
  <w:style w:type="table" w:styleId="a5">
    <w:name w:val="Table Grid"/>
    <w:basedOn w:val="a1"/>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llowedHyperlink"/>
    <w:basedOn w:val="a0"/>
    <w:qFormat/>
    <w:rPr>
      <w:color w:val="954F72" w:themeColor="followedHyperlink"/>
      <w:u w:val="single"/>
    </w:rPr>
  </w:style>
  <w:style w:type="character" w:styleId="a7">
    <w:name w:val="Hyperlink"/>
    <w:basedOn w:val="a0"/>
    <w:uiPriority w:val="99"/>
    <w:qFormat/>
    <w:rPr>
      <w:color w:val="0563C1" w:themeColor="hyperlink"/>
      <w:u w:val="single"/>
    </w:rPr>
  </w:style>
  <w:style w:type="paragraph" w:customStyle="1" w:styleId="paragraph">
    <w:name w:val="paragraph"/>
    <w:basedOn w:val="a"/>
    <w:qFormat/>
    <w:pPr>
      <w:widowControl/>
      <w:spacing w:before="100" w:beforeAutospacing="1" w:after="100" w:afterAutospacing="1"/>
      <w:jc w:val="left"/>
    </w:pPr>
    <w:rPr>
      <w:rFonts w:ascii="宋体" w:hAnsi="宋体" w:cs="宋体"/>
      <w:kern w:val="0"/>
      <w:sz w:val="24"/>
      <w:szCs w:val="24"/>
    </w:rPr>
  </w:style>
  <w:style w:type="paragraph" w:styleId="a8">
    <w:name w:val="List Paragraph"/>
    <w:basedOn w:val="a"/>
    <w:uiPriority w:val="99"/>
    <w:qFormat/>
    <w:pPr>
      <w:ind w:firstLineChars="200" w:firstLine="420"/>
    </w:pPr>
  </w:style>
  <w:style w:type="paragraph" w:customStyle="1" w:styleId="WPSOffice1">
    <w:name w:val="WPSOffice手动目录 1"/>
    <w:qFormat/>
  </w:style>
  <w:style w:type="paragraph" w:customStyle="1" w:styleId="WPSOffice2">
    <w:name w:val="WPSOffice手动目录 2"/>
    <w:qFormat/>
    <w:pPr>
      <w:ind w:leftChars="200" w:left="200"/>
    </w:pPr>
  </w:style>
  <w:style w:type="character" w:customStyle="1" w:styleId="10">
    <w:name w:val="标题 1 字符"/>
    <w:basedOn w:val="a0"/>
    <w:link w:val="1"/>
    <w:qFormat/>
    <w:rPr>
      <w:rFonts w:asciiTheme="minorHAnsi" w:hAnsiTheme="minorHAnsi" w:cstheme="minorBidi"/>
      <w:b/>
      <w:bCs/>
      <w:kern w:val="44"/>
      <w:sz w:val="44"/>
      <w:szCs w:val="44"/>
    </w:rPr>
  </w:style>
  <w:style w:type="paragraph" w:customStyle="1" w:styleId="TOC1">
    <w:name w:val="TOC 标题1"/>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0B97893-72CC-4D1C-A9DC-78DC8C0686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2422</TotalTime>
  <Pages>9</Pages>
  <Words>1486</Words>
  <Characters>8471</Characters>
  <Application>Microsoft Office Word</Application>
  <DocSecurity>0</DocSecurity>
  <Lines>70</Lines>
  <Paragraphs>19</Paragraphs>
  <ScaleCrop>false</ScaleCrop>
  <Company/>
  <LinksUpToDate>false</LinksUpToDate>
  <CharactersWithSpaces>9938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yanjiusuo</dc:creator>
  <cp:lastModifiedBy>杨嘉虹</cp:lastModifiedBy>
  <cp:revision>132</cp:revision>
  <cp:lastPrinted>2023-04-20T02:18:00Z</cp:lastPrinted>
  <dcterms:created xsi:type="dcterms:W3CDTF">2022-11-15T10:06:00Z</dcterms:created>
  <dcterms:modified xsi:type="dcterms:W3CDTF">2023-06-08T02:20:00Z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88F59B570830480FBD960522A6F97CC7</vt:lpwstr>
  </property>
</Properties>
</file>