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bookmarkStart w:id="0" w:name="_GoBack"/>
      <w:bookmarkEnd w:id="0"/>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297A1B"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hyperlink w:anchor="_Toc137027338" w:history="1">
            <w:r w:rsidR="00297A1B" w:rsidRPr="0098382C">
              <w:rPr>
                <w:rStyle w:val="a7"/>
                <w:rFonts w:ascii="Times New Roman" w:eastAsia="楷体" w:hAnsi="Times New Roman"/>
                <w:b/>
                <w:noProof/>
              </w:rPr>
              <w:t>[</w:t>
            </w:r>
            <w:r w:rsidR="00297A1B" w:rsidRPr="0098382C">
              <w:rPr>
                <w:rStyle w:val="a7"/>
                <w:rFonts w:ascii="Times New Roman" w:eastAsia="楷体" w:hAnsi="Times New Roman"/>
                <w:b/>
                <w:noProof/>
              </w:rPr>
              <w:t>金融</w:t>
            </w:r>
            <w:r w:rsidR="00297A1B" w:rsidRPr="0098382C">
              <w:rPr>
                <w:rStyle w:val="a7"/>
                <w:rFonts w:ascii="Times New Roman" w:eastAsia="楷体" w:hAnsi="Times New Roman"/>
                <w:b/>
                <w:noProof/>
              </w:rPr>
              <w:t>]</w:t>
            </w:r>
          </w:hyperlink>
        </w:p>
        <w:p w:rsidR="00297A1B" w:rsidRDefault="00297A1B">
          <w:pPr>
            <w:pStyle w:val="2"/>
            <w:tabs>
              <w:tab w:val="right" w:leader="dot" w:pos="8296"/>
            </w:tabs>
            <w:rPr>
              <w:rFonts w:eastAsiaTheme="minorEastAsia"/>
              <w:noProof/>
              <w:szCs w:val="22"/>
            </w:rPr>
          </w:pPr>
          <w:hyperlink w:anchor="_Toc137027339" w:history="1">
            <w:r w:rsidRPr="0098382C">
              <w:rPr>
                <w:rStyle w:val="a7"/>
                <w:rFonts w:ascii="Times New Roman" w:eastAsia="楷体" w:hAnsi="Times New Roman"/>
                <w:b/>
                <w:noProof/>
              </w:rPr>
              <w:t>股指：观望为主，超跌可低多</w:t>
            </w:r>
            <w:r w:rsidRPr="0098382C">
              <w:rPr>
                <w:rStyle w:val="a7"/>
                <w:rFonts w:ascii="Times New Roman" w:eastAsia="楷体" w:hAnsi="Times New Roman"/>
                <w:b/>
                <w:noProof/>
              </w:rPr>
              <w:t>IM</w:t>
            </w:r>
          </w:hyperlink>
        </w:p>
        <w:p w:rsidR="00297A1B" w:rsidRDefault="00297A1B">
          <w:pPr>
            <w:pStyle w:val="11"/>
            <w:tabs>
              <w:tab w:val="right" w:leader="dot" w:pos="8296"/>
            </w:tabs>
            <w:rPr>
              <w:rFonts w:eastAsiaTheme="minorEastAsia"/>
              <w:noProof/>
              <w:szCs w:val="22"/>
            </w:rPr>
          </w:pPr>
          <w:hyperlink w:anchor="_Toc137027340" w:history="1">
            <w:r w:rsidRPr="0098382C">
              <w:rPr>
                <w:rStyle w:val="a7"/>
                <w:rFonts w:ascii="Times New Roman" w:eastAsia="楷体" w:hAnsi="Times New Roman"/>
                <w:b/>
                <w:noProof/>
              </w:rPr>
              <w:t>[</w:t>
            </w:r>
            <w:r w:rsidRPr="0098382C">
              <w:rPr>
                <w:rStyle w:val="a7"/>
                <w:rFonts w:ascii="Times New Roman" w:eastAsia="楷体" w:hAnsi="Times New Roman"/>
                <w:b/>
                <w:noProof/>
              </w:rPr>
              <w:t>贵金属</w:t>
            </w:r>
            <w:r w:rsidRPr="0098382C">
              <w:rPr>
                <w:rStyle w:val="a7"/>
                <w:rFonts w:ascii="Times New Roman" w:eastAsia="楷体" w:hAnsi="Times New Roman"/>
                <w:b/>
                <w:noProof/>
              </w:rPr>
              <w:t>]</w:t>
            </w:r>
          </w:hyperlink>
        </w:p>
        <w:p w:rsidR="00297A1B" w:rsidRDefault="00297A1B">
          <w:pPr>
            <w:pStyle w:val="2"/>
            <w:tabs>
              <w:tab w:val="right" w:leader="dot" w:pos="8296"/>
            </w:tabs>
            <w:rPr>
              <w:rFonts w:eastAsiaTheme="minorEastAsia"/>
              <w:noProof/>
              <w:szCs w:val="22"/>
            </w:rPr>
          </w:pPr>
          <w:hyperlink w:anchor="_Toc137027341" w:history="1">
            <w:r w:rsidRPr="0098382C">
              <w:rPr>
                <w:rStyle w:val="a7"/>
                <w:rFonts w:ascii="Times New Roman" w:eastAsia="楷体" w:hAnsi="Times New Roman"/>
                <w:b/>
                <w:noProof/>
              </w:rPr>
              <w:t>贵金属：澳洲联储加息</w:t>
            </w:r>
            <w:r w:rsidRPr="0098382C">
              <w:rPr>
                <w:rStyle w:val="a7"/>
                <w:rFonts w:ascii="Times New Roman" w:eastAsia="楷体" w:hAnsi="Times New Roman"/>
                <w:b/>
                <w:noProof/>
              </w:rPr>
              <w:t>25bp</w:t>
            </w:r>
            <w:r w:rsidRPr="0098382C">
              <w:rPr>
                <w:rStyle w:val="a7"/>
                <w:rFonts w:ascii="Times New Roman" w:eastAsia="楷体" w:hAnsi="Times New Roman"/>
                <w:b/>
                <w:noProof/>
              </w:rPr>
              <w:t>，贵金属价格小幅反弹</w:t>
            </w:r>
          </w:hyperlink>
        </w:p>
        <w:p w:rsidR="00297A1B" w:rsidRDefault="00297A1B">
          <w:pPr>
            <w:pStyle w:val="11"/>
            <w:tabs>
              <w:tab w:val="right" w:leader="dot" w:pos="8296"/>
            </w:tabs>
            <w:rPr>
              <w:rFonts w:eastAsiaTheme="minorEastAsia"/>
              <w:noProof/>
              <w:szCs w:val="22"/>
            </w:rPr>
          </w:pPr>
          <w:hyperlink w:anchor="_Toc137027342" w:history="1">
            <w:r w:rsidRPr="0098382C">
              <w:rPr>
                <w:rStyle w:val="a7"/>
                <w:rFonts w:ascii="Times New Roman" w:eastAsia="楷体" w:hAnsi="Times New Roman"/>
                <w:b/>
                <w:noProof/>
              </w:rPr>
              <w:t>[</w:t>
            </w:r>
            <w:r w:rsidRPr="0098382C">
              <w:rPr>
                <w:rStyle w:val="a7"/>
                <w:rFonts w:ascii="Times New Roman" w:eastAsia="楷体" w:hAnsi="Times New Roman"/>
                <w:b/>
                <w:noProof/>
              </w:rPr>
              <w:t>金属</w:t>
            </w:r>
            <w:r w:rsidRPr="0098382C">
              <w:rPr>
                <w:rStyle w:val="a7"/>
                <w:rFonts w:ascii="Times New Roman" w:eastAsia="楷体" w:hAnsi="Times New Roman"/>
                <w:b/>
                <w:noProof/>
              </w:rPr>
              <w:t>]</w:t>
            </w:r>
          </w:hyperlink>
        </w:p>
        <w:p w:rsidR="00297A1B" w:rsidRDefault="00297A1B">
          <w:pPr>
            <w:pStyle w:val="2"/>
            <w:tabs>
              <w:tab w:val="right" w:leader="dot" w:pos="8296"/>
            </w:tabs>
            <w:rPr>
              <w:rFonts w:eastAsiaTheme="minorEastAsia"/>
              <w:noProof/>
              <w:szCs w:val="22"/>
            </w:rPr>
          </w:pPr>
          <w:hyperlink w:anchor="_Toc137027343" w:history="1">
            <w:r w:rsidRPr="0098382C">
              <w:rPr>
                <w:rStyle w:val="a7"/>
                <w:rFonts w:ascii="楷体" w:eastAsia="楷体" w:hAnsi="楷体"/>
                <w:b/>
                <w:noProof/>
              </w:rPr>
              <w:t>螺纹钢：现货情绪有所弱化，成本支撑价格</w:t>
            </w:r>
          </w:hyperlink>
        </w:p>
        <w:p w:rsidR="00297A1B" w:rsidRDefault="00297A1B">
          <w:pPr>
            <w:pStyle w:val="2"/>
            <w:tabs>
              <w:tab w:val="right" w:leader="dot" w:pos="8296"/>
            </w:tabs>
            <w:rPr>
              <w:rFonts w:eastAsiaTheme="minorEastAsia"/>
              <w:noProof/>
              <w:szCs w:val="22"/>
            </w:rPr>
          </w:pPr>
          <w:hyperlink w:anchor="_Toc137027344" w:history="1">
            <w:r w:rsidRPr="0098382C">
              <w:rPr>
                <w:rStyle w:val="a7"/>
                <w:rFonts w:ascii="楷体" w:eastAsia="楷体" w:hAnsi="楷体"/>
                <w:b/>
                <w:noProof/>
              </w:rPr>
              <w:t>焦炭：现货反弹空间有限，震荡运行</w:t>
            </w:r>
          </w:hyperlink>
        </w:p>
        <w:p w:rsidR="00297A1B" w:rsidRDefault="00297A1B">
          <w:pPr>
            <w:pStyle w:val="2"/>
            <w:tabs>
              <w:tab w:val="right" w:leader="dot" w:pos="8296"/>
            </w:tabs>
            <w:rPr>
              <w:rFonts w:eastAsiaTheme="minorEastAsia"/>
              <w:noProof/>
              <w:szCs w:val="22"/>
            </w:rPr>
          </w:pPr>
          <w:hyperlink w:anchor="_Toc137027345" w:history="1">
            <w:r w:rsidRPr="0098382C">
              <w:rPr>
                <w:rStyle w:val="a7"/>
                <w:rFonts w:ascii="楷体" w:eastAsia="楷体" w:hAnsi="楷体"/>
                <w:b/>
                <w:noProof/>
              </w:rPr>
              <w:t>焦煤：现货偏稳，盘面随情绪波动</w:t>
            </w:r>
          </w:hyperlink>
        </w:p>
        <w:p w:rsidR="00297A1B" w:rsidRDefault="00297A1B">
          <w:pPr>
            <w:pStyle w:val="2"/>
            <w:tabs>
              <w:tab w:val="right" w:leader="dot" w:pos="8296"/>
            </w:tabs>
            <w:rPr>
              <w:rFonts w:eastAsiaTheme="minorEastAsia"/>
              <w:noProof/>
              <w:szCs w:val="22"/>
            </w:rPr>
          </w:pPr>
          <w:hyperlink w:anchor="_Toc137027346" w:history="1">
            <w:r w:rsidRPr="0098382C">
              <w:rPr>
                <w:rStyle w:val="a7"/>
                <w:rFonts w:ascii="楷体" w:eastAsia="楷体" w:hAnsi="楷体"/>
                <w:b/>
                <w:noProof/>
              </w:rPr>
              <w:t>铜：继续上行压力加大</w:t>
            </w:r>
          </w:hyperlink>
        </w:p>
        <w:p w:rsidR="00297A1B" w:rsidRDefault="00297A1B">
          <w:pPr>
            <w:pStyle w:val="2"/>
            <w:tabs>
              <w:tab w:val="right" w:leader="dot" w:pos="8296"/>
            </w:tabs>
            <w:rPr>
              <w:rFonts w:eastAsiaTheme="minorEastAsia"/>
              <w:noProof/>
              <w:szCs w:val="22"/>
            </w:rPr>
          </w:pPr>
          <w:hyperlink w:anchor="_Toc137027347" w:history="1">
            <w:r w:rsidRPr="0098382C">
              <w:rPr>
                <w:rStyle w:val="a7"/>
                <w:rFonts w:ascii="楷体" w:eastAsia="楷体" w:hAnsi="楷体"/>
                <w:b/>
                <w:noProof/>
              </w:rPr>
              <w:t>铝：铝价上方仍有压力，建议逢高布空</w:t>
            </w:r>
          </w:hyperlink>
        </w:p>
        <w:p w:rsidR="00297A1B" w:rsidRDefault="00297A1B">
          <w:pPr>
            <w:pStyle w:val="2"/>
            <w:tabs>
              <w:tab w:val="right" w:leader="dot" w:pos="8296"/>
            </w:tabs>
            <w:rPr>
              <w:rFonts w:eastAsiaTheme="minorEastAsia"/>
              <w:noProof/>
              <w:szCs w:val="22"/>
            </w:rPr>
          </w:pPr>
          <w:hyperlink w:anchor="_Toc137027348" w:history="1">
            <w:r w:rsidRPr="0098382C">
              <w:rPr>
                <w:rStyle w:val="a7"/>
                <w:rFonts w:ascii="楷体" w:eastAsia="楷体" w:hAnsi="楷体"/>
                <w:b/>
                <w:noProof/>
              </w:rPr>
              <w:t>锌：锌市上下压力仍存，建议观望为主</w:t>
            </w:r>
          </w:hyperlink>
        </w:p>
        <w:p w:rsidR="00297A1B" w:rsidRDefault="00297A1B">
          <w:pPr>
            <w:pStyle w:val="2"/>
            <w:tabs>
              <w:tab w:val="right" w:leader="dot" w:pos="8296"/>
            </w:tabs>
            <w:rPr>
              <w:rFonts w:eastAsiaTheme="minorEastAsia"/>
              <w:noProof/>
              <w:szCs w:val="22"/>
            </w:rPr>
          </w:pPr>
          <w:hyperlink w:anchor="_Toc137027349" w:history="1">
            <w:r w:rsidRPr="0098382C">
              <w:rPr>
                <w:rStyle w:val="a7"/>
                <w:rFonts w:ascii="楷体" w:eastAsia="楷体" w:hAnsi="楷体"/>
                <w:b/>
                <w:noProof/>
              </w:rPr>
              <w:t>镍：中期下行趋势未变，短期或震荡</w:t>
            </w:r>
          </w:hyperlink>
        </w:p>
        <w:p w:rsidR="00297A1B" w:rsidRDefault="00297A1B">
          <w:pPr>
            <w:pStyle w:val="2"/>
            <w:tabs>
              <w:tab w:val="right" w:leader="dot" w:pos="8296"/>
            </w:tabs>
            <w:rPr>
              <w:rFonts w:eastAsiaTheme="minorEastAsia"/>
              <w:noProof/>
              <w:szCs w:val="22"/>
            </w:rPr>
          </w:pPr>
          <w:hyperlink w:anchor="_Toc137027350" w:history="1">
            <w:r w:rsidRPr="0098382C">
              <w:rPr>
                <w:rStyle w:val="a7"/>
                <w:rFonts w:ascii="楷体" w:eastAsia="楷体" w:hAnsi="楷体"/>
                <w:b/>
                <w:noProof/>
              </w:rPr>
              <w:t>铅：铅价偏弱震荡盘整</w:t>
            </w:r>
          </w:hyperlink>
        </w:p>
        <w:p w:rsidR="00297A1B" w:rsidRDefault="00297A1B">
          <w:pPr>
            <w:pStyle w:val="2"/>
            <w:tabs>
              <w:tab w:val="right" w:leader="dot" w:pos="8296"/>
            </w:tabs>
            <w:rPr>
              <w:rFonts w:eastAsiaTheme="minorEastAsia"/>
              <w:noProof/>
              <w:szCs w:val="22"/>
            </w:rPr>
          </w:pPr>
          <w:hyperlink w:anchor="_Toc137027351" w:history="1">
            <w:r w:rsidRPr="0098382C">
              <w:rPr>
                <w:rStyle w:val="a7"/>
                <w:rFonts w:ascii="楷体" w:eastAsia="楷体" w:hAnsi="楷体"/>
                <w:b/>
                <w:noProof/>
              </w:rPr>
              <w:t>不锈钢：压力位附近逢高试空</w:t>
            </w:r>
          </w:hyperlink>
        </w:p>
        <w:p w:rsidR="00297A1B" w:rsidRDefault="00297A1B">
          <w:pPr>
            <w:pStyle w:val="2"/>
            <w:tabs>
              <w:tab w:val="right" w:leader="dot" w:pos="8296"/>
            </w:tabs>
            <w:rPr>
              <w:rFonts w:eastAsiaTheme="minorEastAsia"/>
              <w:noProof/>
              <w:szCs w:val="22"/>
            </w:rPr>
          </w:pPr>
          <w:hyperlink w:anchor="_Toc137027352" w:history="1">
            <w:r w:rsidRPr="0098382C">
              <w:rPr>
                <w:rStyle w:val="a7"/>
                <w:rFonts w:ascii="楷体" w:eastAsia="楷体" w:hAnsi="楷体"/>
                <w:b/>
                <w:noProof/>
              </w:rPr>
              <w:t>工业硅：短期反弹乏力，中长期或仍有下行压力</w:t>
            </w:r>
          </w:hyperlink>
        </w:p>
        <w:p w:rsidR="00297A1B" w:rsidRDefault="00297A1B">
          <w:pPr>
            <w:pStyle w:val="11"/>
            <w:tabs>
              <w:tab w:val="right" w:leader="dot" w:pos="8296"/>
            </w:tabs>
            <w:rPr>
              <w:rFonts w:eastAsiaTheme="minorEastAsia"/>
              <w:noProof/>
              <w:szCs w:val="22"/>
            </w:rPr>
          </w:pPr>
          <w:hyperlink w:anchor="_Toc137027353" w:history="1">
            <w:r w:rsidRPr="0098382C">
              <w:rPr>
                <w:rStyle w:val="a7"/>
                <w:rFonts w:ascii="Times New Roman" w:eastAsia="楷体" w:hAnsi="Times New Roman"/>
                <w:b/>
                <w:noProof/>
              </w:rPr>
              <w:t>[</w:t>
            </w:r>
            <w:r w:rsidRPr="0098382C">
              <w:rPr>
                <w:rStyle w:val="a7"/>
                <w:rFonts w:ascii="Times New Roman" w:eastAsia="楷体" w:hAnsi="Times New Roman"/>
                <w:b/>
                <w:noProof/>
              </w:rPr>
              <w:t>化工</w:t>
            </w:r>
            <w:r w:rsidRPr="0098382C">
              <w:rPr>
                <w:rStyle w:val="a7"/>
                <w:rFonts w:ascii="Times New Roman" w:eastAsia="楷体" w:hAnsi="Times New Roman"/>
                <w:b/>
                <w:noProof/>
              </w:rPr>
              <w:t>]</w:t>
            </w:r>
          </w:hyperlink>
        </w:p>
        <w:p w:rsidR="00297A1B" w:rsidRDefault="00297A1B">
          <w:pPr>
            <w:pStyle w:val="2"/>
            <w:tabs>
              <w:tab w:val="right" w:leader="dot" w:pos="8296"/>
            </w:tabs>
            <w:rPr>
              <w:rFonts w:eastAsiaTheme="minorEastAsia"/>
              <w:noProof/>
              <w:szCs w:val="22"/>
            </w:rPr>
          </w:pPr>
          <w:hyperlink w:anchor="_Toc137027354" w:history="1">
            <w:r w:rsidRPr="0098382C">
              <w:rPr>
                <w:rStyle w:val="a7"/>
                <w:rFonts w:ascii="Times New Roman" w:eastAsia="楷体" w:hAnsi="Times New Roman"/>
                <w:b/>
                <w:noProof/>
              </w:rPr>
              <w:t>天然橡胶</w:t>
            </w:r>
            <w:r w:rsidRPr="0098382C">
              <w:rPr>
                <w:rStyle w:val="a7"/>
                <w:rFonts w:ascii="Times New Roman" w:eastAsia="楷体" w:hAnsi="Times New Roman"/>
                <w:b/>
                <w:noProof/>
              </w:rPr>
              <w:t>:</w:t>
            </w:r>
            <w:r w:rsidRPr="0098382C">
              <w:rPr>
                <w:rStyle w:val="a7"/>
                <w:rFonts w:ascii="楷体" w:eastAsia="楷体" w:hAnsi="楷体"/>
                <w:b/>
                <w:noProof/>
              </w:rPr>
              <w:t xml:space="preserve"> 供需结构未有实质性改善，RU或低位震荡</w:t>
            </w:r>
          </w:hyperlink>
        </w:p>
        <w:p w:rsidR="00297A1B" w:rsidRDefault="00297A1B">
          <w:pPr>
            <w:pStyle w:val="2"/>
            <w:tabs>
              <w:tab w:val="right" w:leader="dot" w:pos="8296"/>
            </w:tabs>
            <w:rPr>
              <w:rFonts w:eastAsiaTheme="minorEastAsia"/>
              <w:noProof/>
              <w:szCs w:val="22"/>
            </w:rPr>
          </w:pPr>
          <w:hyperlink w:anchor="_Toc137027355" w:history="1">
            <w:r w:rsidRPr="0098382C">
              <w:rPr>
                <w:rStyle w:val="a7"/>
                <w:rFonts w:ascii="楷体" w:eastAsia="楷体" w:hAnsi="楷体"/>
                <w:b/>
                <w:noProof/>
              </w:rPr>
              <w:t>PTA：受成本端企稳及聚酯高开工驱动偏强</w:t>
            </w:r>
          </w:hyperlink>
        </w:p>
        <w:p w:rsidR="00297A1B" w:rsidRDefault="00297A1B">
          <w:pPr>
            <w:pStyle w:val="2"/>
            <w:tabs>
              <w:tab w:val="right" w:leader="dot" w:pos="8296"/>
            </w:tabs>
            <w:rPr>
              <w:rFonts w:eastAsiaTheme="minorEastAsia"/>
              <w:noProof/>
              <w:szCs w:val="22"/>
            </w:rPr>
          </w:pPr>
          <w:hyperlink w:anchor="_Toc137027356" w:history="1">
            <w:r w:rsidRPr="0098382C">
              <w:rPr>
                <w:rStyle w:val="a7"/>
                <w:rFonts w:ascii="楷体" w:eastAsia="楷体" w:hAnsi="楷体"/>
                <w:b/>
                <w:noProof/>
              </w:rPr>
              <w:t>PVC：高库存+弱复苏 驱动不足</w:t>
            </w:r>
          </w:hyperlink>
        </w:p>
        <w:p w:rsidR="00297A1B" w:rsidRDefault="00297A1B">
          <w:pPr>
            <w:pStyle w:val="2"/>
            <w:tabs>
              <w:tab w:val="right" w:leader="dot" w:pos="8296"/>
            </w:tabs>
            <w:rPr>
              <w:rFonts w:eastAsiaTheme="minorEastAsia"/>
              <w:noProof/>
              <w:szCs w:val="22"/>
            </w:rPr>
          </w:pPr>
          <w:hyperlink w:anchor="_Toc137027357" w:history="1">
            <w:r w:rsidRPr="0098382C">
              <w:rPr>
                <w:rStyle w:val="a7"/>
                <w:rFonts w:ascii="楷体" w:eastAsia="楷体" w:hAnsi="楷体"/>
                <w:b/>
                <w:noProof/>
              </w:rPr>
              <w:t>聚烯烃：下游需求未见好转，聚烯烃或偏弱整理</w:t>
            </w:r>
          </w:hyperlink>
        </w:p>
        <w:p w:rsidR="00297A1B" w:rsidRDefault="00297A1B">
          <w:pPr>
            <w:pStyle w:val="2"/>
            <w:tabs>
              <w:tab w:val="right" w:leader="dot" w:pos="8296"/>
            </w:tabs>
            <w:rPr>
              <w:rFonts w:eastAsiaTheme="minorEastAsia"/>
              <w:noProof/>
              <w:szCs w:val="22"/>
            </w:rPr>
          </w:pPr>
          <w:hyperlink w:anchor="_Toc137027358" w:history="1">
            <w:r w:rsidRPr="0098382C">
              <w:rPr>
                <w:rStyle w:val="a7"/>
                <w:rFonts w:ascii="楷体" w:eastAsia="楷体" w:hAnsi="楷体"/>
                <w:b/>
                <w:noProof/>
              </w:rPr>
              <w:t>MEG：估值偏低及聚酯开工高位维持 关注阶段性低多机会</w:t>
            </w:r>
          </w:hyperlink>
        </w:p>
        <w:p w:rsidR="00297A1B" w:rsidRDefault="00297A1B">
          <w:pPr>
            <w:pStyle w:val="2"/>
            <w:tabs>
              <w:tab w:val="right" w:leader="dot" w:pos="8296"/>
            </w:tabs>
            <w:rPr>
              <w:rFonts w:eastAsiaTheme="minorEastAsia"/>
              <w:noProof/>
              <w:szCs w:val="22"/>
            </w:rPr>
          </w:pPr>
          <w:hyperlink w:anchor="_Toc137027359" w:history="1">
            <w:r w:rsidRPr="0098382C">
              <w:rPr>
                <w:rStyle w:val="a7"/>
                <w:rFonts w:ascii="楷体" w:eastAsia="楷体" w:hAnsi="楷体"/>
                <w:b/>
                <w:noProof/>
              </w:rPr>
              <w:t>玻璃：宏观消息反复扰动，下游观望情绪渐浓</w:t>
            </w:r>
          </w:hyperlink>
        </w:p>
        <w:p w:rsidR="00297A1B" w:rsidRDefault="00297A1B">
          <w:pPr>
            <w:pStyle w:val="2"/>
            <w:tabs>
              <w:tab w:val="right" w:leader="dot" w:pos="8296"/>
            </w:tabs>
            <w:rPr>
              <w:rFonts w:eastAsiaTheme="minorEastAsia"/>
              <w:noProof/>
              <w:szCs w:val="22"/>
            </w:rPr>
          </w:pPr>
          <w:hyperlink w:anchor="_Toc137027360" w:history="1">
            <w:r w:rsidRPr="0098382C">
              <w:rPr>
                <w:rStyle w:val="a7"/>
                <w:rFonts w:ascii="楷体" w:eastAsia="楷体" w:hAnsi="楷体"/>
                <w:b/>
                <w:noProof/>
              </w:rPr>
              <w:t>纯碱：上下游博弈，基本面趋稳</w:t>
            </w:r>
          </w:hyperlink>
        </w:p>
        <w:p w:rsidR="00297A1B" w:rsidRDefault="00297A1B">
          <w:pPr>
            <w:pStyle w:val="11"/>
            <w:tabs>
              <w:tab w:val="right" w:leader="dot" w:pos="8296"/>
            </w:tabs>
            <w:rPr>
              <w:rFonts w:eastAsiaTheme="minorEastAsia"/>
              <w:noProof/>
              <w:szCs w:val="22"/>
            </w:rPr>
          </w:pPr>
          <w:hyperlink w:anchor="_Toc137027361" w:history="1">
            <w:r w:rsidRPr="0098382C">
              <w:rPr>
                <w:rStyle w:val="a7"/>
                <w:rFonts w:ascii="Times New Roman" w:eastAsia="楷体" w:hAnsi="Times New Roman"/>
                <w:b/>
                <w:noProof/>
              </w:rPr>
              <w:t>[</w:t>
            </w:r>
            <w:r w:rsidRPr="0098382C">
              <w:rPr>
                <w:rStyle w:val="a7"/>
                <w:rFonts w:ascii="Times New Roman" w:eastAsia="楷体" w:hAnsi="Times New Roman"/>
                <w:b/>
                <w:noProof/>
              </w:rPr>
              <w:t>农产品</w:t>
            </w:r>
            <w:r w:rsidRPr="0098382C">
              <w:rPr>
                <w:rStyle w:val="a7"/>
                <w:rFonts w:ascii="Times New Roman" w:eastAsia="楷体" w:hAnsi="Times New Roman"/>
                <w:b/>
                <w:noProof/>
              </w:rPr>
              <w:t>]</w:t>
            </w:r>
          </w:hyperlink>
        </w:p>
        <w:p w:rsidR="00297A1B" w:rsidRDefault="00297A1B">
          <w:pPr>
            <w:pStyle w:val="2"/>
            <w:tabs>
              <w:tab w:val="right" w:leader="dot" w:pos="8296"/>
            </w:tabs>
            <w:rPr>
              <w:rFonts w:eastAsiaTheme="minorEastAsia"/>
              <w:noProof/>
              <w:szCs w:val="22"/>
            </w:rPr>
          </w:pPr>
          <w:hyperlink w:anchor="_Toc137027362" w:history="1">
            <w:r w:rsidRPr="0098382C">
              <w:rPr>
                <w:rStyle w:val="a7"/>
                <w:rFonts w:ascii="楷体" w:eastAsia="楷体" w:hAnsi="楷体"/>
                <w:b/>
                <w:noProof/>
              </w:rPr>
              <w:t>豆粕/菜粕：天气市开启，对豆粕构成支撑</w:t>
            </w:r>
          </w:hyperlink>
        </w:p>
        <w:p w:rsidR="00297A1B" w:rsidRDefault="00297A1B">
          <w:pPr>
            <w:pStyle w:val="2"/>
            <w:tabs>
              <w:tab w:val="right" w:leader="dot" w:pos="8296"/>
            </w:tabs>
            <w:rPr>
              <w:rFonts w:eastAsiaTheme="minorEastAsia"/>
              <w:noProof/>
              <w:szCs w:val="22"/>
            </w:rPr>
          </w:pPr>
          <w:hyperlink w:anchor="_Toc137027363" w:history="1">
            <w:r w:rsidRPr="0098382C">
              <w:rPr>
                <w:rStyle w:val="a7"/>
                <w:rFonts w:ascii="楷体" w:eastAsia="楷体" w:hAnsi="楷体"/>
                <w:b/>
                <w:noProof/>
              </w:rPr>
              <w:t>油脂：缺乏驱动，反弹乏力</w:t>
            </w:r>
          </w:hyperlink>
        </w:p>
        <w:p w:rsidR="00297A1B" w:rsidRDefault="00297A1B">
          <w:pPr>
            <w:pStyle w:val="2"/>
            <w:tabs>
              <w:tab w:val="right" w:leader="dot" w:pos="8296"/>
            </w:tabs>
            <w:rPr>
              <w:rFonts w:eastAsiaTheme="minorEastAsia"/>
              <w:noProof/>
              <w:szCs w:val="22"/>
            </w:rPr>
          </w:pPr>
          <w:hyperlink w:anchor="_Toc137027364" w:history="1">
            <w:r w:rsidRPr="0098382C">
              <w:rPr>
                <w:rStyle w:val="a7"/>
                <w:rFonts w:ascii="楷体" w:eastAsia="楷体" w:hAnsi="楷体"/>
                <w:b/>
                <w:bCs/>
                <w:noProof/>
              </w:rPr>
              <w:t>玉米与淀粉：</w:t>
            </w:r>
            <w:r w:rsidRPr="0098382C">
              <w:rPr>
                <w:rStyle w:val="a7"/>
                <w:rFonts w:ascii="楷体" w:eastAsia="楷体" w:hAnsi="楷体"/>
                <w:b/>
                <w:noProof/>
              </w:rPr>
              <w:t>小麦上市压力带动期价震荡调整</w:t>
            </w:r>
          </w:hyperlink>
        </w:p>
        <w:p w:rsidR="00297A1B" w:rsidRDefault="00297A1B">
          <w:pPr>
            <w:pStyle w:val="2"/>
            <w:tabs>
              <w:tab w:val="right" w:leader="dot" w:pos="8296"/>
            </w:tabs>
            <w:rPr>
              <w:rFonts w:eastAsiaTheme="minorEastAsia"/>
              <w:noProof/>
              <w:szCs w:val="22"/>
            </w:rPr>
          </w:pPr>
          <w:hyperlink w:anchor="_Toc137027365" w:history="1">
            <w:r w:rsidRPr="0098382C">
              <w:rPr>
                <w:rStyle w:val="a7"/>
                <w:rFonts w:ascii="楷体" w:eastAsia="楷体" w:hAnsi="楷体"/>
                <w:b/>
                <w:bCs/>
                <w:noProof/>
              </w:rPr>
              <w:t>畜禽养殖：期价近弱远强分化运行</w:t>
            </w:r>
          </w:hyperlink>
        </w:p>
        <w:p w:rsidR="00297A1B" w:rsidRDefault="00297A1B">
          <w:pPr>
            <w:pStyle w:val="2"/>
            <w:tabs>
              <w:tab w:val="right" w:leader="dot" w:pos="8296"/>
            </w:tabs>
            <w:rPr>
              <w:rFonts w:eastAsiaTheme="minorEastAsia"/>
              <w:noProof/>
              <w:szCs w:val="22"/>
            </w:rPr>
          </w:pPr>
          <w:hyperlink w:anchor="_Toc137027366" w:history="1">
            <w:r w:rsidRPr="0098382C">
              <w:rPr>
                <w:rStyle w:val="a7"/>
                <w:rFonts w:ascii="楷体" w:eastAsia="楷体" w:hAnsi="楷体"/>
                <w:b/>
                <w:noProof/>
              </w:rPr>
              <w:t>郑棉：预计09合约震荡偏弱，反套持有</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8"/>
          <w:footerReference w:type="default" r:id="rId9"/>
          <w:headerReference w:type="first" r:id="rId10"/>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1" w:name="_Toc19317"/>
      <w:bookmarkStart w:id="2" w:name="_Toc18033"/>
      <w:bookmarkStart w:id="3" w:name="金融"/>
      <w:bookmarkStart w:id="4" w:name="_Toc13702733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1"/>
      <w:bookmarkEnd w:id="2"/>
      <w:bookmarkEnd w:id="4"/>
    </w:p>
    <w:p w:rsidR="003F56A5" w:rsidRDefault="00CC3FFA">
      <w:pPr>
        <w:ind w:leftChars="200" w:left="420"/>
        <w:outlineLvl w:val="1"/>
        <w:rPr>
          <w:rFonts w:ascii="Times New Roman" w:eastAsia="楷体" w:hAnsi="Times New Roman"/>
          <w:b/>
          <w:color w:val="000000" w:themeColor="text1"/>
          <w:sz w:val="24"/>
          <w:szCs w:val="24"/>
        </w:rPr>
      </w:pPr>
      <w:bookmarkStart w:id="5" w:name="_Toc965"/>
      <w:bookmarkStart w:id="6" w:name="_Toc16295"/>
      <w:bookmarkStart w:id="7" w:name="_Toc137027339"/>
      <w:bookmarkEnd w:id="3"/>
      <w:r>
        <w:rPr>
          <w:rFonts w:ascii="Times New Roman" w:eastAsia="楷体" w:hAnsi="Times New Roman" w:hint="eastAsia"/>
          <w:b/>
          <w:color w:val="000000" w:themeColor="text1"/>
          <w:sz w:val="24"/>
          <w:szCs w:val="24"/>
        </w:rPr>
        <w:t>股指：</w:t>
      </w:r>
      <w:bookmarkEnd w:id="5"/>
      <w:bookmarkEnd w:id="6"/>
      <w:r w:rsidR="007C2FD2" w:rsidRPr="007C2FD2">
        <w:rPr>
          <w:rFonts w:ascii="Times New Roman" w:eastAsia="楷体" w:hAnsi="Times New Roman" w:hint="eastAsia"/>
          <w:b/>
          <w:color w:val="000000" w:themeColor="text1"/>
          <w:sz w:val="24"/>
          <w:szCs w:val="24"/>
        </w:rPr>
        <w:t>观望为主，超跌可低多</w:t>
      </w:r>
      <w:r w:rsidR="007C2FD2" w:rsidRPr="007C2FD2">
        <w:rPr>
          <w:rFonts w:ascii="Times New Roman" w:eastAsia="楷体" w:hAnsi="Times New Roman" w:hint="eastAsia"/>
          <w:b/>
          <w:color w:val="000000" w:themeColor="text1"/>
          <w:sz w:val="24"/>
          <w:szCs w:val="24"/>
        </w:rPr>
        <w:t>IM</w:t>
      </w:r>
      <w:bookmarkEnd w:id="7"/>
    </w:p>
    <w:p w:rsidR="003F56A5" w:rsidRDefault="007C2FD2">
      <w:pPr>
        <w:ind w:leftChars="300" w:left="630"/>
        <w:rPr>
          <w:rFonts w:ascii="Times New Roman" w:eastAsia="楷体" w:hAnsi="Times New Roman"/>
          <w:color w:val="000000" w:themeColor="text1"/>
          <w:sz w:val="24"/>
          <w:szCs w:val="24"/>
        </w:rPr>
      </w:pPr>
      <w:r w:rsidRPr="007C2FD2">
        <w:rPr>
          <w:rFonts w:ascii="Times New Roman" w:eastAsia="楷体" w:hAnsi="Times New Roman" w:hint="eastAsia"/>
          <w:color w:val="000000" w:themeColor="text1"/>
          <w:sz w:val="24"/>
          <w:szCs w:val="24"/>
        </w:rPr>
        <w:t>当前信心不足是市场扰动关键因素，短期市场对于政策发力将还有一定分歧，政策预期和政策证实证伪都将加大市场波动，技术上，昨日股指回补上方缺口后下跌，为多头耗尽、盘久必跌，午后有情绪性宣泄杀跌迹象，短线大盘跌近前期震荡下沿，前期低点</w:t>
      </w:r>
      <w:r w:rsidRPr="007C2FD2">
        <w:rPr>
          <w:rFonts w:ascii="Times New Roman" w:eastAsia="楷体" w:hAnsi="Times New Roman" w:hint="eastAsia"/>
          <w:color w:val="000000" w:themeColor="text1"/>
          <w:sz w:val="24"/>
          <w:szCs w:val="24"/>
        </w:rPr>
        <w:t>3168</w:t>
      </w:r>
      <w:r w:rsidRPr="007C2FD2">
        <w:rPr>
          <w:rFonts w:ascii="Times New Roman" w:eastAsia="楷体" w:hAnsi="Times New Roman" w:hint="eastAsia"/>
          <w:color w:val="000000" w:themeColor="text1"/>
          <w:sz w:val="24"/>
          <w:szCs w:val="24"/>
        </w:rPr>
        <w:t>点附近支撑面临考验，建议观望为主，超跌可低多</w:t>
      </w:r>
      <w:r w:rsidRPr="007C2FD2">
        <w:rPr>
          <w:rFonts w:ascii="Times New Roman" w:eastAsia="楷体" w:hAnsi="Times New Roman" w:hint="eastAsia"/>
          <w:color w:val="000000" w:themeColor="text1"/>
          <w:sz w:val="24"/>
          <w:szCs w:val="24"/>
        </w:rPr>
        <w:t>IM</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8" w:name="_Toc13702734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8"/>
    </w:p>
    <w:p w:rsidR="003F56A5" w:rsidRDefault="00CC3FFA">
      <w:pPr>
        <w:ind w:leftChars="200" w:left="420"/>
        <w:outlineLvl w:val="1"/>
        <w:rPr>
          <w:rFonts w:ascii="Times New Roman" w:eastAsia="楷体" w:hAnsi="Times New Roman"/>
          <w:b/>
          <w:color w:val="000000" w:themeColor="text1"/>
          <w:sz w:val="24"/>
          <w:szCs w:val="24"/>
        </w:rPr>
      </w:pPr>
      <w:bookmarkStart w:id="9" w:name="_Toc137027341"/>
      <w:r>
        <w:rPr>
          <w:rFonts w:ascii="Times New Roman" w:eastAsia="楷体" w:hAnsi="Times New Roman" w:hint="eastAsia"/>
          <w:b/>
          <w:color w:val="000000" w:themeColor="text1"/>
          <w:sz w:val="24"/>
          <w:szCs w:val="24"/>
        </w:rPr>
        <w:t>贵金属：</w:t>
      </w:r>
      <w:r w:rsidR="007C2FD2" w:rsidRPr="007C2FD2">
        <w:rPr>
          <w:rFonts w:ascii="Times New Roman" w:eastAsia="楷体" w:hAnsi="Times New Roman" w:hint="eastAsia"/>
          <w:b/>
          <w:color w:val="000000" w:themeColor="text1"/>
          <w:sz w:val="24"/>
          <w:szCs w:val="24"/>
        </w:rPr>
        <w:t>澳洲联储加息</w:t>
      </w:r>
      <w:r w:rsidR="007C2FD2" w:rsidRPr="007C2FD2">
        <w:rPr>
          <w:rFonts w:ascii="Times New Roman" w:eastAsia="楷体" w:hAnsi="Times New Roman" w:hint="eastAsia"/>
          <w:b/>
          <w:color w:val="000000" w:themeColor="text1"/>
          <w:sz w:val="24"/>
          <w:szCs w:val="24"/>
        </w:rPr>
        <w:t>25bp</w:t>
      </w:r>
      <w:r w:rsidR="007C2FD2" w:rsidRPr="007C2FD2">
        <w:rPr>
          <w:rFonts w:ascii="Times New Roman" w:eastAsia="楷体" w:hAnsi="Times New Roman" w:hint="eastAsia"/>
          <w:b/>
          <w:color w:val="000000" w:themeColor="text1"/>
          <w:sz w:val="24"/>
          <w:szCs w:val="24"/>
        </w:rPr>
        <w:t>，贵金属价格小幅反弹</w:t>
      </w:r>
      <w:bookmarkEnd w:id="9"/>
    </w:p>
    <w:p w:rsidR="003F56A5" w:rsidRDefault="007C2FD2">
      <w:pPr>
        <w:ind w:leftChars="300" w:left="630"/>
        <w:rPr>
          <w:rFonts w:ascii="Times New Roman" w:eastAsia="楷体" w:hAnsi="Times New Roman"/>
          <w:sz w:val="24"/>
          <w:szCs w:val="24"/>
        </w:rPr>
      </w:pPr>
      <w:r w:rsidRPr="007C2FD2">
        <w:rPr>
          <w:rFonts w:ascii="Times New Roman" w:eastAsia="楷体" w:hAnsi="Times New Roman" w:hint="eastAsia"/>
          <w:color w:val="000000" w:themeColor="text1"/>
          <w:sz w:val="24"/>
          <w:szCs w:val="24"/>
        </w:rPr>
        <w:t>昨夜外盘贵金属价格小幅上涨，</w:t>
      </w:r>
      <w:r w:rsidRPr="007C2FD2">
        <w:rPr>
          <w:rFonts w:ascii="Times New Roman" w:eastAsia="楷体" w:hAnsi="Times New Roman" w:hint="eastAsia"/>
          <w:color w:val="000000" w:themeColor="text1"/>
          <w:sz w:val="24"/>
          <w:szCs w:val="24"/>
        </w:rPr>
        <w:t>COMEX</w:t>
      </w:r>
      <w:r w:rsidRPr="007C2FD2">
        <w:rPr>
          <w:rFonts w:ascii="Times New Roman" w:eastAsia="楷体" w:hAnsi="Times New Roman" w:hint="eastAsia"/>
          <w:color w:val="000000" w:themeColor="text1"/>
          <w:sz w:val="24"/>
          <w:szCs w:val="24"/>
        </w:rPr>
        <w:t>金价涨</w:t>
      </w:r>
      <w:r w:rsidRPr="007C2FD2">
        <w:rPr>
          <w:rFonts w:ascii="Times New Roman" w:eastAsia="楷体" w:hAnsi="Times New Roman" w:hint="eastAsia"/>
          <w:color w:val="000000" w:themeColor="text1"/>
          <w:sz w:val="24"/>
          <w:szCs w:val="24"/>
        </w:rPr>
        <w:t>0.28%</w:t>
      </w:r>
      <w:r w:rsidRPr="007C2FD2">
        <w:rPr>
          <w:rFonts w:ascii="Times New Roman" w:eastAsia="楷体" w:hAnsi="Times New Roman" w:hint="eastAsia"/>
          <w:color w:val="000000" w:themeColor="text1"/>
          <w:sz w:val="24"/>
          <w:szCs w:val="24"/>
        </w:rPr>
        <w:t>至</w:t>
      </w:r>
      <w:r w:rsidRPr="007C2FD2">
        <w:rPr>
          <w:rFonts w:ascii="Times New Roman" w:eastAsia="楷体" w:hAnsi="Times New Roman" w:hint="eastAsia"/>
          <w:color w:val="000000" w:themeColor="text1"/>
          <w:sz w:val="24"/>
          <w:szCs w:val="24"/>
        </w:rPr>
        <w:t>1980</w:t>
      </w:r>
      <w:r w:rsidRPr="007C2FD2">
        <w:rPr>
          <w:rFonts w:ascii="Times New Roman" w:eastAsia="楷体" w:hAnsi="Times New Roman" w:hint="eastAsia"/>
          <w:color w:val="000000" w:themeColor="text1"/>
          <w:sz w:val="24"/>
          <w:szCs w:val="24"/>
        </w:rPr>
        <w:t>美元</w:t>
      </w:r>
      <w:r w:rsidRPr="007C2FD2">
        <w:rPr>
          <w:rFonts w:ascii="Times New Roman" w:eastAsia="楷体" w:hAnsi="Times New Roman" w:hint="eastAsia"/>
          <w:color w:val="000000" w:themeColor="text1"/>
          <w:sz w:val="24"/>
          <w:szCs w:val="24"/>
        </w:rPr>
        <w:t>/</w:t>
      </w:r>
      <w:r w:rsidRPr="007C2FD2">
        <w:rPr>
          <w:rFonts w:ascii="Times New Roman" w:eastAsia="楷体" w:hAnsi="Times New Roman" w:hint="eastAsia"/>
          <w:color w:val="000000" w:themeColor="text1"/>
          <w:sz w:val="24"/>
          <w:szCs w:val="24"/>
        </w:rPr>
        <w:t>盎司，</w:t>
      </w:r>
      <w:r w:rsidRPr="007C2FD2">
        <w:rPr>
          <w:rFonts w:ascii="Times New Roman" w:eastAsia="楷体" w:hAnsi="Times New Roman" w:hint="eastAsia"/>
          <w:color w:val="000000" w:themeColor="text1"/>
          <w:sz w:val="24"/>
          <w:szCs w:val="24"/>
        </w:rPr>
        <w:t>COMEX</w:t>
      </w:r>
      <w:r w:rsidRPr="007C2FD2">
        <w:rPr>
          <w:rFonts w:ascii="Times New Roman" w:eastAsia="楷体" w:hAnsi="Times New Roman" w:hint="eastAsia"/>
          <w:color w:val="000000" w:themeColor="text1"/>
          <w:sz w:val="24"/>
          <w:szCs w:val="24"/>
        </w:rPr>
        <w:t>银价涨</w:t>
      </w:r>
      <w:r w:rsidRPr="007C2FD2">
        <w:rPr>
          <w:rFonts w:ascii="Times New Roman" w:eastAsia="楷体" w:hAnsi="Times New Roman" w:hint="eastAsia"/>
          <w:color w:val="000000" w:themeColor="text1"/>
          <w:sz w:val="24"/>
          <w:szCs w:val="24"/>
        </w:rPr>
        <w:t>0.17%</w:t>
      </w:r>
      <w:r w:rsidRPr="007C2FD2">
        <w:rPr>
          <w:rFonts w:ascii="Times New Roman" w:eastAsia="楷体" w:hAnsi="Times New Roman" w:hint="eastAsia"/>
          <w:color w:val="000000" w:themeColor="text1"/>
          <w:sz w:val="24"/>
          <w:szCs w:val="24"/>
        </w:rPr>
        <w:t>至</w:t>
      </w:r>
      <w:r w:rsidRPr="007C2FD2">
        <w:rPr>
          <w:rFonts w:ascii="Times New Roman" w:eastAsia="楷体" w:hAnsi="Times New Roman" w:hint="eastAsia"/>
          <w:color w:val="000000" w:themeColor="text1"/>
          <w:sz w:val="24"/>
          <w:szCs w:val="24"/>
        </w:rPr>
        <w:t>23.675</w:t>
      </w:r>
      <w:r w:rsidRPr="007C2FD2">
        <w:rPr>
          <w:rFonts w:ascii="Times New Roman" w:eastAsia="楷体" w:hAnsi="Times New Roman" w:hint="eastAsia"/>
          <w:color w:val="000000" w:themeColor="text1"/>
          <w:sz w:val="24"/>
          <w:szCs w:val="24"/>
        </w:rPr>
        <w:t>美元</w:t>
      </w:r>
      <w:r w:rsidRPr="007C2FD2">
        <w:rPr>
          <w:rFonts w:ascii="Times New Roman" w:eastAsia="楷体" w:hAnsi="Times New Roman" w:hint="eastAsia"/>
          <w:color w:val="000000" w:themeColor="text1"/>
          <w:sz w:val="24"/>
          <w:szCs w:val="24"/>
        </w:rPr>
        <w:t>/</w:t>
      </w:r>
      <w:r w:rsidRPr="007C2FD2">
        <w:rPr>
          <w:rFonts w:ascii="Times New Roman" w:eastAsia="楷体" w:hAnsi="Times New Roman" w:hint="eastAsia"/>
          <w:color w:val="000000" w:themeColor="text1"/>
          <w:sz w:val="24"/>
          <w:szCs w:val="24"/>
        </w:rPr>
        <w:t>盎司。欧洲消费者一年期通胀预期下降至</w:t>
      </w:r>
      <w:r w:rsidRPr="007C2FD2">
        <w:rPr>
          <w:rFonts w:ascii="Times New Roman" w:eastAsia="楷体" w:hAnsi="Times New Roman" w:hint="eastAsia"/>
          <w:color w:val="000000" w:themeColor="text1"/>
          <w:sz w:val="24"/>
          <w:szCs w:val="24"/>
        </w:rPr>
        <w:t>4.1%</w:t>
      </w:r>
      <w:r w:rsidRPr="007C2FD2">
        <w:rPr>
          <w:rFonts w:ascii="Times New Roman" w:eastAsia="楷体" w:hAnsi="Times New Roman" w:hint="eastAsia"/>
          <w:color w:val="000000" w:themeColor="text1"/>
          <w:sz w:val="24"/>
          <w:szCs w:val="24"/>
        </w:rPr>
        <w:t>，三年期通胀预期下降至</w:t>
      </w:r>
      <w:r w:rsidRPr="007C2FD2">
        <w:rPr>
          <w:rFonts w:ascii="Times New Roman" w:eastAsia="楷体" w:hAnsi="Times New Roman" w:hint="eastAsia"/>
          <w:color w:val="000000" w:themeColor="text1"/>
          <w:sz w:val="24"/>
          <w:szCs w:val="24"/>
        </w:rPr>
        <w:t>2.5%</w:t>
      </w:r>
      <w:r w:rsidRPr="007C2FD2">
        <w:rPr>
          <w:rFonts w:ascii="Times New Roman" w:eastAsia="楷体" w:hAnsi="Times New Roman" w:hint="eastAsia"/>
          <w:color w:val="000000" w:themeColor="text1"/>
          <w:sz w:val="24"/>
          <w:szCs w:val="24"/>
        </w:rPr>
        <w:t>。澳洲联储加息</w:t>
      </w:r>
      <w:r w:rsidRPr="007C2FD2">
        <w:rPr>
          <w:rFonts w:ascii="Times New Roman" w:eastAsia="楷体" w:hAnsi="Times New Roman" w:hint="eastAsia"/>
          <w:color w:val="000000" w:themeColor="text1"/>
          <w:sz w:val="24"/>
          <w:szCs w:val="24"/>
        </w:rPr>
        <w:t>25bp</w:t>
      </w:r>
      <w:r w:rsidRPr="007C2FD2">
        <w:rPr>
          <w:rFonts w:ascii="Times New Roman" w:eastAsia="楷体" w:hAnsi="Times New Roman" w:hint="eastAsia"/>
          <w:color w:val="000000" w:themeColor="text1"/>
          <w:sz w:val="24"/>
          <w:szCs w:val="24"/>
        </w:rPr>
        <w:t>至</w:t>
      </w:r>
      <w:r w:rsidRPr="007C2FD2">
        <w:rPr>
          <w:rFonts w:ascii="Times New Roman" w:eastAsia="楷体" w:hAnsi="Times New Roman" w:hint="eastAsia"/>
          <w:color w:val="000000" w:themeColor="text1"/>
          <w:sz w:val="24"/>
          <w:szCs w:val="24"/>
        </w:rPr>
        <w:t>4.1%</w:t>
      </w:r>
      <w:r w:rsidRPr="007C2FD2">
        <w:rPr>
          <w:rFonts w:ascii="Times New Roman" w:eastAsia="楷体" w:hAnsi="Times New Roman" w:hint="eastAsia"/>
          <w:color w:val="000000" w:themeColor="text1"/>
          <w:sz w:val="24"/>
          <w:szCs w:val="24"/>
        </w:rPr>
        <w:t>，超出此前预期，澳洲联储主席洛威提示通胀风险，称可能需要进一步的货币政策紧缩。世界银行《全球经济展望》报告将</w:t>
      </w:r>
      <w:r w:rsidRPr="007C2FD2">
        <w:rPr>
          <w:rFonts w:ascii="Times New Roman" w:eastAsia="楷体" w:hAnsi="Times New Roman" w:hint="eastAsia"/>
          <w:color w:val="000000" w:themeColor="text1"/>
          <w:sz w:val="24"/>
          <w:szCs w:val="24"/>
        </w:rPr>
        <w:t>2023</w:t>
      </w:r>
      <w:r w:rsidRPr="007C2FD2">
        <w:rPr>
          <w:rFonts w:ascii="Times New Roman" w:eastAsia="楷体" w:hAnsi="Times New Roman" w:hint="eastAsia"/>
          <w:color w:val="000000" w:themeColor="text1"/>
          <w:sz w:val="24"/>
          <w:szCs w:val="24"/>
        </w:rPr>
        <w:t>年全球经济增长预期由</w:t>
      </w:r>
      <w:r w:rsidRPr="007C2FD2">
        <w:rPr>
          <w:rFonts w:ascii="Times New Roman" w:eastAsia="楷体" w:hAnsi="Times New Roman" w:hint="eastAsia"/>
          <w:color w:val="000000" w:themeColor="text1"/>
          <w:sz w:val="24"/>
          <w:szCs w:val="24"/>
        </w:rPr>
        <w:t>1.7%</w:t>
      </w:r>
      <w:r w:rsidRPr="007C2FD2">
        <w:rPr>
          <w:rFonts w:ascii="Times New Roman" w:eastAsia="楷体" w:hAnsi="Times New Roman" w:hint="eastAsia"/>
          <w:color w:val="000000" w:themeColor="text1"/>
          <w:sz w:val="24"/>
          <w:szCs w:val="24"/>
        </w:rPr>
        <w:t>上调至</w:t>
      </w:r>
      <w:r w:rsidRPr="007C2FD2">
        <w:rPr>
          <w:rFonts w:ascii="Times New Roman" w:eastAsia="楷体" w:hAnsi="Times New Roman" w:hint="eastAsia"/>
          <w:color w:val="000000" w:themeColor="text1"/>
          <w:sz w:val="24"/>
          <w:szCs w:val="24"/>
        </w:rPr>
        <w:t>2.1%</w:t>
      </w:r>
      <w:r w:rsidRPr="007C2FD2">
        <w:rPr>
          <w:rFonts w:ascii="Times New Roman" w:eastAsia="楷体" w:hAnsi="Times New Roman" w:hint="eastAsia"/>
          <w:color w:val="000000" w:themeColor="text1"/>
          <w:sz w:val="24"/>
          <w:szCs w:val="24"/>
        </w:rPr>
        <w:t>，</w:t>
      </w:r>
      <w:r w:rsidRPr="007C2FD2">
        <w:rPr>
          <w:rFonts w:ascii="Times New Roman" w:eastAsia="楷体" w:hAnsi="Times New Roman" w:hint="eastAsia"/>
          <w:color w:val="000000" w:themeColor="text1"/>
          <w:sz w:val="24"/>
          <w:szCs w:val="24"/>
        </w:rPr>
        <w:t>2024</w:t>
      </w:r>
      <w:r w:rsidRPr="007C2FD2">
        <w:rPr>
          <w:rFonts w:ascii="Times New Roman" w:eastAsia="楷体" w:hAnsi="Times New Roman" w:hint="eastAsia"/>
          <w:color w:val="000000" w:themeColor="text1"/>
          <w:sz w:val="24"/>
          <w:szCs w:val="24"/>
        </w:rPr>
        <w:t>年的经济增长预期从</w:t>
      </w:r>
      <w:r w:rsidRPr="007C2FD2">
        <w:rPr>
          <w:rFonts w:ascii="Times New Roman" w:eastAsia="楷体" w:hAnsi="Times New Roman" w:hint="eastAsia"/>
          <w:color w:val="000000" w:themeColor="text1"/>
          <w:sz w:val="24"/>
          <w:szCs w:val="24"/>
        </w:rPr>
        <w:t>2.7%</w:t>
      </w:r>
      <w:r w:rsidRPr="007C2FD2">
        <w:rPr>
          <w:rFonts w:ascii="Times New Roman" w:eastAsia="楷体" w:hAnsi="Times New Roman" w:hint="eastAsia"/>
          <w:color w:val="000000" w:themeColor="text1"/>
          <w:sz w:val="24"/>
          <w:szCs w:val="24"/>
        </w:rPr>
        <w:t>下调至</w:t>
      </w:r>
      <w:r w:rsidRPr="007C2FD2">
        <w:rPr>
          <w:rFonts w:ascii="Times New Roman" w:eastAsia="楷体" w:hAnsi="Times New Roman" w:hint="eastAsia"/>
          <w:color w:val="000000" w:themeColor="text1"/>
          <w:sz w:val="24"/>
          <w:szCs w:val="24"/>
        </w:rPr>
        <w:t>2.4%</w:t>
      </w:r>
      <w:r w:rsidRPr="007C2FD2">
        <w:rPr>
          <w:rFonts w:ascii="Times New Roman" w:eastAsia="楷体" w:hAnsi="Times New Roman" w:hint="eastAsia"/>
          <w:color w:val="000000" w:themeColor="text1"/>
          <w:sz w:val="24"/>
          <w:szCs w:val="24"/>
        </w:rPr>
        <w:t>。美国服务业增速放缓，海外市场预计美联储</w:t>
      </w:r>
      <w:r w:rsidRPr="007C2FD2">
        <w:rPr>
          <w:rFonts w:ascii="Times New Roman" w:eastAsia="楷体" w:hAnsi="Times New Roman" w:hint="eastAsia"/>
          <w:color w:val="000000" w:themeColor="text1"/>
          <w:sz w:val="24"/>
          <w:szCs w:val="24"/>
        </w:rPr>
        <w:t>6</w:t>
      </w:r>
      <w:r w:rsidRPr="007C2FD2">
        <w:rPr>
          <w:rFonts w:ascii="Times New Roman" w:eastAsia="楷体" w:hAnsi="Times New Roman" w:hint="eastAsia"/>
          <w:color w:val="000000" w:themeColor="text1"/>
          <w:sz w:val="24"/>
          <w:szCs w:val="24"/>
        </w:rPr>
        <w:t>月大概率暂停加息，建议沪金、沪银维持偏多思路</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0" w:name="_Toc3096"/>
      <w:bookmarkStart w:id="11" w:name="金属"/>
      <w:bookmarkStart w:id="12" w:name="_Toc20891"/>
      <w:bookmarkStart w:id="13" w:name="农产品"/>
      <w:bookmarkStart w:id="14" w:name="_Toc13702734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0"/>
      <w:bookmarkEnd w:id="11"/>
      <w:bookmarkEnd w:id="12"/>
      <w:bookmarkEnd w:id="14"/>
    </w:p>
    <w:p w:rsidR="003F56A5" w:rsidRDefault="00CC3FFA">
      <w:pPr>
        <w:ind w:leftChars="200" w:left="420"/>
        <w:outlineLvl w:val="1"/>
        <w:rPr>
          <w:rFonts w:ascii="楷体" w:eastAsia="楷体" w:hAnsi="楷体"/>
          <w:b/>
          <w:color w:val="000000" w:themeColor="text1"/>
          <w:sz w:val="24"/>
          <w:szCs w:val="24"/>
        </w:rPr>
      </w:pPr>
      <w:bookmarkStart w:id="15" w:name="_Toc27831"/>
      <w:bookmarkStart w:id="16" w:name="_Toc5371"/>
      <w:bookmarkStart w:id="17" w:name="_Toc137027343"/>
      <w:r>
        <w:rPr>
          <w:rFonts w:ascii="楷体" w:eastAsia="楷体" w:hAnsi="楷体" w:hint="eastAsia"/>
          <w:b/>
          <w:color w:val="000000" w:themeColor="text1"/>
          <w:sz w:val="24"/>
          <w:szCs w:val="24"/>
        </w:rPr>
        <w:t>螺纹钢：</w:t>
      </w:r>
      <w:bookmarkEnd w:id="15"/>
      <w:bookmarkEnd w:id="16"/>
      <w:r w:rsidR="00EC4D59" w:rsidRPr="00EC4D59">
        <w:rPr>
          <w:rFonts w:ascii="楷体" w:eastAsia="楷体" w:hAnsi="楷体" w:hint="eastAsia"/>
          <w:b/>
          <w:color w:val="000000" w:themeColor="text1"/>
          <w:sz w:val="24"/>
          <w:szCs w:val="24"/>
        </w:rPr>
        <w:t>现货情绪有所弱化，成本支撑价格</w:t>
      </w:r>
      <w:bookmarkEnd w:id="17"/>
    </w:p>
    <w:p w:rsidR="003F56A5" w:rsidRDefault="00EC4D59">
      <w:pPr>
        <w:ind w:leftChars="300" w:left="630"/>
        <w:rPr>
          <w:rFonts w:ascii="楷体" w:eastAsia="楷体" w:hAnsi="楷体"/>
          <w:color w:val="000000" w:themeColor="text1"/>
          <w:sz w:val="24"/>
          <w:szCs w:val="24"/>
        </w:rPr>
      </w:pPr>
      <w:r w:rsidRPr="00EC4D59">
        <w:rPr>
          <w:rFonts w:ascii="楷体" w:eastAsia="楷体" w:hAnsi="楷体" w:hint="eastAsia"/>
          <w:color w:val="000000" w:themeColor="text1"/>
          <w:sz w:val="24"/>
          <w:szCs w:val="24"/>
        </w:rPr>
        <w:t>下游刚需支撑，投机需求随情绪波动，价格涨跌切换较快，价格震荡盘整等待新的驱动，预计波动区间（3580,3670）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8" w:name="_Toc4790"/>
      <w:bookmarkStart w:id="19" w:name="_Toc11356"/>
      <w:bookmarkStart w:id="20" w:name="_Toc137027344"/>
      <w:r>
        <w:rPr>
          <w:rFonts w:ascii="楷体" w:eastAsia="楷体" w:hAnsi="楷体" w:hint="eastAsia"/>
          <w:b/>
          <w:color w:val="000000" w:themeColor="text1"/>
          <w:sz w:val="24"/>
          <w:szCs w:val="24"/>
        </w:rPr>
        <w:t>焦炭：</w:t>
      </w:r>
      <w:bookmarkEnd w:id="18"/>
      <w:bookmarkEnd w:id="19"/>
      <w:r w:rsidR="00EC4D59" w:rsidRPr="00EC4D59">
        <w:rPr>
          <w:rFonts w:ascii="楷体" w:eastAsia="楷体" w:hAnsi="楷体" w:hint="eastAsia"/>
          <w:b/>
          <w:color w:val="000000" w:themeColor="text1"/>
          <w:sz w:val="24"/>
          <w:szCs w:val="24"/>
        </w:rPr>
        <w:t>现货反弹空间有限，震荡运行</w:t>
      </w:r>
      <w:bookmarkEnd w:id="20"/>
    </w:p>
    <w:p w:rsidR="003F56A5" w:rsidRDefault="00EC4D59">
      <w:pPr>
        <w:ind w:leftChars="300" w:left="630"/>
        <w:rPr>
          <w:rFonts w:ascii="楷体" w:eastAsia="楷体" w:hAnsi="楷体"/>
          <w:color w:val="000000" w:themeColor="text1"/>
          <w:sz w:val="24"/>
          <w:szCs w:val="24"/>
        </w:rPr>
      </w:pPr>
      <w:r w:rsidRPr="00EC4D59">
        <w:rPr>
          <w:rFonts w:ascii="楷体" w:eastAsia="楷体" w:hAnsi="楷体" w:hint="eastAsia"/>
          <w:color w:val="000000" w:themeColor="text1"/>
          <w:sz w:val="24"/>
          <w:szCs w:val="24"/>
        </w:rPr>
        <w:t>下游利润改善，低利润低库出下修复估值。短期现货企稳，成材情绪转弱，盘面随情绪波动，在（1960,2060）区间震荡</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1" w:name="_Toc137027345"/>
      <w:r>
        <w:rPr>
          <w:rFonts w:ascii="楷体" w:eastAsia="楷体" w:hAnsi="楷体" w:hint="eastAsia"/>
          <w:b/>
          <w:color w:val="000000" w:themeColor="text1"/>
          <w:sz w:val="24"/>
          <w:szCs w:val="24"/>
        </w:rPr>
        <w:t>焦煤：</w:t>
      </w:r>
      <w:r w:rsidR="00EC4D59" w:rsidRPr="00EC4D59">
        <w:rPr>
          <w:rFonts w:ascii="楷体" w:eastAsia="楷体" w:hAnsi="楷体" w:hint="eastAsia"/>
          <w:b/>
          <w:sz w:val="24"/>
          <w:szCs w:val="24"/>
        </w:rPr>
        <w:t>现货偏稳，盘面随情绪波动</w:t>
      </w:r>
      <w:bookmarkEnd w:id="21"/>
    </w:p>
    <w:p w:rsidR="003F56A5" w:rsidRDefault="00EC4D59">
      <w:pPr>
        <w:ind w:leftChars="300" w:left="630"/>
        <w:rPr>
          <w:rFonts w:ascii="楷体" w:eastAsia="楷体" w:hAnsi="楷体"/>
          <w:bCs/>
          <w:sz w:val="24"/>
          <w:szCs w:val="24"/>
        </w:rPr>
      </w:pPr>
      <w:r w:rsidRPr="00EC4D59">
        <w:rPr>
          <w:rFonts w:ascii="楷体" w:eastAsia="楷体" w:hAnsi="楷体" w:hint="eastAsia"/>
          <w:sz w:val="24"/>
          <w:szCs w:val="24"/>
        </w:rPr>
        <w:t>供需中性，供应弹性仍存，钢材走强或驱动补库意愿，现货反弹幅度或有限，预计在（1220,1300）区间震荡</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2" w:name="_Toc9719"/>
      <w:bookmarkStart w:id="23" w:name="_Toc25617"/>
      <w:bookmarkStart w:id="24" w:name="_Toc137027346"/>
      <w:r>
        <w:rPr>
          <w:rFonts w:ascii="楷体" w:eastAsia="楷体" w:hAnsi="楷体" w:hint="eastAsia"/>
          <w:b/>
          <w:color w:val="000000" w:themeColor="text1"/>
          <w:sz w:val="24"/>
          <w:szCs w:val="24"/>
        </w:rPr>
        <w:t>铜：</w:t>
      </w:r>
      <w:bookmarkEnd w:id="22"/>
      <w:bookmarkEnd w:id="23"/>
      <w:r w:rsidR="007C2FD2" w:rsidRPr="007C2FD2">
        <w:rPr>
          <w:rFonts w:ascii="楷体" w:eastAsia="楷体" w:hAnsi="楷体" w:hint="eastAsia"/>
          <w:b/>
          <w:color w:val="000000" w:themeColor="text1"/>
          <w:sz w:val="24"/>
          <w:szCs w:val="24"/>
        </w:rPr>
        <w:t>继续上行压力加大</w:t>
      </w:r>
      <w:bookmarkEnd w:id="24"/>
    </w:p>
    <w:p w:rsidR="007C2FD2" w:rsidRPr="007C2FD2" w:rsidRDefault="007C2FD2" w:rsidP="007C2FD2">
      <w:pPr>
        <w:ind w:leftChars="300" w:left="630"/>
        <w:rPr>
          <w:rFonts w:ascii="楷体" w:eastAsia="楷体" w:hAnsi="楷体" w:hint="eastAsia"/>
          <w:color w:val="000000" w:themeColor="text1"/>
          <w:sz w:val="24"/>
          <w:szCs w:val="24"/>
        </w:rPr>
      </w:pPr>
      <w:r w:rsidRPr="007C2FD2">
        <w:rPr>
          <w:rFonts w:ascii="楷体" w:eastAsia="楷体" w:hAnsi="楷体" w:hint="eastAsia"/>
          <w:color w:val="000000" w:themeColor="text1"/>
          <w:sz w:val="24"/>
          <w:szCs w:val="24"/>
        </w:rPr>
        <w:t>(1)宏观：中国物流与采购联合会公布数据显示，5月份全球制造业PMI为48.3%，环比下降0.3个百分点，连续3个月环比下降，连续8个月低于50%，并创2020年6月以来新低，全球经济波动下行趋势没有改变。</w:t>
      </w:r>
    </w:p>
    <w:p w:rsidR="007C2FD2" w:rsidRPr="007C2FD2" w:rsidRDefault="007C2FD2" w:rsidP="007C2FD2">
      <w:pPr>
        <w:ind w:leftChars="300" w:left="630"/>
        <w:rPr>
          <w:rFonts w:ascii="楷体" w:eastAsia="楷体" w:hAnsi="楷体" w:hint="eastAsia"/>
          <w:color w:val="000000" w:themeColor="text1"/>
          <w:sz w:val="24"/>
          <w:szCs w:val="24"/>
        </w:rPr>
      </w:pPr>
      <w:r w:rsidRPr="007C2FD2">
        <w:rPr>
          <w:rFonts w:ascii="楷体" w:eastAsia="楷体" w:hAnsi="楷体" w:hint="eastAsia"/>
          <w:color w:val="000000" w:themeColor="text1"/>
          <w:sz w:val="24"/>
          <w:szCs w:val="24"/>
        </w:rPr>
        <w:t>(2)库存：6月6日，SHFE仓单库存42427吨，减503吨。LME仓单库存99825吨，增875吨。</w:t>
      </w:r>
    </w:p>
    <w:p w:rsidR="007C2FD2" w:rsidRPr="007C2FD2" w:rsidRDefault="007C2FD2" w:rsidP="007C2FD2">
      <w:pPr>
        <w:ind w:leftChars="300" w:left="630"/>
        <w:rPr>
          <w:rFonts w:ascii="楷体" w:eastAsia="楷体" w:hAnsi="楷体" w:hint="eastAsia"/>
          <w:color w:val="000000" w:themeColor="text1"/>
          <w:sz w:val="24"/>
          <w:szCs w:val="24"/>
        </w:rPr>
      </w:pPr>
      <w:r w:rsidRPr="007C2FD2">
        <w:rPr>
          <w:rFonts w:ascii="楷体" w:eastAsia="楷体" w:hAnsi="楷体" w:hint="eastAsia"/>
          <w:color w:val="000000" w:themeColor="text1"/>
          <w:sz w:val="24"/>
          <w:szCs w:val="24"/>
        </w:rPr>
        <w:lastRenderedPageBreak/>
        <w:t>(3)精废价差：6月6日，Mysteel精废价差1946，扩大226。目前价差在合理价差1370之上。</w:t>
      </w:r>
    </w:p>
    <w:p w:rsidR="007C2FD2" w:rsidRPr="007C2FD2" w:rsidRDefault="007C2FD2" w:rsidP="007C2FD2">
      <w:pPr>
        <w:ind w:leftChars="300" w:left="630"/>
        <w:rPr>
          <w:rFonts w:ascii="楷体" w:eastAsia="楷体" w:hAnsi="楷体"/>
          <w:color w:val="000000" w:themeColor="text1"/>
          <w:sz w:val="24"/>
          <w:szCs w:val="24"/>
        </w:rPr>
      </w:pPr>
    </w:p>
    <w:p w:rsidR="00A71A7E" w:rsidRPr="00A71A7E" w:rsidRDefault="007C2FD2" w:rsidP="007C2FD2">
      <w:pPr>
        <w:ind w:leftChars="300" w:left="630"/>
        <w:rPr>
          <w:rFonts w:ascii="楷体" w:eastAsia="楷体" w:hAnsi="楷体"/>
          <w:color w:val="000000" w:themeColor="text1"/>
          <w:sz w:val="24"/>
          <w:szCs w:val="24"/>
        </w:rPr>
      </w:pPr>
      <w:r w:rsidRPr="007C2FD2">
        <w:rPr>
          <w:rFonts w:ascii="楷体" w:eastAsia="楷体" w:hAnsi="楷体" w:hint="eastAsia"/>
          <w:color w:val="000000" w:themeColor="text1"/>
          <w:sz w:val="24"/>
          <w:szCs w:val="24"/>
        </w:rPr>
        <w:t>综述：短期铜价反弹更多来自于内外宏观情绪修复所致，但海外宏观风险仍存，衰退交易仍有反复可能，且国内经济大概率维持弱复苏状态，与此同时，铜价走高后精废价差扩大，废铜供应或好转，且淡季效应下现货供应或逐步宽松，价格上方压力加大，维持逢高沽空思路，关注67000一线压力</w:t>
      </w:r>
      <w:r w:rsidR="00A71A7E" w:rsidRPr="00A71A7E">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2C73FE" w:rsidRDefault="00CC3FFA" w:rsidP="002C73FE">
      <w:pPr>
        <w:ind w:leftChars="200" w:left="420"/>
        <w:outlineLvl w:val="1"/>
        <w:rPr>
          <w:rFonts w:ascii="楷体" w:eastAsia="楷体" w:hAnsi="楷体"/>
          <w:b/>
          <w:color w:val="000000" w:themeColor="text1"/>
          <w:sz w:val="24"/>
          <w:szCs w:val="24"/>
        </w:rPr>
      </w:pPr>
      <w:bookmarkStart w:id="25" w:name="_Toc8897"/>
      <w:bookmarkStart w:id="26" w:name="_Toc6247"/>
      <w:bookmarkStart w:id="27" w:name="_Toc137027347"/>
      <w:r>
        <w:rPr>
          <w:rFonts w:ascii="楷体" w:eastAsia="楷体" w:hAnsi="楷体" w:hint="eastAsia"/>
          <w:b/>
          <w:color w:val="000000" w:themeColor="text1"/>
          <w:sz w:val="24"/>
          <w:szCs w:val="24"/>
        </w:rPr>
        <w:t>铝：</w:t>
      </w:r>
      <w:bookmarkEnd w:id="25"/>
      <w:bookmarkEnd w:id="26"/>
      <w:r w:rsidR="00EC4D59" w:rsidRPr="00EC4D59">
        <w:rPr>
          <w:rFonts w:ascii="楷体" w:eastAsia="楷体" w:hAnsi="楷体" w:hint="eastAsia"/>
          <w:b/>
          <w:color w:val="000000" w:themeColor="text1"/>
          <w:sz w:val="24"/>
          <w:szCs w:val="24"/>
        </w:rPr>
        <w:t>铝价上方仍有压力，建议逢高布空</w:t>
      </w:r>
      <w:bookmarkEnd w:id="27"/>
    </w:p>
    <w:p w:rsidR="003F56A5" w:rsidRDefault="00EC4D59" w:rsidP="00CF7A9A">
      <w:pPr>
        <w:ind w:leftChars="300" w:left="630"/>
        <w:rPr>
          <w:rFonts w:ascii="楷体" w:eastAsia="楷体" w:hAnsi="楷体"/>
          <w:color w:val="000000" w:themeColor="text1"/>
          <w:sz w:val="24"/>
          <w:szCs w:val="24"/>
        </w:rPr>
      </w:pPr>
      <w:r w:rsidRPr="00EC4D59">
        <w:rPr>
          <w:rFonts w:ascii="楷体" w:eastAsia="楷体" w:hAnsi="楷体" w:hint="eastAsia"/>
          <w:color w:val="000000" w:themeColor="text1"/>
          <w:sz w:val="24"/>
          <w:szCs w:val="24"/>
        </w:rPr>
        <w:t>海外宏观情绪多变，国内期待政策出台支持消费信心。6月起印尼将逐步落实铝土矿禁止出口，国内矿端供应整体偏紧，氧化铝产能过剩，产量高位价格持续走弱，电价下行叠加预焙阳极等辅料价格下降，电解铝冶炼成本塌陷，电解铝利润高位刺激企业生产，西南地区进入汛期，云南预期释放前期减产产能约计130万吨，供应预期走增。海外库存累库，国内交易所及社会库存持续去库，铝水比例偏高，铸锭存量较少，铝棒库存拐入累库，需求进入淡季，加工企业开工率走低，铝价上驱动力不足，下行空间有限，预计上下区间为17000-18500，基本面供走强、需向弱，目前价格正在区间靠上沿位置，可逢高布空</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8" w:name="_Toc137027348"/>
      <w:r>
        <w:rPr>
          <w:rFonts w:ascii="楷体" w:eastAsia="楷体" w:hAnsi="楷体" w:hint="eastAsia"/>
          <w:b/>
          <w:color w:val="000000" w:themeColor="text1"/>
          <w:sz w:val="24"/>
          <w:szCs w:val="24"/>
        </w:rPr>
        <w:t>锌：</w:t>
      </w:r>
      <w:r w:rsidR="002C73FE" w:rsidRPr="002C73FE">
        <w:rPr>
          <w:rFonts w:ascii="楷体" w:eastAsia="楷体" w:hAnsi="楷体" w:hint="eastAsia"/>
          <w:b/>
          <w:color w:val="000000" w:themeColor="text1"/>
          <w:sz w:val="24"/>
          <w:szCs w:val="24"/>
        </w:rPr>
        <w:t>锌市上下压力仍存，建议观望为主</w:t>
      </w:r>
      <w:bookmarkEnd w:id="28"/>
    </w:p>
    <w:p w:rsidR="003F56A5" w:rsidRDefault="002C73FE" w:rsidP="000B0648">
      <w:pPr>
        <w:ind w:leftChars="300" w:left="630"/>
        <w:rPr>
          <w:rFonts w:ascii="楷体" w:eastAsia="楷体" w:hAnsi="楷体"/>
          <w:color w:val="000000" w:themeColor="text1"/>
          <w:sz w:val="24"/>
          <w:szCs w:val="24"/>
        </w:rPr>
      </w:pPr>
      <w:r w:rsidRPr="002C73FE">
        <w:rPr>
          <w:rFonts w:ascii="楷体" w:eastAsia="楷体" w:hAnsi="楷体" w:hint="eastAsia"/>
          <w:color w:val="000000" w:themeColor="text1"/>
          <w:sz w:val="24"/>
          <w:szCs w:val="24"/>
        </w:rPr>
        <w:t>宏观情绪走暖，持续关注联储6月加息动作，国内期待利好政策提振市场信心。前期锌价跌破成本支撑而后再度收复上行。目前海外复产有预期但节奏偏慢，国内锌精矿产量走弱，锌精矿加工费震荡下行，矿商及冶炼厂综合利润持续收缩，精炼锌产量维持高位但环比走弱，伴随利润的快速挤出，精炼锌利润几乎走平，在无利可图的前提下，厂家或有计划检修停产，目前来看精炼锌生产仍处高位。需求端来看，海外经济衰退市场疲软，国内锌市需求进入淡季，消费乐观预期再度被修正，海内外显性库存保持低位，锌价快速下跌企稳反弹但上方可想像空间有限，价格震荡盘整，建议先观望为主</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9" w:name="_Toc137027349"/>
      <w:r>
        <w:rPr>
          <w:rFonts w:ascii="楷体" w:eastAsia="楷体" w:hAnsi="楷体" w:hint="eastAsia"/>
          <w:b/>
          <w:color w:val="000000" w:themeColor="text1"/>
          <w:sz w:val="24"/>
          <w:szCs w:val="24"/>
        </w:rPr>
        <w:t>镍：</w:t>
      </w:r>
      <w:r w:rsidR="001945E9" w:rsidRPr="001945E9">
        <w:rPr>
          <w:rFonts w:ascii="楷体" w:eastAsia="楷体" w:hAnsi="楷体" w:hint="eastAsia"/>
          <w:b/>
          <w:color w:val="000000" w:themeColor="text1"/>
          <w:sz w:val="24"/>
          <w:szCs w:val="24"/>
        </w:rPr>
        <w:t>中期下行趋势未变，短期或震荡</w:t>
      </w:r>
      <w:bookmarkEnd w:id="29"/>
    </w:p>
    <w:p w:rsidR="003F56A5" w:rsidRDefault="001945E9">
      <w:pPr>
        <w:ind w:leftChars="300" w:left="630"/>
        <w:rPr>
          <w:rFonts w:ascii="楷体" w:eastAsia="楷体" w:hAnsi="楷体"/>
          <w:color w:val="000000" w:themeColor="text1"/>
          <w:sz w:val="24"/>
          <w:szCs w:val="24"/>
        </w:rPr>
      </w:pPr>
      <w:r w:rsidRPr="001945E9">
        <w:rPr>
          <w:rFonts w:ascii="楷体" w:eastAsia="楷体" w:hAnsi="楷体" w:hint="eastAsia"/>
          <w:color w:val="000000" w:themeColor="text1"/>
          <w:sz w:val="24"/>
          <w:szCs w:val="24"/>
        </w:rPr>
        <w:t>据市场反应批量俄镍进口集中到货，进口镍升水大幅下调，前期低库存引发的逼仓忧虑明显缓解，镍价近日大幅下挫态势。中期电积镍产能陆续释放，产量不断爬升，预计低库存态势将逐步缓解，镍价下行态势未变。前期空单可继续持有，新单暂时观望</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0" w:name="_Toc137027350"/>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2C73FE" w:rsidRPr="002C73FE">
        <w:rPr>
          <w:rFonts w:ascii="楷体" w:eastAsia="楷体" w:hAnsi="楷体" w:hint="eastAsia"/>
          <w:b/>
          <w:color w:val="000000" w:themeColor="text1"/>
          <w:sz w:val="24"/>
          <w:szCs w:val="24"/>
        </w:rPr>
        <w:t>铅价偏弱震荡盘整</w:t>
      </w:r>
      <w:bookmarkEnd w:id="30"/>
    </w:p>
    <w:p w:rsidR="008B13D2" w:rsidRPr="008B13D2" w:rsidRDefault="002C73FE" w:rsidP="008B13D2">
      <w:pPr>
        <w:ind w:leftChars="300" w:left="630"/>
        <w:rPr>
          <w:rFonts w:ascii="楷体" w:eastAsia="楷体" w:hAnsi="楷体"/>
          <w:color w:val="000000" w:themeColor="text1"/>
          <w:sz w:val="24"/>
          <w:szCs w:val="24"/>
        </w:rPr>
      </w:pPr>
      <w:r w:rsidRPr="002C73FE">
        <w:rPr>
          <w:rFonts w:ascii="楷体" w:eastAsia="楷体" w:hAnsi="楷体" w:hint="eastAsia"/>
          <w:color w:val="000000" w:themeColor="text1"/>
          <w:sz w:val="24"/>
          <w:szCs w:val="24"/>
        </w:rPr>
        <w:t>铅矿供应偏紧，冶炼副产品利润偏低，原生铅与再生铅产量增减相抵，废旧电池流动货源偏紧，再生铅利润走缩，部分炼厂生产积极性降低，后续原生铅产能部分进入检修，铅锭供应仍有压力。下游淡季消费平淡，铅蓄电池库存高位，国内库存低位走增，铅价上行动力不足，价格偏弱震荡</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37027351"/>
      <w:r>
        <w:rPr>
          <w:rFonts w:ascii="楷体" w:eastAsia="楷体" w:hAnsi="楷体" w:hint="eastAsia"/>
          <w:b/>
          <w:color w:val="000000" w:themeColor="text1"/>
          <w:sz w:val="24"/>
          <w:szCs w:val="24"/>
        </w:rPr>
        <w:t>不锈钢：</w:t>
      </w:r>
      <w:r w:rsidR="002C73FE" w:rsidRPr="002C73FE">
        <w:rPr>
          <w:rFonts w:ascii="楷体" w:eastAsia="楷体" w:hAnsi="楷体" w:hint="eastAsia"/>
          <w:b/>
          <w:color w:val="000000" w:themeColor="text1"/>
          <w:sz w:val="24"/>
          <w:szCs w:val="24"/>
        </w:rPr>
        <w:t>压力位附近逢高试空</w:t>
      </w:r>
      <w:bookmarkEnd w:id="31"/>
    </w:p>
    <w:p w:rsidR="003F56A5" w:rsidRDefault="002C73FE">
      <w:pPr>
        <w:ind w:leftChars="300" w:left="630"/>
        <w:rPr>
          <w:rFonts w:ascii="楷体" w:eastAsia="楷体" w:hAnsi="楷体"/>
          <w:color w:val="000000" w:themeColor="text1"/>
          <w:sz w:val="24"/>
          <w:szCs w:val="24"/>
        </w:rPr>
      </w:pPr>
      <w:r w:rsidRPr="002C73FE">
        <w:rPr>
          <w:rFonts w:ascii="楷体" w:eastAsia="楷体" w:hAnsi="楷体" w:hint="eastAsia"/>
          <w:color w:val="000000" w:themeColor="text1"/>
          <w:sz w:val="24"/>
          <w:szCs w:val="24"/>
        </w:rPr>
        <w:lastRenderedPageBreak/>
        <w:t>近日在国内政策预期驱动下，股市期市联动反弹，上周不锈钢社会库存再次出现明显下降，目前库存水平略低于去年同期，对市场情绪有所提振，但预期价格反弹空间不大，一方面镍铁价格仍有压力，成本端无法提供有力支撑，且供应弹性大而需求疲弱下，价格驱动不强。短期宏观氛围偏暖下，价格震荡偏强运行，关注SS2307在15400一线压力，考虑该压力位附近试空</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2" w:name="_Toc137027352"/>
      <w:r>
        <w:rPr>
          <w:rFonts w:ascii="楷体" w:eastAsia="楷体" w:hAnsi="楷体" w:hint="eastAsia"/>
          <w:b/>
          <w:color w:val="000000" w:themeColor="text1"/>
          <w:sz w:val="24"/>
          <w:szCs w:val="24"/>
        </w:rPr>
        <w:t>工业硅：</w:t>
      </w:r>
      <w:r w:rsidR="00EC4D59" w:rsidRPr="00EC4D59">
        <w:rPr>
          <w:rFonts w:ascii="楷体" w:eastAsia="楷体" w:hAnsi="楷体" w:hint="eastAsia"/>
          <w:b/>
          <w:sz w:val="24"/>
          <w:szCs w:val="24"/>
        </w:rPr>
        <w:t>短期反弹乏力，中长期或仍有下行压力</w:t>
      </w:r>
      <w:bookmarkEnd w:id="32"/>
    </w:p>
    <w:p w:rsidR="003F56A5" w:rsidRDefault="00EC4D59" w:rsidP="007103A5">
      <w:pPr>
        <w:ind w:leftChars="300" w:left="630"/>
        <w:rPr>
          <w:rFonts w:ascii="楷体" w:eastAsia="楷体" w:hAnsi="楷体"/>
          <w:sz w:val="24"/>
          <w:szCs w:val="24"/>
        </w:rPr>
      </w:pPr>
      <w:r w:rsidRPr="00EC4D59">
        <w:rPr>
          <w:rFonts w:ascii="楷体" w:eastAsia="楷体" w:hAnsi="楷体" w:hint="eastAsia"/>
          <w:sz w:val="24"/>
          <w:szCs w:val="24"/>
        </w:rPr>
        <w:t>6月6日，Si2308主力合约呈下行走势，收盘价12990元/吨，较上一收盘价涨跌幅-0.23%。供应方面，西南工厂已有实质复产操作，已有实质复产操作，预计后续将步入复产节奏，供应压力也将逐步增加;需求方面，下半年整体有较多规划项目等待投产，但多晶硅项目产能释放仍需3-6个月爬坡， 因此短期较难出现较为明显的增量。整体来看，受供需格局无改善，短期盘面呈现反弹乏力，在成本仍有下降预期，中长期或仍有下行压力</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3" w:name="化工"/>
      <w:r>
        <w:rPr>
          <w:rFonts w:ascii="Times New Roman" w:eastAsia="楷体" w:hAnsi="Times New Roman" w:hint="eastAsia"/>
          <w:b/>
          <w:color w:val="823C0B"/>
          <w:sz w:val="30"/>
          <w:szCs w:val="30"/>
        </w:rPr>
        <w:t xml:space="preserve"> </w:t>
      </w:r>
      <w:bookmarkStart w:id="34" w:name="_Toc13702735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3"/>
      <w:bookmarkEnd w:id="34"/>
    </w:p>
    <w:p w:rsidR="003F56A5" w:rsidRPr="005B790A" w:rsidRDefault="00CC3FFA" w:rsidP="005B790A">
      <w:pPr>
        <w:ind w:firstLineChars="200" w:firstLine="482"/>
        <w:outlineLvl w:val="1"/>
        <w:rPr>
          <w:rFonts w:ascii="楷体" w:eastAsia="楷体" w:hAnsi="楷体"/>
          <w:b/>
          <w:sz w:val="24"/>
          <w:szCs w:val="24"/>
        </w:rPr>
      </w:pPr>
      <w:bookmarkStart w:id="35" w:name="_Toc137027354"/>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EC4D59" w:rsidRPr="00EC4D59">
        <w:rPr>
          <w:rFonts w:ascii="楷体" w:eastAsia="楷体" w:hAnsi="楷体" w:hint="eastAsia"/>
          <w:b/>
          <w:sz w:val="24"/>
          <w:szCs w:val="24"/>
        </w:rPr>
        <w:t>供需结构未有实质性改善，RU或低位震荡</w:t>
      </w:r>
      <w:bookmarkEnd w:id="35"/>
    </w:p>
    <w:p w:rsidR="003F56A5" w:rsidRDefault="00EC4D59">
      <w:pPr>
        <w:ind w:leftChars="300" w:left="630"/>
        <w:rPr>
          <w:rFonts w:ascii="楷体" w:eastAsia="楷体" w:hAnsi="楷体"/>
          <w:sz w:val="24"/>
          <w:szCs w:val="24"/>
        </w:rPr>
      </w:pPr>
      <w:r w:rsidRPr="00EC4D59">
        <w:rPr>
          <w:rFonts w:ascii="楷体" w:eastAsia="楷体" w:hAnsi="楷体" w:hint="eastAsia"/>
          <w:sz w:val="24"/>
          <w:szCs w:val="24"/>
        </w:rPr>
        <w:t>点评：昨日天胶小幅回落。当前制约RU价格上行的主要矛盾还是屡创新高的港口库存。本周随着港口货源持续到港，库存消化不及预期，且累库速度超预期，RU仍然需要谨防回落风险。橡胶其余基本面来看，供应端，国内外产区处于新胶增量初期，原料价格短时波动不大，工厂利润不断受到挤压，胶价下行空间有限，因此成本端支撑尚可。橡胶下游轮胎方面，多数企业内外销订单排产稳定，企业产能利用率将维持在偏高水平，期间不排除个别企业为控制库存，存临时降负可能。终端汽车方面，3月以来多数车企化身“价格屠夫”，4月汽车产销同比大幅好转，但主要与去年同期低基数有关，环比下滑证明汽车购买需求在优惠政策出尽下仍然低迷；重卡销量4月环比出现下滑，主因房地产和基建开工下滑导致非完整车辆销售不佳所致。出口方面，Q1轮胎累计出口量同比微幅回升，前期对海外市场经济衰退和轮胎消费疲软的预期被证实过度悲观。综合来看，短期内橡胶收储与供应利好消退，并在库存压制下，持续好转预期仍弱。此外，RU2401-RU2309价差回落在一定程度上反应了仓单增长的预期，同时也显示了轮储可能性的下降。在目前橡胶基本面颓势下，同时面临着09合约交割前期现价差回归压力下，短期行情仍会回归供需基本面属性，震荡为主</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6" w:name="_Toc137027355"/>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2C73FE" w:rsidRPr="002C73FE">
        <w:rPr>
          <w:rFonts w:ascii="楷体" w:eastAsia="楷体" w:hAnsi="楷体" w:hint="eastAsia"/>
          <w:b/>
          <w:color w:val="000000" w:themeColor="text1"/>
          <w:sz w:val="24"/>
          <w:szCs w:val="24"/>
        </w:rPr>
        <w:t>受成本端企稳及聚酯高开工驱动偏强</w:t>
      </w:r>
      <w:bookmarkEnd w:id="36"/>
      <w:r>
        <w:rPr>
          <w:rFonts w:ascii="楷体" w:eastAsia="楷体" w:hAnsi="楷体" w:hint="eastAsia"/>
          <w:b/>
          <w:color w:val="000000" w:themeColor="text1"/>
          <w:sz w:val="24"/>
          <w:szCs w:val="24"/>
        </w:rPr>
        <w:t xml:space="preserve"> </w:t>
      </w:r>
    </w:p>
    <w:p w:rsidR="002C73FE" w:rsidRPr="002C73FE" w:rsidRDefault="002C73FE" w:rsidP="002C73FE">
      <w:pPr>
        <w:ind w:leftChars="300" w:left="630"/>
        <w:rPr>
          <w:rFonts w:ascii="楷体" w:eastAsia="楷体" w:hAnsi="楷体"/>
          <w:color w:val="000000" w:themeColor="text1"/>
          <w:sz w:val="24"/>
          <w:szCs w:val="24"/>
        </w:rPr>
      </w:pPr>
      <w:r w:rsidRPr="002C73FE">
        <w:rPr>
          <w:rFonts w:ascii="楷体" w:eastAsia="楷体" w:hAnsi="楷体" w:hint="eastAsia"/>
          <w:color w:val="000000" w:themeColor="text1"/>
          <w:sz w:val="24"/>
          <w:szCs w:val="24"/>
        </w:rPr>
        <w:t>成本端方面，近期OPEC+加深减产对盘面提供进一步支撑，但利好程度呈现弱化状态，原油盘面继续保持震荡格局。</w:t>
      </w:r>
    </w:p>
    <w:p w:rsidR="003F56A5" w:rsidRDefault="002C73FE" w:rsidP="002C73FE">
      <w:pPr>
        <w:ind w:leftChars="300" w:left="630"/>
        <w:rPr>
          <w:rFonts w:ascii="楷体" w:eastAsia="楷体" w:hAnsi="楷体"/>
          <w:color w:val="000000" w:themeColor="text1"/>
          <w:sz w:val="24"/>
          <w:szCs w:val="24"/>
        </w:rPr>
      </w:pPr>
      <w:r w:rsidRPr="002C73FE">
        <w:rPr>
          <w:rFonts w:ascii="楷体" w:eastAsia="楷体" w:hAnsi="楷体"/>
          <w:color w:val="000000" w:themeColor="text1"/>
          <w:sz w:val="24"/>
          <w:szCs w:val="24"/>
        </w:rPr>
        <w:t>PTA</w:t>
      </w:r>
      <w:r w:rsidRPr="002C73FE">
        <w:rPr>
          <w:rFonts w:ascii="楷体" w:eastAsia="楷体" w:hAnsi="楷体" w:hint="eastAsia"/>
          <w:color w:val="000000" w:themeColor="text1"/>
          <w:sz w:val="24"/>
          <w:szCs w:val="24"/>
        </w:rPr>
        <w:t>供给方面，独山能源</w:t>
      </w:r>
      <w:r w:rsidRPr="002C73FE">
        <w:rPr>
          <w:rFonts w:ascii="楷体" w:eastAsia="楷体" w:hAnsi="楷体"/>
          <w:color w:val="000000" w:themeColor="text1"/>
          <w:sz w:val="24"/>
          <w:szCs w:val="24"/>
        </w:rPr>
        <w:t>250</w:t>
      </w:r>
      <w:r w:rsidRPr="002C73FE">
        <w:rPr>
          <w:rFonts w:ascii="楷体" w:eastAsia="楷体" w:hAnsi="楷体" w:hint="eastAsia"/>
          <w:color w:val="000000" w:themeColor="text1"/>
          <w:sz w:val="24"/>
          <w:szCs w:val="24"/>
        </w:rPr>
        <w:t>万吨重启，威联化学重启未出产品，亚东</w:t>
      </w:r>
      <w:r w:rsidRPr="002C73FE">
        <w:rPr>
          <w:rFonts w:ascii="楷体" w:eastAsia="楷体" w:hAnsi="楷体"/>
          <w:color w:val="000000" w:themeColor="text1"/>
          <w:sz w:val="24"/>
          <w:szCs w:val="24"/>
        </w:rPr>
        <w:t>75</w:t>
      </w:r>
      <w:r w:rsidRPr="002C73FE">
        <w:rPr>
          <w:rFonts w:ascii="楷体" w:eastAsia="楷体" w:hAnsi="楷体" w:hint="eastAsia"/>
          <w:color w:val="000000" w:themeColor="text1"/>
          <w:sz w:val="24"/>
          <w:szCs w:val="24"/>
        </w:rPr>
        <w:t>万吨停车，三房巷</w:t>
      </w:r>
      <w:r w:rsidRPr="002C73FE">
        <w:rPr>
          <w:rFonts w:ascii="楷体" w:eastAsia="楷体" w:hAnsi="楷体"/>
          <w:color w:val="000000" w:themeColor="text1"/>
          <w:sz w:val="24"/>
          <w:szCs w:val="24"/>
        </w:rPr>
        <w:t>120</w:t>
      </w:r>
      <w:r w:rsidRPr="002C73FE">
        <w:rPr>
          <w:rFonts w:ascii="楷体" w:eastAsia="楷体" w:hAnsi="楷体" w:hint="eastAsia"/>
          <w:color w:val="000000" w:themeColor="text1"/>
          <w:sz w:val="24"/>
          <w:szCs w:val="24"/>
        </w:rPr>
        <w:t>万吨装置停车，至</w:t>
      </w:r>
      <w:r w:rsidRPr="002C73FE">
        <w:rPr>
          <w:rFonts w:ascii="楷体" w:eastAsia="楷体" w:hAnsi="楷体"/>
          <w:color w:val="000000" w:themeColor="text1"/>
          <w:sz w:val="24"/>
          <w:szCs w:val="24"/>
        </w:rPr>
        <w:t>6.1 PTA</w:t>
      </w:r>
      <w:r w:rsidRPr="002C73FE">
        <w:rPr>
          <w:rFonts w:ascii="楷体" w:eastAsia="楷体" w:hAnsi="楷体" w:hint="eastAsia"/>
          <w:color w:val="000000" w:themeColor="text1"/>
          <w:sz w:val="24"/>
          <w:szCs w:val="24"/>
        </w:rPr>
        <w:t>负荷调整至</w:t>
      </w:r>
      <w:r w:rsidRPr="002C73FE">
        <w:rPr>
          <w:rFonts w:ascii="楷体" w:eastAsia="楷体" w:hAnsi="楷体"/>
          <w:color w:val="000000" w:themeColor="text1"/>
          <w:sz w:val="24"/>
          <w:szCs w:val="24"/>
        </w:rPr>
        <w:t>72.7%(</w:t>
      </w:r>
      <w:r w:rsidRPr="002C73FE">
        <w:rPr>
          <w:rFonts w:ascii="Segoe UI Symbol" w:eastAsia="楷体" w:hAnsi="Segoe UI Symbol" w:cs="Segoe UI Symbol"/>
          <w:color w:val="000000" w:themeColor="text1"/>
          <w:sz w:val="24"/>
          <w:szCs w:val="24"/>
        </w:rPr>
        <w:t>➕</w:t>
      </w:r>
      <w:r w:rsidRPr="002C73FE">
        <w:rPr>
          <w:rFonts w:ascii="楷体" w:eastAsia="楷体" w:hAnsi="楷体"/>
          <w:color w:val="000000" w:themeColor="text1"/>
          <w:sz w:val="24"/>
          <w:szCs w:val="24"/>
        </w:rPr>
        <w:t>0.9%)</w:t>
      </w:r>
      <w:r w:rsidRPr="002C73FE">
        <w:rPr>
          <w:rFonts w:ascii="楷体" w:eastAsia="楷体" w:hAnsi="楷体" w:hint="eastAsia"/>
          <w:color w:val="000000" w:themeColor="text1"/>
          <w:sz w:val="24"/>
          <w:szCs w:val="24"/>
        </w:rPr>
        <w:t>。独山能源检修</w:t>
      </w:r>
      <w:r w:rsidRPr="002C73FE">
        <w:rPr>
          <w:rFonts w:ascii="楷体" w:eastAsia="楷体" w:hAnsi="楷体"/>
          <w:color w:val="000000" w:themeColor="text1"/>
          <w:sz w:val="24"/>
          <w:szCs w:val="24"/>
        </w:rPr>
        <w:t>2</w:t>
      </w:r>
      <w:r w:rsidRPr="002C73FE">
        <w:rPr>
          <w:rFonts w:ascii="楷体" w:eastAsia="楷体" w:hAnsi="楷体" w:hint="eastAsia"/>
          <w:color w:val="000000" w:themeColor="text1"/>
          <w:sz w:val="24"/>
          <w:szCs w:val="24"/>
        </w:rPr>
        <w:t>周后将在</w:t>
      </w:r>
      <w:r w:rsidRPr="002C73FE">
        <w:rPr>
          <w:rFonts w:ascii="楷体" w:eastAsia="楷体" w:hAnsi="楷体"/>
          <w:color w:val="000000" w:themeColor="text1"/>
          <w:sz w:val="24"/>
          <w:szCs w:val="24"/>
        </w:rPr>
        <w:t>6</w:t>
      </w:r>
      <w:r w:rsidRPr="002C73FE">
        <w:rPr>
          <w:rFonts w:ascii="楷体" w:eastAsia="楷体" w:hAnsi="楷体" w:hint="eastAsia"/>
          <w:color w:val="000000" w:themeColor="text1"/>
          <w:sz w:val="24"/>
          <w:szCs w:val="24"/>
        </w:rPr>
        <w:t>月上重启，</w:t>
      </w:r>
      <w:r w:rsidRPr="002C73FE">
        <w:rPr>
          <w:rFonts w:ascii="楷体" w:eastAsia="楷体" w:hAnsi="楷体"/>
          <w:color w:val="000000" w:themeColor="text1"/>
          <w:sz w:val="24"/>
          <w:szCs w:val="24"/>
        </w:rPr>
        <w:t>6</w:t>
      </w:r>
      <w:r w:rsidRPr="002C73FE">
        <w:rPr>
          <w:rFonts w:ascii="楷体" w:eastAsia="楷体" w:hAnsi="楷体" w:hint="eastAsia"/>
          <w:color w:val="000000" w:themeColor="text1"/>
          <w:sz w:val="24"/>
          <w:szCs w:val="24"/>
        </w:rPr>
        <w:t>月中上旬开工负荷将低位回升。需求方面，聚酯负荷整体继续提升。截至</w:t>
      </w:r>
      <w:r w:rsidRPr="002C73FE">
        <w:rPr>
          <w:rFonts w:ascii="楷体" w:eastAsia="楷体" w:hAnsi="楷体"/>
          <w:color w:val="000000" w:themeColor="text1"/>
          <w:sz w:val="24"/>
          <w:szCs w:val="24"/>
        </w:rPr>
        <w:t>6.1</w:t>
      </w:r>
      <w:r w:rsidRPr="002C73FE">
        <w:rPr>
          <w:rFonts w:ascii="楷体" w:eastAsia="楷体" w:hAnsi="楷体" w:hint="eastAsia"/>
          <w:color w:val="000000" w:themeColor="text1"/>
          <w:sz w:val="24"/>
          <w:szCs w:val="24"/>
        </w:rPr>
        <w:t>，初步核算</w:t>
      </w:r>
      <w:r w:rsidRPr="002C73FE">
        <w:rPr>
          <w:rFonts w:ascii="楷体" w:eastAsia="楷体" w:hAnsi="楷体" w:hint="eastAsia"/>
          <w:color w:val="000000" w:themeColor="text1"/>
          <w:sz w:val="24"/>
          <w:szCs w:val="24"/>
        </w:rPr>
        <w:lastRenderedPageBreak/>
        <w:t>国内大陆地区聚酯负荷在</w:t>
      </w:r>
      <w:r w:rsidRPr="002C73FE">
        <w:rPr>
          <w:rFonts w:ascii="楷体" w:eastAsia="楷体" w:hAnsi="楷体"/>
          <w:color w:val="000000" w:themeColor="text1"/>
          <w:sz w:val="24"/>
          <w:szCs w:val="24"/>
        </w:rPr>
        <w:t>92.2%</w:t>
      </w:r>
      <w:r w:rsidRPr="002C73FE">
        <w:rPr>
          <w:rFonts w:ascii="楷体" w:eastAsia="楷体" w:hAnsi="楷体" w:hint="eastAsia"/>
          <w:color w:val="000000" w:themeColor="text1"/>
          <w:sz w:val="24"/>
          <w:szCs w:val="24"/>
        </w:rPr>
        <w:t>（</w:t>
      </w:r>
      <w:r w:rsidRPr="002C73FE">
        <w:rPr>
          <w:rFonts w:ascii="楷体" w:eastAsia="楷体" w:hAnsi="楷体"/>
          <w:color w:val="000000" w:themeColor="text1"/>
          <w:sz w:val="24"/>
          <w:szCs w:val="24"/>
        </w:rPr>
        <w:t>+2.1%)</w:t>
      </w:r>
      <w:r w:rsidRPr="002C73FE">
        <w:rPr>
          <w:rFonts w:ascii="楷体" w:eastAsia="楷体" w:hAnsi="楷体" w:hint="eastAsia"/>
          <w:color w:val="000000" w:themeColor="text1"/>
          <w:sz w:val="24"/>
          <w:szCs w:val="24"/>
        </w:rPr>
        <w:t>附近。目前涤纶长丝及短纤的社会库存处于年内低位，效益改善加工费处于年内高位。终端弹丝、纱线、坯布库存还在逐步攀升中，终端减产压力较大。展望后市，终端虽有减产压力，但聚酯库存不高，</w:t>
      </w:r>
      <w:r w:rsidRPr="002C73FE">
        <w:rPr>
          <w:rFonts w:ascii="楷体" w:eastAsia="楷体" w:hAnsi="楷体"/>
          <w:color w:val="000000" w:themeColor="text1"/>
          <w:sz w:val="24"/>
          <w:szCs w:val="24"/>
        </w:rPr>
        <w:t>6</w:t>
      </w:r>
      <w:r w:rsidRPr="002C73FE">
        <w:rPr>
          <w:rFonts w:ascii="楷体" w:eastAsia="楷体" w:hAnsi="楷体" w:hint="eastAsia"/>
          <w:color w:val="000000" w:themeColor="text1"/>
          <w:sz w:val="24"/>
          <w:szCs w:val="24"/>
        </w:rPr>
        <w:t>月份聚酯高开工有望继续维持。近期PTA装置开工率及加工费均不高且下游聚酯负荷高位维持，码头库存处于去化状态，供需格局尚可。受成本端油价企稳及聚酯高开工驱动短期走势偏强。仅供参考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7027356"/>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7"/>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373B2" w:rsidRDefault="00CC3FFA" w:rsidP="00E373B2">
      <w:pPr>
        <w:ind w:leftChars="200" w:left="420"/>
        <w:outlineLvl w:val="1"/>
        <w:rPr>
          <w:rFonts w:ascii="楷体" w:eastAsia="楷体" w:hAnsi="楷体"/>
          <w:b/>
          <w:color w:val="000000" w:themeColor="text1"/>
          <w:sz w:val="24"/>
          <w:szCs w:val="24"/>
        </w:rPr>
      </w:pPr>
      <w:bookmarkStart w:id="38" w:name="_Toc137027357"/>
      <w:r>
        <w:rPr>
          <w:rFonts w:ascii="楷体" w:eastAsia="楷体" w:hAnsi="楷体" w:hint="eastAsia"/>
          <w:b/>
          <w:color w:val="000000" w:themeColor="text1"/>
          <w:sz w:val="24"/>
          <w:szCs w:val="24"/>
        </w:rPr>
        <w:t>聚烯烃：</w:t>
      </w:r>
      <w:r w:rsidR="007C2FD2" w:rsidRPr="007C2FD2">
        <w:rPr>
          <w:rFonts w:ascii="楷体" w:eastAsia="楷体" w:hAnsi="楷体" w:hint="eastAsia"/>
          <w:b/>
          <w:color w:val="000000" w:themeColor="text1"/>
          <w:sz w:val="24"/>
          <w:szCs w:val="24"/>
        </w:rPr>
        <w:t>下游需求未见好转，聚烯烃或偏弱整理</w:t>
      </w:r>
      <w:bookmarkEnd w:id="38"/>
    </w:p>
    <w:p w:rsidR="003F56A5" w:rsidRDefault="007C2FD2">
      <w:pPr>
        <w:ind w:leftChars="300" w:left="630"/>
        <w:rPr>
          <w:rFonts w:ascii="楷体" w:eastAsia="楷体" w:hAnsi="楷体"/>
          <w:bCs/>
          <w:sz w:val="24"/>
          <w:szCs w:val="24"/>
        </w:rPr>
      </w:pPr>
      <w:r w:rsidRPr="007C2FD2">
        <w:rPr>
          <w:rFonts w:ascii="楷体" w:eastAsia="楷体" w:hAnsi="楷体" w:hint="eastAsia"/>
          <w:color w:val="000000" w:themeColor="text1"/>
          <w:sz w:val="24"/>
          <w:szCs w:val="24"/>
        </w:rPr>
        <w:t>近期聚烯烃窄幅波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对全球经济增长放缓可能减少能源需求的担忧超过了沙特进一步减产的承诺的影响，国际油价回跌；需求方面，PE下游方面，农膜整体需求平平，工厂生产清淡。棚膜工厂多停机检修；PP下游方面，BOPP市场成交刚需有量，整体量较上一交易日增加，BOPP企业未交付订单多数在一周以内，个别可至6月下旬。综合来看，PE方面，原油成本端价格回落，对聚乙烯成本面支撑减弱；供应端虽然近期检修装置较多，供应压力出现一定缓解现象。但需求端并未有明显的改善，仍旧处于疲软态势。综上所述，预计聚乙烯窄幅偏弱整理为主。PP方面，国际油价下跌，成本支撑走弱，前期检修装置陆续重启，装置减损量小幅回落，产能利用率上涨，叠加新增产能即将投产放量，供应压力增大，下游需求复苏弱于市场预期，缺乏新订单，利润缩减压制下开工负荷显著降低，供大于求的局面难破。预计今日市场偏弱震荡整理</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37027358"/>
      <w:r>
        <w:rPr>
          <w:rFonts w:ascii="楷体" w:eastAsia="楷体" w:hAnsi="楷体" w:hint="eastAsia"/>
          <w:b/>
          <w:color w:val="000000" w:themeColor="text1"/>
          <w:sz w:val="24"/>
          <w:szCs w:val="24"/>
        </w:rPr>
        <w:t>MEG：</w:t>
      </w:r>
      <w:r w:rsidR="00EC4D59" w:rsidRPr="00EC4D59">
        <w:rPr>
          <w:rFonts w:ascii="楷体" w:eastAsia="楷体" w:hAnsi="楷体" w:hint="eastAsia"/>
          <w:b/>
          <w:color w:val="000000" w:themeColor="text1"/>
          <w:sz w:val="24"/>
          <w:szCs w:val="24"/>
        </w:rPr>
        <w:t>估值偏低及聚酯开工高位维持 关注阶段性低多机会</w:t>
      </w:r>
      <w:bookmarkEnd w:id="39"/>
    </w:p>
    <w:p w:rsidR="003F56A5" w:rsidRDefault="00EC4D59" w:rsidP="00115EEA">
      <w:pPr>
        <w:ind w:leftChars="300" w:left="630"/>
        <w:rPr>
          <w:rFonts w:ascii="楷体" w:eastAsia="楷体" w:hAnsi="楷体"/>
          <w:color w:val="000000" w:themeColor="text1"/>
          <w:sz w:val="24"/>
          <w:szCs w:val="24"/>
        </w:rPr>
      </w:pPr>
      <w:r w:rsidRPr="00EC4D59">
        <w:rPr>
          <w:rFonts w:ascii="楷体" w:eastAsia="楷体" w:hAnsi="楷体" w:hint="eastAsia"/>
          <w:color w:val="000000" w:themeColor="text1"/>
          <w:sz w:val="24"/>
          <w:szCs w:val="24"/>
        </w:rPr>
        <w:t>供需情况，6.5华东主港地区MEG港口库存约102.2万吨附近，环比上期累库1万吨。截至6月1日，中国大陆地区乙二醇整体开工负荷在54.52%（+1.60%），其中煤制乙二醇开工负荷在59.04%（+5.59%）。近期乙二醇开</w:t>
      </w:r>
      <w:r w:rsidRPr="00EC4D59">
        <w:rPr>
          <w:rFonts w:ascii="楷体" w:eastAsia="楷体" w:hAnsi="楷体" w:hint="eastAsia"/>
          <w:color w:val="000000" w:themeColor="text1"/>
          <w:sz w:val="24"/>
          <w:szCs w:val="24"/>
        </w:rPr>
        <w:lastRenderedPageBreak/>
        <w:t>工率回升至54%偏上，后续仍有提升空间。新装置三江石化新装置投产较为顺利，预计下月将维持偏高负荷运行。进口方面来看，本周起随着美国货以及伊朗货陆续抵港，乙二醇主港到货量将逐步增加。聚酯需求端来看，截止6.1， 初步核算国内大陆地区聚酯负荷在92.2%高位附近。终端方面，上周江浙终端开工率局部调整，江浙加弹综合开工率83%(+1%)，江浙织机综合开工率74%(+1%），江浙印染综合开工率77%（-1%）。展望后市，前期停车装置多以短停检修为主，近期开工率已从低点恢复。且乙二醇海外供应逐步增量中，预计6-7月乙二醇进口增量8-10万吨左右，后续供应压力增加。但随着成本端油煤天然气企稳，EG低估值重心抬升叠加聚酯开工高位维持，把阶段性低多机会。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0" w:name="_Toc137027359"/>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EC4D59" w:rsidRPr="00EC4D59">
        <w:rPr>
          <w:rFonts w:ascii="楷体" w:eastAsia="楷体" w:hAnsi="楷体" w:hint="eastAsia"/>
          <w:b/>
          <w:color w:val="000000" w:themeColor="text1"/>
          <w:sz w:val="24"/>
          <w:szCs w:val="24"/>
        </w:rPr>
        <w:t>宏观消息反复扰动，下游观望情绪渐浓</w:t>
      </w:r>
      <w:bookmarkEnd w:id="40"/>
    </w:p>
    <w:p w:rsidR="00A71A7E" w:rsidRDefault="00EC4D59" w:rsidP="0079299D">
      <w:pPr>
        <w:ind w:leftChars="300" w:left="630"/>
        <w:rPr>
          <w:rFonts w:ascii="楷体" w:eastAsia="楷体" w:hAnsi="楷体"/>
          <w:color w:val="000000" w:themeColor="text1"/>
          <w:sz w:val="24"/>
          <w:szCs w:val="24"/>
        </w:rPr>
      </w:pPr>
      <w:r w:rsidRPr="00EC4D59">
        <w:rPr>
          <w:rFonts w:ascii="楷体" w:eastAsia="楷体" w:hAnsi="楷体" w:hint="eastAsia"/>
          <w:color w:val="000000" w:themeColor="text1"/>
          <w:sz w:val="24"/>
          <w:szCs w:val="24"/>
        </w:rPr>
        <w:t>今日浮法玻璃现货价格2038元/吨，较上交易日持平。近期楼市政策消息反复扰动，日内和日间波动加剧。基本面上，供给端开工上行，东台中玻1线600吨昨日点火。需求端，沙河5mm大板价格趋稳，小板价格弱势整理。综合产销较昨日有所回落，下游加工厂保持观望，以刚需采购为主。基本面变化不大，以稳价为主。短期预计盘面受消息扰动或有反复，市场进入震荡行情，等待供需矛盾进一步积累</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37027360"/>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EC4D59" w:rsidRPr="00EC4D59">
        <w:rPr>
          <w:rFonts w:ascii="楷体" w:eastAsia="楷体" w:hAnsi="楷体" w:hint="eastAsia"/>
          <w:b/>
          <w:color w:val="000000" w:themeColor="text1"/>
          <w:sz w:val="24"/>
          <w:szCs w:val="24"/>
        </w:rPr>
        <w:t>上下游博弈，基本面趋稳</w:t>
      </w:r>
      <w:bookmarkEnd w:id="41"/>
    </w:p>
    <w:p w:rsidR="00A71A7E" w:rsidRDefault="00EC4D59" w:rsidP="00A71A7E">
      <w:pPr>
        <w:ind w:leftChars="300" w:left="630"/>
        <w:rPr>
          <w:rFonts w:ascii="楷体" w:eastAsia="楷体" w:hAnsi="楷体"/>
          <w:bCs/>
          <w:sz w:val="24"/>
          <w:szCs w:val="24"/>
        </w:rPr>
      </w:pPr>
      <w:r w:rsidRPr="00EC4D59">
        <w:rPr>
          <w:rFonts w:ascii="楷体" w:eastAsia="楷体" w:hAnsi="楷体" w:hint="eastAsia"/>
          <w:color w:val="000000" w:themeColor="text1"/>
          <w:sz w:val="24"/>
          <w:szCs w:val="24"/>
        </w:rPr>
        <w:t>国内纯碱市场走势稳中上行，西北西南地区价格上调20-50。供给端装置运行近期稳定，暂无新增检修计划，需求端有所好转，新增待发订单量增多，出货好转，现货止跌。下游刚需采购量有所增加。盘面09合约再次冲高回落，扩产明确情况下，下游对涨价敏感，对高价碱采购意愿低但碱厂挺价意愿强烈，上下游进入拉锯战。预计近期延续震荡。下一阶段重点关注：1.下游需求情况，2.装置检修落地，3.宏观政策预期</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2" w:name="_Toc13702736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3"/>
      <w:bookmarkEnd w:id="42"/>
    </w:p>
    <w:p w:rsidR="003F56A5" w:rsidRDefault="00147B03">
      <w:pPr>
        <w:ind w:leftChars="200" w:left="420"/>
        <w:outlineLvl w:val="1"/>
        <w:rPr>
          <w:rFonts w:ascii="楷体" w:eastAsia="楷体" w:hAnsi="楷体"/>
          <w:b/>
          <w:sz w:val="24"/>
          <w:szCs w:val="24"/>
        </w:rPr>
      </w:pPr>
      <w:bookmarkStart w:id="43" w:name="_Toc137027362"/>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EC4D59" w:rsidRPr="00EC4D59">
        <w:rPr>
          <w:rFonts w:ascii="楷体" w:eastAsia="楷体" w:hAnsi="楷体" w:hint="eastAsia"/>
          <w:b/>
          <w:sz w:val="24"/>
          <w:szCs w:val="24"/>
        </w:rPr>
        <w:t>天气市开启，对豆粕构成支撑</w:t>
      </w:r>
      <w:bookmarkEnd w:id="43"/>
    </w:p>
    <w:p w:rsidR="003F56A5" w:rsidRDefault="00EC4D59">
      <w:pPr>
        <w:ind w:leftChars="300" w:left="630"/>
        <w:rPr>
          <w:rFonts w:ascii="楷体" w:eastAsia="楷体" w:hAnsi="楷体"/>
          <w:sz w:val="24"/>
          <w:szCs w:val="24"/>
        </w:rPr>
      </w:pPr>
      <w:r w:rsidRPr="00EC4D59">
        <w:rPr>
          <w:rFonts w:ascii="楷体" w:eastAsia="楷体" w:hAnsi="楷体" w:hint="eastAsia"/>
          <w:sz w:val="24"/>
          <w:szCs w:val="24"/>
        </w:rPr>
        <w:t>国际方面，受助于美国中西部地区干旱天气炒作以及陈豆供应紧张等影响，美豆期价及内盘期价构成支撑。但为天气炒作初期，不确定仍存，需持续关注。截至6月4日，美国大豆种植率为91%，低于市场预期的92%，去年同期为76%，五年均值为76%。大豆优良率为62%，低于市场预期的65%。巴西当前收割进入尾声，当前大豆价格仍存性价比，对华排船量也维持高位。国内市场，因5月初国内入关检验问题，大豆到厂时间延长，油厂开机不及预期，但随着当前大豆到港量增加，油厂已逐步恢复开机压榨，昨日主流油厂豆粕现货报价有所企稳。大豆4-6月整体供给较宽松，阶段性供应压力仍待释放，关注大豆到厂进度及后续油厂开工情况。下游养殖利润表现仍不佳，且在杂粕替代下饲企和养殖企业等对豆粕饲用需求增量有限，现货基差面临着下行压力。菜粕当前供给相对偏紧，虽油厂开机及压榨维持较高水平，但菜籽二季度后到港预计减少。而需求方面在近期天气逐步回暖后，华南水产需求启动，替代需求方面，豆粕价格企稳，菜粕性</w:t>
      </w:r>
      <w:r w:rsidRPr="00EC4D59">
        <w:rPr>
          <w:rFonts w:ascii="楷体" w:eastAsia="楷体" w:hAnsi="楷体" w:hint="eastAsia"/>
          <w:sz w:val="24"/>
          <w:szCs w:val="24"/>
        </w:rPr>
        <w:lastRenderedPageBreak/>
        <w:t>价比仍存，整体供需表现紧张。策略方面，虽进口大豆增加是现实，但当前高基差仍对盘面构成支撑，建议豆粕仍可在3300-3550区间逢高空，菜粕维持区间上沿震荡</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4" w:name="_Toc137027363"/>
      <w:r>
        <w:rPr>
          <w:rFonts w:ascii="楷体" w:eastAsia="楷体" w:hAnsi="楷体" w:hint="eastAsia"/>
          <w:b/>
          <w:color w:val="000000" w:themeColor="text1"/>
          <w:sz w:val="24"/>
          <w:szCs w:val="24"/>
        </w:rPr>
        <w:t>油脂：</w:t>
      </w:r>
      <w:r w:rsidR="00EC4D59" w:rsidRPr="00EC4D59">
        <w:rPr>
          <w:rFonts w:ascii="楷体" w:eastAsia="楷体" w:hAnsi="楷体" w:hint="eastAsia"/>
          <w:b/>
          <w:sz w:val="24"/>
          <w:szCs w:val="24"/>
        </w:rPr>
        <w:t>缺乏驱动，反弹乏力</w:t>
      </w:r>
      <w:bookmarkEnd w:id="44"/>
    </w:p>
    <w:p w:rsidR="003F56A5" w:rsidRDefault="00EC4D59" w:rsidP="00792D31">
      <w:pPr>
        <w:ind w:leftChars="300" w:left="630"/>
        <w:rPr>
          <w:rFonts w:ascii="楷体" w:eastAsia="楷体" w:hAnsi="楷体"/>
          <w:sz w:val="24"/>
          <w:szCs w:val="24"/>
        </w:rPr>
      </w:pPr>
      <w:r w:rsidRPr="00EC4D59">
        <w:rPr>
          <w:rFonts w:ascii="楷体" w:eastAsia="楷体" w:hAnsi="楷体" w:hint="eastAsia"/>
          <w:sz w:val="24"/>
          <w:szCs w:val="24"/>
        </w:rPr>
        <w:t>在市场利多情绪消化后，叠加基本面供需平衡格局未改变，油脂价格缺乏进一步向上的驱动。棕榈油，马棕5月产量将呈现季节性回升，出口因棕榈油价格在国际市场性价比较低而受抑，同时5月印尼出口放开后抑制马来棕榈油出口，也限制了棕榈油上方空间。其次，产地棕榈油fob报价持续走弱，对成本端构成压力。国内棕榈油在需求增加及进口下滑下，库存稳步去化。但在近期产地报价下滑，国内进口利润逐步修复，6月船期买船增加，后续累库有望放缓。需求端，随着气温回升虽利好棕榈油消费，但豆棕价差收窄影响棕榈油掺混需求。豆油在供应修复预期下，压力仍存。虽5月初在大豆入关问题下，油厂开机不及预期，豆油供给修复缓慢。但随着5月下旬进口大豆到港增加，豆油供应存边际修复预期。需求，近期因豆棕价差收窄，豆油成交好转，但在后续供应增加下，价格上方仍存压。菜油处于供强需弱格局。随着进口加籽到港量维持高位，菜籽供应较稳定，4月菜籽进口60万吨，菜油进口31万吨，环比同比均增，且近期菜油进口利润打开，有新增买船，菜油供应较宽松。需求方面，在地域饮食偏好下整体增量有限，而替代需求仍需看到明显价格优势。油脂反弹持续待观望，中期难出现大幅反弹，预计上方空间有限，建议反弹沽空</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5" w:name="_Toc137027364"/>
      <w:r>
        <w:rPr>
          <w:rFonts w:ascii="楷体" w:eastAsia="楷体" w:hAnsi="楷体" w:hint="eastAsia"/>
          <w:b/>
          <w:bCs/>
          <w:color w:val="000000" w:themeColor="text1"/>
        </w:rPr>
        <w:t>玉米与淀粉：</w:t>
      </w:r>
      <w:r w:rsidR="00EC4D59" w:rsidRPr="00EC4D59">
        <w:rPr>
          <w:rFonts w:ascii="楷体" w:eastAsia="楷体" w:hAnsi="楷体" w:hint="eastAsia"/>
          <w:b/>
        </w:rPr>
        <w:t>小麦上市压力带动期价震荡调整</w:t>
      </w:r>
      <w:bookmarkEnd w:id="45"/>
    </w:p>
    <w:p w:rsidR="00EC4D59" w:rsidRPr="00EC4D59" w:rsidRDefault="00EC4D59" w:rsidP="00EC4D59">
      <w:pPr>
        <w:pStyle w:val="paragraph"/>
        <w:spacing w:before="60" w:after="60"/>
        <w:ind w:leftChars="300" w:left="630"/>
        <w:rPr>
          <w:rFonts w:ascii="楷体" w:eastAsia="楷体" w:hAnsi="楷体" w:hint="eastAsia"/>
        </w:rPr>
      </w:pPr>
      <w:r w:rsidRPr="00EC4D59">
        <w:rPr>
          <w:rFonts w:ascii="楷体" w:eastAsia="楷体" w:hAnsi="楷体" w:hint="eastAsia"/>
        </w:rPr>
        <w:t>对于玉米而言，受国内小麦止跌回升及外盘触底反弹带动，国内玉米市场趋于乐观，直观体现在华北-东北玉米价差和产销区玉米价差上，市场也逐步转向年度产需缺口问题，这需要关注接下来新作小麦特别是芽麦上市压力，及其后续陈化水稻抛储政策。我们建议继续关注两个方面的上涨驱动，其一是新作单产前景的变数，其二是旧作被动补库存，因当前下游需求企业如饲料养殖企业与华北深加工企业原料库存偏低，而产销区倒挂大概率带动渠道库存去化。</w:t>
      </w:r>
    </w:p>
    <w:p w:rsidR="003F56A5" w:rsidRDefault="00EC4D59" w:rsidP="00EC4D59">
      <w:pPr>
        <w:pStyle w:val="paragraph"/>
        <w:spacing w:before="60" w:beforeAutospacing="0" w:after="60" w:afterAutospacing="0"/>
        <w:ind w:leftChars="300" w:left="630"/>
        <w:rPr>
          <w:rFonts w:ascii="楷体" w:eastAsia="楷体" w:hAnsi="楷体"/>
        </w:rPr>
      </w:pPr>
      <w:r w:rsidRPr="00EC4D59">
        <w:rPr>
          <w:rFonts w:ascii="楷体" w:eastAsia="楷体" w:hAnsi="楷体" w:hint="eastAsia"/>
        </w:rPr>
        <w:t>对于淀粉而言，近期淀粉-玉米价差环比小幅收窄，多数合约价差维持在300一线徘徊，在我们看来，主要源于市场对华北玉米原料成本的担忧，因小麦饲用替代或导致华北玉米相对更为弱势，但实际市场所反映出来的是华北-东北玉米价差走扩。在这种情况下，我们维持前期判断，继续认为市场各方面因素诸如基差、原料成本、行业供需和副产品价格均支持价差继续走扩。在这种情况下，我们建议持有前期价差走扩套利，激进投资者可以考虑持有单边多单</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6" w:name="_Toc137027365"/>
      <w:r>
        <w:rPr>
          <w:rFonts w:ascii="楷体" w:eastAsia="楷体" w:hAnsi="楷体" w:hint="eastAsia"/>
          <w:b/>
          <w:bCs/>
          <w:color w:val="000000" w:themeColor="text1"/>
        </w:rPr>
        <w:t>畜禽养殖：</w:t>
      </w:r>
      <w:r w:rsidR="00EC4D59" w:rsidRPr="00EC4D59">
        <w:rPr>
          <w:rFonts w:ascii="楷体" w:eastAsia="楷体" w:hAnsi="楷体" w:hint="eastAsia"/>
          <w:b/>
          <w:bCs/>
          <w:color w:val="000000" w:themeColor="text1"/>
        </w:rPr>
        <w:t>期价近弱远强分化运行</w:t>
      </w:r>
      <w:bookmarkEnd w:id="46"/>
    </w:p>
    <w:p w:rsidR="00EC4D59" w:rsidRPr="00EC4D59" w:rsidRDefault="00EC4D59" w:rsidP="00EC4D59">
      <w:pPr>
        <w:pStyle w:val="paragraph"/>
        <w:spacing w:before="60" w:after="60"/>
        <w:ind w:leftChars="300" w:left="630"/>
        <w:rPr>
          <w:rFonts w:ascii="楷体" w:eastAsia="楷体" w:hAnsi="楷体" w:hint="eastAsia"/>
        </w:rPr>
      </w:pPr>
      <w:r w:rsidRPr="00EC4D59">
        <w:rPr>
          <w:rFonts w:ascii="楷体" w:eastAsia="楷体" w:hAnsi="楷体" w:hint="eastAsia"/>
        </w:rPr>
        <w:t>对于生猪而言，在前期报告中我们指出，3月以来现货表现不及我们之前预期，问题出在供应量，集中在两个方面，其一是春节前堆积的供应</w:t>
      </w:r>
      <w:r w:rsidRPr="00EC4D59">
        <w:rPr>
          <w:rFonts w:ascii="楷体" w:eastAsia="楷体" w:hAnsi="楷体" w:hint="eastAsia"/>
        </w:rPr>
        <w:lastRenderedPageBreak/>
        <w:t>量，其二是节前仔猪带来的生猪出栏量。各机构数据显示年后以来供应持续去化，更为重要的是，考虑到去年四季度以来生猪价格下跌和春季前后非瘟疫情导致的仔猪供应下滑，对应后期生猪供应有望阶段性下滑，有望带动生猪价格出现阶段性上涨。对于期价而言，由于5月以来期价持续震荡下行，带动近月合约基差持续走强，这意味期价逐步挤出升水，目前7月和9月合约均低于生猪养殖成本，远月合约亦仅略高于养殖成本线，再加上国家收储政策的潜在支撑，我们倾向于期价下方空间或有限，维持谨慎看多观点，建议择机入场。</w:t>
      </w:r>
    </w:p>
    <w:p w:rsidR="003F56A5" w:rsidRDefault="00EC4D59" w:rsidP="00EC4D59">
      <w:pPr>
        <w:pStyle w:val="paragraph"/>
        <w:spacing w:before="60" w:beforeAutospacing="0" w:after="60" w:afterAutospacing="0"/>
        <w:ind w:leftChars="300" w:left="630"/>
        <w:rPr>
          <w:rFonts w:ascii="楷体" w:eastAsia="楷体" w:hAnsi="楷体"/>
        </w:rPr>
      </w:pPr>
      <w:r w:rsidRPr="00EC4D59">
        <w:rPr>
          <w:rFonts w:ascii="楷体" w:eastAsia="楷体" w:hAnsi="楷体" w:hint="eastAsia"/>
        </w:rPr>
        <w:t>对于鸡蛋而言，当前市场的主要矛盾体现在高基差上，之前市场的预期存在合理性，因节后以来鸡蛋价格和蛋鸡养殖利润处于同期高位水平，带动养殖户补栏积极性上涨，市场据此预计远期供需有望趋于改善，使得远月期价持续下跌。但5月以来，随着鸡蛋现货价格的下跌，蛋鸡养殖利润亦有显著下滑，带动养殖户补栏积极性下滑，与此同时，养殖户淘汰积极性上升，这会导致市场之前的供需改善预期存在较大变数。此外，9月合约一度跌至4070左右，这接近于博亚和讯测算的鸡蛋养殖成本线，考虑到9月处于季节性旺季，供需之外还有季节性规律。我们倾向于鸡蛋期价下方空间或有限，维持谨慎看多观点，建议谨慎投资者观望，激进投资者可以考虑轻仓做多，以去年8月低点作为止损</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7" w:name="_Toc137027366"/>
      <w:r>
        <w:rPr>
          <w:rFonts w:ascii="楷体" w:eastAsia="楷体" w:hAnsi="楷体" w:hint="eastAsia"/>
          <w:b/>
          <w:sz w:val="24"/>
          <w:szCs w:val="24"/>
        </w:rPr>
        <w:t>郑棉：</w:t>
      </w:r>
      <w:r w:rsidR="00EC4D59" w:rsidRPr="00EC4D59">
        <w:rPr>
          <w:rFonts w:ascii="楷体" w:eastAsia="楷体" w:hAnsi="楷体" w:hint="eastAsia"/>
          <w:b/>
          <w:sz w:val="24"/>
          <w:szCs w:val="24"/>
        </w:rPr>
        <w:t>预计09合约震荡偏弱，反套持有</w:t>
      </w:r>
      <w:bookmarkEnd w:id="47"/>
    </w:p>
    <w:p w:rsidR="003F56A5" w:rsidRDefault="00EC4D59" w:rsidP="007B3290">
      <w:pPr>
        <w:ind w:leftChars="300" w:left="630"/>
        <w:rPr>
          <w:rFonts w:ascii="楷体" w:eastAsia="楷体" w:hAnsi="楷体"/>
          <w:sz w:val="24"/>
          <w:szCs w:val="24"/>
        </w:rPr>
      </w:pPr>
      <w:r w:rsidRPr="00EC4D59">
        <w:rPr>
          <w:rFonts w:ascii="楷体" w:eastAsia="楷体" w:hAnsi="楷体" w:hint="eastAsia"/>
          <w:sz w:val="24"/>
          <w:szCs w:val="24"/>
        </w:rPr>
        <w:t>市场传闻新疆库存低于预期，且纺织企业下游订单好并在市场上大量扫货。同时，由于种植面积同比大减，以及前期种植天气不佳，叠加轧花厂产能依然过剩，市场对后期郑棉价格重心上移有较为一致的预期。虽然从绝对值角度考虑，当前郑棉供需并不紧张。但资金推动和预期炒作下，棉花提前大涨，和商品的比值开始进一步回归。多头势头强劲，预计产业即将普遍进入亏损状态。淡季来临，部分纺织大厂接单据闻可达8月，但中小企业订单衰减明显。对近日郑棉的上涨，产业观望心态浓郁</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8" w:name="_Toc71212556"/>
      <w:bookmarkStart w:id="49" w:name="_Toc19667"/>
      <w:bookmarkStart w:id="50" w:name="_Toc98426751"/>
      <w:bookmarkStart w:id="51" w:name="_Toc12779"/>
      <w:bookmarkStart w:id="52" w:name="_Toc72481108"/>
      <w:r>
        <w:rPr>
          <w:rFonts w:ascii="Times New Roman" w:eastAsia="楷体" w:hAnsi="Times New Roman"/>
          <w:b/>
          <w:color w:val="411D05"/>
          <w:sz w:val="30"/>
          <w:szCs w:val="30"/>
        </w:rPr>
        <w:lastRenderedPageBreak/>
        <w:t>免责声明</w:t>
      </w:r>
      <w:bookmarkEnd w:id="48"/>
      <w:bookmarkEnd w:id="49"/>
      <w:bookmarkEnd w:id="50"/>
      <w:bookmarkEnd w:id="51"/>
      <w:bookmarkEnd w:id="52"/>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1"/>
      <w:footerReference w:type="first" r:id="rId12"/>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B95" w:rsidRDefault="00E32B95">
      <w:r>
        <w:separator/>
      </w:r>
    </w:p>
  </w:endnote>
  <w:endnote w:type="continuationSeparator" w:id="0">
    <w:p w:rsidR="00E32B95" w:rsidRDefault="00E32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6BD693CD" wp14:editId="21F11CFB">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73EE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297A1B">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297A1B">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B95" w:rsidRDefault="00E32B95">
      <w:r>
        <w:separator/>
      </w:r>
    </w:p>
  </w:footnote>
  <w:footnote w:type="continuationSeparator" w:id="0">
    <w:p w:rsidR="00E32B95" w:rsidRDefault="00E32B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pPr>
    <w:r>
      <w:rPr>
        <w:noProof/>
      </w:rPr>
      <w:drawing>
        <wp:anchor distT="0" distB="0" distL="114300" distR="114300" simplePos="0" relativeHeight="251659264" behindDoc="0" locked="0" layoutInCell="1" allowOverlap="1" wp14:anchorId="51CB7074" wp14:editId="04A5E889">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4"/>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39F18640" wp14:editId="01B82084">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4"/>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EC4D59">
      <w:rPr>
        <w:rFonts w:ascii="Times New Roman" w:eastAsia="楷体" w:hAnsi="Times New Roman" w:hint="eastAsia"/>
        <w:b/>
        <w:bCs/>
        <w:noProof/>
        <w:color w:val="833C0B"/>
        <w:sz w:val="21"/>
      </w:rPr>
      <w:t>2023</w:t>
    </w:r>
    <w:r w:rsidR="00EC4D59">
      <w:rPr>
        <w:rFonts w:ascii="Times New Roman" w:eastAsia="楷体" w:hAnsi="Times New Roman" w:hint="eastAsia"/>
        <w:b/>
        <w:bCs/>
        <w:noProof/>
        <w:color w:val="833C0B"/>
        <w:sz w:val="21"/>
      </w:rPr>
      <w:t>年</w:t>
    </w:r>
    <w:r w:rsidR="00EC4D59">
      <w:rPr>
        <w:rFonts w:ascii="Times New Roman" w:eastAsia="楷体" w:hAnsi="Times New Roman" w:hint="eastAsia"/>
        <w:b/>
        <w:bCs/>
        <w:noProof/>
        <w:color w:val="833C0B"/>
        <w:sz w:val="21"/>
      </w:rPr>
      <w:t>6</w:t>
    </w:r>
    <w:r w:rsidR="00EC4D59">
      <w:rPr>
        <w:rFonts w:ascii="Times New Roman" w:eastAsia="楷体" w:hAnsi="Times New Roman" w:hint="eastAsia"/>
        <w:b/>
        <w:bCs/>
        <w:noProof/>
        <w:color w:val="833C0B"/>
        <w:sz w:val="21"/>
      </w:rPr>
      <w:t>月</w:t>
    </w:r>
    <w:r w:rsidR="00EC4D59">
      <w:rPr>
        <w:rFonts w:ascii="Times New Roman" w:eastAsia="楷体" w:hAnsi="Times New Roman" w:hint="eastAsia"/>
        <w:b/>
        <w:bCs/>
        <w:noProof/>
        <w:color w:val="833C0B"/>
        <w:sz w:val="21"/>
      </w:rPr>
      <w:t>7</w:t>
    </w:r>
    <w:r w:rsidR="00EC4D59">
      <w:rPr>
        <w:rFonts w:ascii="Times New Roman" w:eastAsia="楷体" w:hAnsi="Times New Roman" w:hint="eastAsia"/>
        <w:b/>
        <w:bCs/>
        <w:noProof/>
        <w:color w:val="833C0B"/>
        <w:sz w:val="21"/>
      </w:rPr>
      <w:t>日星期三</w:t>
    </w:r>
    <w:r>
      <w:rPr>
        <w:rFonts w:ascii="Times New Roman" w:eastAsia="楷体" w:hAnsi="Times New Roman"/>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0B6C"/>
    <w:rsid w:val="0005286B"/>
    <w:rsid w:val="0005726F"/>
    <w:rsid w:val="00072EAA"/>
    <w:rsid w:val="00076420"/>
    <w:rsid w:val="000820C6"/>
    <w:rsid w:val="00096258"/>
    <w:rsid w:val="000A413E"/>
    <w:rsid w:val="000B0648"/>
    <w:rsid w:val="000B4E70"/>
    <w:rsid w:val="000D36DC"/>
    <w:rsid w:val="000D42E2"/>
    <w:rsid w:val="000D7CF0"/>
    <w:rsid w:val="000E03FC"/>
    <w:rsid w:val="000E0C15"/>
    <w:rsid w:val="000E4EEB"/>
    <w:rsid w:val="00115EEA"/>
    <w:rsid w:val="00117470"/>
    <w:rsid w:val="00120B1F"/>
    <w:rsid w:val="00147668"/>
    <w:rsid w:val="00147B03"/>
    <w:rsid w:val="0015047B"/>
    <w:rsid w:val="001801C4"/>
    <w:rsid w:val="001942CB"/>
    <w:rsid w:val="001945E9"/>
    <w:rsid w:val="001A3E49"/>
    <w:rsid w:val="001B179D"/>
    <w:rsid w:val="001B1904"/>
    <w:rsid w:val="001B25C9"/>
    <w:rsid w:val="001B2D4C"/>
    <w:rsid w:val="001B6043"/>
    <w:rsid w:val="001B6394"/>
    <w:rsid w:val="001C2E87"/>
    <w:rsid w:val="001C77D0"/>
    <w:rsid w:val="001D1F0A"/>
    <w:rsid w:val="001D40EA"/>
    <w:rsid w:val="001D4474"/>
    <w:rsid w:val="001F5438"/>
    <w:rsid w:val="002074A1"/>
    <w:rsid w:val="00216C1E"/>
    <w:rsid w:val="00226406"/>
    <w:rsid w:val="00230DB7"/>
    <w:rsid w:val="00235529"/>
    <w:rsid w:val="00244CA3"/>
    <w:rsid w:val="0025590B"/>
    <w:rsid w:val="00267FFD"/>
    <w:rsid w:val="00282262"/>
    <w:rsid w:val="00285297"/>
    <w:rsid w:val="00291461"/>
    <w:rsid w:val="002951EB"/>
    <w:rsid w:val="00297A1B"/>
    <w:rsid w:val="002A0670"/>
    <w:rsid w:val="002A6C89"/>
    <w:rsid w:val="002B2257"/>
    <w:rsid w:val="002B32AE"/>
    <w:rsid w:val="002C73FE"/>
    <w:rsid w:val="002F075C"/>
    <w:rsid w:val="002F545E"/>
    <w:rsid w:val="002F6AD1"/>
    <w:rsid w:val="002F7810"/>
    <w:rsid w:val="003230A0"/>
    <w:rsid w:val="00323550"/>
    <w:rsid w:val="0033167B"/>
    <w:rsid w:val="00332F22"/>
    <w:rsid w:val="0033644D"/>
    <w:rsid w:val="003416C2"/>
    <w:rsid w:val="00341727"/>
    <w:rsid w:val="003471F4"/>
    <w:rsid w:val="00357545"/>
    <w:rsid w:val="00370D25"/>
    <w:rsid w:val="00371ED6"/>
    <w:rsid w:val="00374836"/>
    <w:rsid w:val="00375F0B"/>
    <w:rsid w:val="00376AF1"/>
    <w:rsid w:val="003953FD"/>
    <w:rsid w:val="003A1F3C"/>
    <w:rsid w:val="003A3DB4"/>
    <w:rsid w:val="003C54F5"/>
    <w:rsid w:val="003C5F91"/>
    <w:rsid w:val="003D3A9E"/>
    <w:rsid w:val="003F2424"/>
    <w:rsid w:val="003F56A5"/>
    <w:rsid w:val="004201F5"/>
    <w:rsid w:val="004230AC"/>
    <w:rsid w:val="00426AB5"/>
    <w:rsid w:val="00433C64"/>
    <w:rsid w:val="00440FBE"/>
    <w:rsid w:val="004427D1"/>
    <w:rsid w:val="004567BD"/>
    <w:rsid w:val="00461147"/>
    <w:rsid w:val="00484C53"/>
    <w:rsid w:val="00485A3F"/>
    <w:rsid w:val="00487F77"/>
    <w:rsid w:val="004977A9"/>
    <w:rsid w:val="004A382D"/>
    <w:rsid w:val="004A3F85"/>
    <w:rsid w:val="004A65B5"/>
    <w:rsid w:val="004B4D4D"/>
    <w:rsid w:val="004C11A7"/>
    <w:rsid w:val="004C5F3F"/>
    <w:rsid w:val="004E58A5"/>
    <w:rsid w:val="004E6093"/>
    <w:rsid w:val="005145ED"/>
    <w:rsid w:val="00533D1C"/>
    <w:rsid w:val="00535DC9"/>
    <w:rsid w:val="00540298"/>
    <w:rsid w:val="00541F3F"/>
    <w:rsid w:val="00547DD7"/>
    <w:rsid w:val="00551A8D"/>
    <w:rsid w:val="005523A5"/>
    <w:rsid w:val="00553DEC"/>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CE6"/>
    <w:rsid w:val="005F45A8"/>
    <w:rsid w:val="00606E2B"/>
    <w:rsid w:val="00610C41"/>
    <w:rsid w:val="0061390B"/>
    <w:rsid w:val="00615F78"/>
    <w:rsid w:val="00637F19"/>
    <w:rsid w:val="00641752"/>
    <w:rsid w:val="00650F05"/>
    <w:rsid w:val="0065454E"/>
    <w:rsid w:val="00657B01"/>
    <w:rsid w:val="00661BB3"/>
    <w:rsid w:val="00666DE4"/>
    <w:rsid w:val="006911F3"/>
    <w:rsid w:val="006A135D"/>
    <w:rsid w:val="006A5214"/>
    <w:rsid w:val="006A7A79"/>
    <w:rsid w:val="006B4A5D"/>
    <w:rsid w:val="006D21ED"/>
    <w:rsid w:val="00710028"/>
    <w:rsid w:val="007103A5"/>
    <w:rsid w:val="0072164F"/>
    <w:rsid w:val="007253E7"/>
    <w:rsid w:val="0072736C"/>
    <w:rsid w:val="007315D8"/>
    <w:rsid w:val="00743CFD"/>
    <w:rsid w:val="007664C1"/>
    <w:rsid w:val="00785519"/>
    <w:rsid w:val="007866A5"/>
    <w:rsid w:val="0079299D"/>
    <w:rsid w:val="00792D31"/>
    <w:rsid w:val="007952E9"/>
    <w:rsid w:val="007A410D"/>
    <w:rsid w:val="007A66FE"/>
    <w:rsid w:val="007B3290"/>
    <w:rsid w:val="007B4FCE"/>
    <w:rsid w:val="007C2FD2"/>
    <w:rsid w:val="007D29EC"/>
    <w:rsid w:val="007D4BBD"/>
    <w:rsid w:val="007F09BE"/>
    <w:rsid w:val="007F1327"/>
    <w:rsid w:val="007F140C"/>
    <w:rsid w:val="007F186E"/>
    <w:rsid w:val="0080612D"/>
    <w:rsid w:val="00806354"/>
    <w:rsid w:val="0080692E"/>
    <w:rsid w:val="00806F4A"/>
    <w:rsid w:val="00815011"/>
    <w:rsid w:val="00815817"/>
    <w:rsid w:val="00820D28"/>
    <w:rsid w:val="00822591"/>
    <w:rsid w:val="0083605E"/>
    <w:rsid w:val="00840F4E"/>
    <w:rsid w:val="00856132"/>
    <w:rsid w:val="008649BB"/>
    <w:rsid w:val="00867CA5"/>
    <w:rsid w:val="00873ECE"/>
    <w:rsid w:val="008740D4"/>
    <w:rsid w:val="0087785E"/>
    <w:rsid w:val="00892203"/>
    <w:rsid w:val="0089393F"/>
    <w:rsid w:val="008A0893"/>
    <w:rsid w:val="008A11C6"/>
    <w:rsid w:val="008A1D22"/>
    <w:rsid w:val="008B13D2"/>
    <w:rsid w:val="008B3268"/>
    <w:rsid w:val="008B361D"/>
    <w:rsid w:val="008C1554"/>
    <w:rsid w:val="008C3F42"/>
    <w:rsid w:val="008E2B15"/>
    <w:rsid w:val="008E33F3"/>
    <w:rsid w:val="008E3B84"/>
    <w:rsid w:val="008F229B"/>
    <w:rsid w:val="008F2A6E"/>
    <w:rsid w:val="00906E0C"/>
    <w:rsid w:val="00907943"/>
    <w:rsid w:val="00916E97"/>
    <w:rsid w:val="00920372"/>
    <w:rsid w:val="009260D3"/>
    <w:rsid w:val="009316EC"/>
    <w:rsid w:val="009317CD"/>
    <w:rsid w:val="00934728"/>
    <w:rsid w:val="009644D9"/>
    <w:rsid w:val="0097131C"/>
    <w:rsid w:val="009870E4"/>
    <w:rsid w:val="009A12FA"/>
    <w:rsid w:val="009A564D"/>
    <w:rsid w:val="009B3801"/>
    <w:rsid w:val="009B534D"/>
    <w:rsid w:val="009B591A"/>
    <w:rsid w:val="009C3E56"/>
    <w:rsid w:val="009C483C"/>
    <w:rsid w:val="009D2477"/>
    <w:rsid w:val="009D4A74"/>
    <w:rsid w:val="009D5253"/>
    <w:rsid w:val="009D5D79"/>
    <w:rsid w:val="009D64FE"/>
    <w:rsid w:val="009E0994"/>
    <w:rsid w:val="009E4452"/>
    <w:rsid w:val="009E7578"/>
    <w:rsid w:val="009F5C7B"/>
    <w:rsid w:val="00A031CE"/>
    <w:rsid w:val="00A04421"/>
    <w:rsid w:val="00A11A0D"/>
    <w:rsid w:val="00A22080"/>
    <w:rsid w:val="00A42079"/>
    <w:rsid w:val="00A63022"/>
    <w:rsid w:val="00A71A7E"/>
    <w:rsid w:val="00A776D7"/>
    <w:rsid w:val="00A91E48"/>
    <w:rsid w:val="00A96E37"/>
    <w:rsid w:val="00A97444"/>
    <w:rsid w:val="00AA186F"/>
    <w:rsid w:val="00AA29E5"/>
    <w:rsid w:val="00AB0678"/>
    <w:rsid w:val="00AC00CF"/>
    <w:rsid w:val="00AC52CB"/>
    <w:rsid w:val="00AC7794"/>
    <w:rsid w:val="00AC7ECD"/>
    <w:rsid w:val="00AD009F"/>
    <w:rsid w:val="00AF56FD"/>
    <w:rsid w:val="00AF5EA0"/>
    <w:rsid w:val="00B066DA"/>
    <w:rsid w:val="00B072C0"/>
    <w:rsid w:val="00B10135"/>
    <w:rsid w:val="00B118A2"/>
    <w:rsid w:val="00B133D0"/>
    <w:rsid w:val="00B15418"/>
    <w:rsid w:val="00B17165"/>
    <w:rsid w:val="00B1737C"/>
    <w:rsid w:val="00B1758C"/>
    <w:rsid w:val="00B17639"/>
    <w:rsid w:val="00B443CE"/>
    <w:rsid w:val="00B4555A"/>
    <w:rsid w:val="00B53C56"/>
    <w:rsid w:val="00B60464"/>
    <w:rsid w:val="00B606EF"/>
    <w:rsid w:val="00B618F8"/>
    <w:rsid w:val="00B72E2D"/>
    <w:rsid w:val="00B745CB"/>
    <w:rsid w:val="00B805BD"/>
    <w:rsid w:val="00B91D3D"/>
    <w:rsid w:val="00B94E7D"/>
    <w:rsid w:val="00BA4663"/>
    <w:rsid w:val="00BA696B"/>
    <w:rsid w:val="00BC5F45"/>
    <w:rsid w:val="00BC71D6"/>
    <w:rsid w:val="00BD4C85"/>
    <w:rsid w:val="00BE456E"/>
    <w:rsid w:val="00BF3137"/>
    <w:rsid w:val="00C02ECE"/>
    <w:rsid w:val="00C06AC7"/>
    <w:rsid w:val="00C13E0F"/>
    <w:rsid w:val="00C2031B"/>
    <w:rsid w:val="00C2080D"/>
    <w:rsid w:val="00C228D6"/>
    <w:rsid w:val="00C240C3"/>
    <w:rsid w:val="00C25562"/>
    <w:rsid w:val="00C265C5"/>
    <w:rsid w:val="00C43DDB"/>
    <w:rsid w:val="00C575E9"/>
    <w:rsid w:val="00C62202"/>
    <w:rsid w:val="00C6240E"/>
    <w:rsid w:val="00C66C6C"/>
    <w:rsid w:val="00C70FDD"/>
    <w:rsid w:val="00C82E4D"/>
    <w:rsid w:val="00C91234"/>
    <w:rsid w:val="00C93E36"/>
    <w:rsid w:val="00CA1C01"/>
    <w:rsid w:val="00CB0962"/>
    <w:rsid w:val="00CB1AC3"/>
    <w:rsid w:val="00CB1F18"/>
    <w:rsid w:val="00CB2FD2"/>
    <w:rsid w:val="00CB3015"/>
    <w:rsid w:val="00CC03C4"/>
    <w:rsid w:val="00CC3E40"/>
    <w:rsid w:val="00CC3FFA"/>
    <w:rsid w:val="00CC6C03"/>
    <w:rsid w:val="00CD5884"/>
    <w:rsid w:val="00CD5DE8"/>
    <w:rsid w:val="00CD70A0"/>
    <w:rsid w:val="00CE7903"/>
    <w:rsid w:val="00CF6C71"/>
    <w:rsid w:val="00CF7A9A"/>
    <w:rsid w:val="00D00D60"/>
    <w:rsid w:val="00D017E5"/>
    <w:rsid w:val="00D01A19"/>
    <w:rsid w:val="00D04FF1"/>
    <w:rsid w:val="00D1582A"/>
    <w:rsid w:val="00D309C4"/>
    <w:rsid w:val="00D45E53"/>
    <w:rsid w:val="00D47039"/>
    <w:rsid w:val="00D55EAF"/>
    <w:rsid w:val="00D63655"/>
    <w:rsid w:val="00D75630"/>
    <w:rsid w:val="00D842AA"/>
    <w:rsid w:val="00D86D76"/>
    <w:rsid w:val="00D87130"/>
    <w:rsid w:val="00D93E0B"/>
    <w:rsid w:val="00DA7546"/>
    <w:rsid w:val="00DE02C4"/>
    <w:rsid w:val="00DF1796"/>
    <w:rsid w:val="00DF270D"/>
    <w:rsid w:val="00DF3B28"/>
    <w:rsid w:val="00DF56EC"/>
    <w:rsid w:val="00E020F2"/>
    <w:rsid w:val="00E12059"/>
    <w:rsid w:val="00E25D21"/>
    <w:rsid w:val="00E31716"/>
    <w:rsid w:val="00E32B95"/>
    <w:rsid w:val="00E34551"/>
    <w:rsid w:val="00E34EAB"/>
    <w:rsid w:val="00E373B2"/>
    <w:rsid w:val="00E40036"/>
    <w:rsid w:val="00E45000"/>
    <w:rsid w:val="00E451FD"/>
    <w:rsid w:val="00E556EC"/>
    <w:rsid w:val="00E55B22"/>
    <w:rsid w:val="00E60D44"/>
    <w:rsid w:val="00E64502"/>
    <w:rsid w:val="00E771D2"/>
    <w:rsid w:val="00E80EDB"/>
    <w:rsid w:val="00E84794"/>
    <w:rsid w:val="00E847DF"/>
    <w:rsid w:val="00E90013"/>
    <w:rsid w:val="00E928BB"/>
    <w:rsid w:val="00EA0CCD"/>
    <w:rsid w:val="00EA28CA"/>
    <w:rsid w:val="00EB4C04"/>
    <w:rsid w:val="00EB56F2"/>
    <w:rsid w:val="00EC2B12"/>
    <w:rsid w:val="00EC4D59"/>
    <w:rsid w:val="00ED06A6"/>
    <w:rsid w:val="00ED451D"/>
    <w:rsid w:val="00ED7C55"/>
    <w:rsid w:val="00F07C02"/>
    <w:rsid w:val="00F157C6"/>
    <w:rsid w:val="00F234BF"/>
    <w:rsid w:val="00F268B3"/>
    <w:rsid w:val="00F31CCA"/>
    <w:rsid w:val="00F43E0E"/>
    <w:rsid w:val="00F473F0"/>
    <w:rsid w:val="00F622ED"/>
    <w:rsid w:val="00F65EEA"/>
    <w:rsid w:val="00F776D3"/>
    <w:rsid w:val="00F95209"/>
    <w:rsid w:val="00FB3956"/>
    <w:rsid w:val="00FC0F8B"/>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FC7151-08B8-40E4-BF6D-30DCFA68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
    <w:name w:val="toc 2"/>
    <w:basedOn w:val="a"/>
    <w:next w:val="a"/>
    <w:uiPriority w:val="39"/>
    <w:qFormat/>
    <w:pPr>
      <w:ind w:leftChars="200" w:left="420"/>
    </w:pPr>
  </w:style>
  <w:style w:type="table" w:styleId="a5">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uiPriority w:val="99"/>
    <w:qFormat/>
    <w:rPr>
      <w:color w:val="0563C1" w:themeColor="hyperlink"/>
      <w:u w:val="single"/>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Theme="minorHAnsi"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9B0E9A-0C45-4DB1-99DF-12EE2ABAF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2412</TotalTime>
  <Pages>9</Pages>
  <Words>1469</Words>
  <Characters>8378</Characters>
  <Application>Microsoft Office Word</Application>
  <DocSecurity>0</DocSecurity>
  <Lines>69</Lines>
  <Paragraphs>19</Paragraphs>
  <ScaleCrop>false</ScaleCrop>
  <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yanjiusuo</dc:creator>
  <cp:lastModifiedBy>杨嘉虹</cp:lastModifiedBy>
  <cp:revision>130</cp:revision>
  <cp:lastPrinted>2023-04-20T02:18:00Z</cp:lastPrinted>
  <dcterms:created xsi:type="dcterms:W3CDTF">2022-11-15T10:06:00Z</dcterms:created>
  <dcterms:modified xsi:type="dcterms:W3CDTF">2023-06-07T02:48:00Z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