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115EEA"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0" w:name="_GoBack"/>
          <w:bookmarkEnd w:id="0"/>
          <w:r w:rsidR="00115EEA" w:rsidRPr="00451F06">
            <w:rPr>
              <w:rStyle w:val="a7"/>
              <w:noProof/>
            </w:rPr>
            <w:fldChar w:fldCharType="begin"/>
          </w:r>
          <w:r w:rsidR="00115EEA" w:rsidRPr="00451F06">
            <w:rPr>
              <w:rStyle w:val="a7"/>
              <w:noProof/>
            </w:rPr>
            <w:instrText xml:space="preserve"> </w:instrText>
          </w:r>
          <w:r w:rsidR="00115EEA">
            <w:rPr>
              <w:noProof/>
            </w:rPr>
            <w:instrText>HYPERLINK \l "_Toc136420880"</w:instrText>
          </w:r>
          <w:r w:rsidR="00115EEA" w:rsidRPr="00451F06">
            <w:rPr>
              <w:rStyle w:val="a7"/>
              <w:noProof/>
            </w:rPr>
            <w:instrText xml:space="preserve"> </w:instrText>
          </w:r>
          <w:r w:rsidR="00115EEA" w:rsidRPr="00451F06">
            <w:rPr>
              <w:rStyle w:val="a7"/>
              <w:noProof/>
            </w:rPr>
          </w:r>
          <w:r w:rsidR="00115EEA" w:rsidRPr="00451F06">
            <w:rPr>
              <w:rStyle w:val="a7"/>
              <w:noProof/>
            </w:rPr>
            <w:fldChar w:fldCharType="separate"/>
          </w:r>
          <w:r w:rsidR="00115EEA" w:rsidRPr="00451F06">
            <w:rPr>
              <w:rStyle w:val="a7"/>
              <w:rFonts w:ascii="Times New Roman" w:eastAsia="楷体" w:hAnsi="Times New Roman"/>
              <w:b/>
              <w:noProof/>
            </w:rPr>
            <w:t>[</w:t>
          </w:r>
          <w:r w:rsidR="00115EEA" w:rsidRPr="00451F06">
            <w:rPr>
              <w:rStyle w:val="a7"/>
              <w:rFonts w:ascii="Times New Roman" w:eastAsia="楷体" w:hAnsi="Times New Roman"/>
              <w:b/>
              <w:noProof/>
            </w:rPr>
            <w:t>金融</w:t>
          </w:r>
          <w:r w:rsidR="00115EEA" w:rsidRPr="00451F06">
            <w:rPr>
              <w:rStyle w:val="a7"/>
              <w:rFonts w:ascii="Times New Roman" w:eastAsia="楷体" w:hAnsi="Times New Roman"/>
              <w:b/>
              <w:noProof/>
            </w:rPr>
            <w:t>]</w:t>
          </w:r>
          <w:r w:rsidR="00115EEA" w:rsidRPr="00451F06">
            <w:rPr>
              <w:rStyle w:val="a7"/>
              <w:noProof/>
            </w:rPr>
            <w:fldChar w:fldCharType="end"/>
          </w:r>
        </w:p>
        <w:p w:rsidR="00115EEA" w:rsidRDefault="00115EEA">
          <w:pPr>
            <w:pStyle w:val="2"/>
            <w:tabs>
              <w:tab w:val="right" w:leader="dot" w:pos="8296"/>
            </w:tabs>
            <w:rPr>
              <w:rFonts w:eastAsiaTheme="minorEastAsia"/>
              <w:noProof/>
              <w:szCs w:val="22"/>
            </w:rPr>
          </w:pPr>
          <w:hyperlink w:anchor="_Toc136420881" w:history="1">
            <w:r w:rsidRPr="00451F06">
              <w:rPr>
                <w:rStyle w:val="a7"/>
                <w:rFonts w:ascii="Times New Roman" w:eastAsia="楷体" w:hAnsi="Times New Roman"/>
                <w:b/>
                <w:noProof/>
              </w:rPr>
              <w:t>股指：逢低布局</w:t>
            </w:r>
            <w:r w:rsidRPr="00451F06">
              <w:rPr>
                <w:rStyle w:val="a7"/>
                <w:rFonts w:ascii="Times New Roman" w:eastAsia="楷体" w:hAnsi="Times New Roman"/>
                <w:b/>
                <w:noProof/>
              </w:rPr>
              <w:t>IM</w:t>
            </w:r>
            <w:r w:rsidRPr="00451F06">
              <w:rPr>
                <w:rStyle w:val="a7"/>
                <w:rFonts w:ascii="Times New Roman" w:eastAsia="楷体" w:hAnsi="Times New Roman"/>
                <w:b/>
                <w:noProof/>
              </w:rPr>
              <w:t>多单</w:t>
            </w:r>
          </w:hyperlink>
        </w:p>
        <w:p w:rsidR="00115EEA" w:rsidRDefault="00115EEA">
          <w:pPr>
            <w:pStyle w:val="11"/>
            <w:tabs>
              <w:tab w:val="right" w:leader="dot" w:pos="8296"/>
            </w:tabs>
            <w:rPr>
              <w:rFonts w:eastAsiaTheme="minorEastAsia"/>
              <w:noProof/>
              <w:szCs w:val="22"/>
            </w:rPr>
          </w:pPr>
          <w:hyperlink w:anchor="_Toc136420882" w:history="1">
            <w:r w:rsidRPr="00451F06">
              <w:rPr>
                <w:rStyle w:val="a7"/>
                <w:rFonts w:ascii="Times New Roman" w:eastAsia="楷体" w:hAnsi="Times New Roman"/>
                <w:b/>
                <w:noProof/>
              </w:rPr>
              <w:t>[</w:t>
            </w:r>
            <w:r w:rsidRPr="00451F06">
              <w:rPr>
                <w:rStyle w:val="a7"/>
                <w:rFonts w:ascii="Times New Roman" w:eastAsia="楷体" w:hAnsi="Times New Roman"/>
                <w:b/>
                <w:noProof/>
              </w:rPr>
              <w:t>贵金属</w:t>
            </w:r>
            <w:r w:rsidRPr="00451F06">
              <w:rPr>
                <w:rStyle w:val="a7"/>
                <w:rFonts w:ascii="Times New Roman" w:eastAsia="楷体" w:hAnsi="Times New Roman"/>
                <w:b/>
                <w:noProof/>
              </w:rPr>
              <w:t>]</w:t>
            </w:r>
          </w:hyperlink>
        </w:p>
        <w:p w:rsidR="00115EEA" w:rsidRDefault="00115EEA">
          <w:pPr>
            <w:pStyle w:val="2"/>
            <w:tabs>
              <w:tab w:val="right" w:leader="dot" w:pos="8296"/>
            </w:tabs>
            <w:rPr>
              <w:rFonts w:eastAsiaTheme="minorEastAsia"/>
              <w:noProof/>
              <w:szCs w:val="22"/>
            </w:rPr>
          </w:pPr>
          <w:hyperlink w:anchor="_Toc136420883" w:history="1">
            <w:r w:rsidRPr="00451F06">
              <w:rPr>
                <w:rStyle w:val="a7"/>
                <w:rFonts w:ascii="Times New Roman" w:eastAsia="楷体" w:hAnsi="Times New Roman"/>
                <w:b/>
                <w:noProof/>
              </w:rPr>
              <w:t>贵金属：海外鹰派预期升温，贵金属价格偏弱运行</w:t>
            </w:r>
          </w:hyperlink>
        </w:p>
        <w:p w:rsidR="00115EEA" w:rsidRDefault="00115EEA">
          <w:pPr>
            <w:pStyle w:val="11"/>
            <w:tabs>
              <w:tab w:val="right" w:leader="dot" w:pos="8296"/>
            </w:tabs>
            <w:rPr>
              <w:rFonts w:eastAsiaTheme="minorEastAsia"/>
              <w:noProof/>
              <w:szCs w:val="22"/>
            </w:rPr>
          </w:pPr>
          <w:hyperlink w:anchor="_Toc136420884" w:history="1">
            <w:r w:rsidRPr="00451F06">
              <w:rPr>
                <w:rStyle w:val="a7"/>
                <w:rFonts w:ascii="Times New Roman" w:eastAsia="楷体" w:hAnsi="Times New Roman"/>
                <w:b/>
                <w:noProof/>
              </w:rPr>
              <w:t>[</w:t>
            </w:r>
            <w:r w:rsidRPr="00451F06">
              <w:rPr>
                <w:rStyle w:val="a7"/>
                <w:rFonts w:ascii="Times New Roman" w:eastAsia="楷体" w:hAnsi="Times New Roman"/>
                <w:b/>
                <w:noProof/>
              </w:rPr>
              <w:t>金属</w:t>
            </w:r>
            <w:r w:rsidRPr="00451F06">
              <w:rPr>
                <w:rStyle w:val="a7"/>
                <w:rFonts w:ascii="Times New Roman" w:eastAsia="楷体" w:hAnsi="Times New Roman"/>
                <w:b/>
                <w:noProof/>
              </w:rPr>
              <w:t>]</w:t>
            </w:r>
          </w:hyperlink>
        </w:p>
        <w:p w:rsidR="00115EEA" w:rsidRDefault="00115EEA">
          <w:pPr>
            <w:pStyle w:val="2"/>
            <w:tabs>
              <w:tab w:val="right" w:leader="dot" w:pos="8296"/>
            </w:tabs>
            <w:rPr>
              <w:rFonts w:eastAsiaTheme="minorEastAsia"/>
              <w:noProof/>
              <w:szCs w:val="22"/>
            </w:rPr>
          </w:pPr>
          <w:hyperlink w:anchor="_Toc136420885" w:history="1">
            <w:r w:rsidRPr="00451F06">
              <w:rPr>
                <w:rStyle w:val="a7"/>
                <w:rFonts w:ascii="楷体" w:eastAsia="楷体" w:hAnsi="楷体"/>
                <w:b/>
                <w:noProof/>
              </w:rPr>
              <w:t>螺纹钢：上方压力明显，短期观望为主</w:t>
            </w:r>
          </w:hyperlink>
        </w:p>
        <w:p w:rsidR="00115EEA" w:rsidRDefault="00115EEA">
          <w:pPr>
            <w:pStyle w:val="2"/>
            <w:tabs>
              <w:tab w:val="right" w:leader="dot" w:pos="8296"/>
            </w:tabs>
            <w:rPr>
              <w:rFonts w:eastAsiaTheme="minorEastAsia"/>
              <w:noProof/>
              <w:szCs w:val="22"/>
            </w:rPr>
          </w:pPr>
          <w:hyperlink w:anchor="_Toc136420886" w:history="1">
            <w:r w:rsidRPr="00451F06">
              <w:rPr>
                <w:rStyle w:val="a7"/>
                <w:rFonts w:ascii="楷体" w:eastAsia="楷体" w:hAnsi="楷体"/>
                <w:b/>
                <w:noProof/>
              </w:rPr>
              <w:t>焦炭：情绪较为悲观，港口现货价格下行</w:t>
            </w:r>
          </w:hyperlink>
        </w:p>
        <w:p w:rsidR="00115EEA" w:rsidRDefault="00115EEA">
          <w:pPr>
            <w:pStyle w:val="2"/>
            <w:tabs>
              <w:tab w:val="right" w:leader="dot" w:pos="8296"/>
            </w:tabs>
            <w:rPr>
              <w:rFonts w:eastAsiaTheme="minorEastAsia"/>
              <w:noProof/>
              <w:szCs w:val="22"/>
            </w:rPr>
          </w:pPr>
          <w:hyperlink w:anchor="_Toc136420887" w:history="1">
            <w:r w:rsidRPr="00451F06">
              <w:rPr>
                <w:rStyle w:val="a7"/>
                <w:rFonts w:ascii="楷体" w:eastAsia="楷体" w:hAnsi="楷体"/>
                <w:b/>
                <w:noProof/>
              </w:rPr>
              <w:t>焦煤：成材及动力煤带动加速下行，现货仍有下行压力</w:t>
            </w:r>
          </w:hyperlink>
        </w:p>
        <w:p w:rsidR="00115EEA" w:rsidRDefault="00115EEA">
          <w:pPr>
            <w:pStyle w:val="2"/>
            <w:tabs>
              <w:tab w:val="right" w:leader="dot" w:pos="8296"/>
            </w:tabs>
            <w:rPr>
              <w:rFonts w:eastAsiaTheme="minorEastAsia"/>
              <w:noProof/>
              <w:szCs w:val="22"/>
            </w:rPr>
          </w:pPr>
          <w:hyperlink w:anchor="_Toc136420888" w:history="1">
            <w:r w:rsidRPr="00451F06">
              <w:rPr>
                <w:rStyle w:val="a7"/>
                <w:rFonts w:ascii="楷体" w:eastAsia="楷体" w:hAnsi="楷体"/>
                <w:b/>
                <w:noProof/>
              </w:rPr>
              <w:t>铜：短期宏观利空影响缓和，铜价反弹但空间有限</w:t>
            </w:r>
          </w:hyperlink>
        </w:p>
        <w:p w:rsidR="00115EEA" w:rsidRDefault="00115EEA">
          <w:pPr>
            <w:pStyle w:val="2"/>
            <w:tabs>
              <w:tab w:val="right" w:leader="dot" w:pos="8296"/>
            </w:tabs>
            <w:rPr>
              <w:rFonts w:eastAsiaTheme="minorEastAsia"/>
              <w:noProof/>
              <w:szCs w:val="22"/>
            </w:rPr>
          </w:pPr>
          <w:hyperlink w:anchor="_Toc136420889" w:history="1">
            <w:r w:rsidRPr="00451F06">
              <w:rPr>
                <w:rStyle w:val="a7"/>
                <w:rFonts w:ascii="楷体" w:eastAsia="楷体" w:hAnsi="楷体"/>
                <w:b/>
                <w:noProof/>
              </w:rPr>
              <w:t>铝：铝价支撑偏弱仍有下行压力</w:t>
            </w:r>
          </w:hyperlink>
        </w:p>
        <w:p w:rsidR="00115EEA" w:rsidRDefault="00115EEA">
          <w:pPr>
            <w:pStyle w:val="2"/>
            <w:tabs>
              <w:tab w:val="right" w:leader="dot" w:pos="8296"/>
            </w:tabs>
            <w:rPr>
              <w:rFonts w:eastAsiaTheme="minorEastAsia"/>
              <w:noProof/>
              <w:szCs w:val="22"/>
            </w:rPr>
          </w:pPr>
          <w:hyperlink w:anchor="_Toc136420890" w:history="1">
            <w:r w:rsidRPr="00451F06">
              <w:rPr>
                <w:rStyle w:val="a7"/>
                <w:rFonts w:ascii="楷体" w:eastAsia="楷体" w:hAnsi="楷体"/>
                <w:b/>
                <w:noProof/>
              </w:rPr>
              <w:t>锌：锌价短期反弹，建议逢高布空</w:t>
            </w:r>
          </w:hyperlink>
        </w:p>
        <w:p w:rsidR="00115EEA" w:rsidRDefault="00115EEA">
          <w:pPr>
            <w:pStyle w:val="2"/>
            <w:tabs>
              <w:tab w:val="right" w:leader="dot" w:pos="8296"/>
            </w:tabs>
            <w:rPr>
              <w:rFonts w:eastAsiaTheme="minorEastAsia"/>
              <w:noProof/>
              <w:szCs w:val="22"/>
            </w:rPr>
          </w:pPr>
          <w:hyperlink w:anchor="_Toc136420891" w:history="1">
            <w:r w:rsidRPr="00451F06">
              <w:rPr>
                <w:rStyle w:val="a7"/>
                <w:rFonts w:ascii="楷体" w:eastAsia="楷体" w:hAnsi="楷体"/>
                <w:b/>
                <w:noProof/>
              </w:rPr>
              <w:t>镍：宏观偏空助推价格大跌，低库存或仍提供支撑</w:t>
            </w:r>
          </w:hyperlink>
        </w:p>
        <w:p w:rsidR="00115EEA" w:rsidRDefault="00115EEA">
          <w:pPr>
            <w:pStyle w:val="2"/>
            <w:tabs>
              <w:tab w:val="right" w:leader="dot" w:pos="8296"/>
            </w:tabs>
            <w:rPr>
              <w:rFonts w:eastAsiaTheme="minorEastAsia"/>
              <w:noProof/>
              <w:szCs w:val="22"/>
            </w:rPr>
          </w:pPr>
          <w:hyperlink w:anchor="_Toc136420892" w:history="1">
            <w:r w:rsidRPr="00451F06">
              <w:rPr>
                <w:rStyle w:val="a7"/>
                <w:rFonts w:ascii="楷体" w:eastAsia="楷体" w:hAnsi="楷体"/>
                <w:b/>
                <w:noProof/>
              </w:rPr>
              <w:t>铅：铅价延续震荡态势</w:t>
            </w:r>
          </w:hyperlink>
        </w:p>
        <w:p w:rsidR="00115EEA" w:rsidRDefault="00115EEA">
          <w:pPr>
            <w:pStyle w:val="2"/>
            <w:tabs>
              <w:tab w:val="right" w:leader="dot" w:pos="8296"/>
            </w:tabs>
            <w:rPr>
              <w:rFonts w:eastAsiaTheme="minorEastAsia"/>
              <w:noProof/>
              <w:szCs w:val="22"/>
            </w:rPr>
          </w:pPr>
          <w:hyperlink w:anchor="_Toc136420893" w:history="1">
            <w:r w:rsidRPr="00451F06">
              <w:rPr>
                <w:rStyle w:val="a7"/>
                <w:rFonts w:ascii="楷体" w:eastAsia="楷体" w:hAnsi="楷体"/>
                <w:b/>
                <w:noProof/>
              </w:rPr>
              <w:t>不锈钢：短期驱动有限，震荡为主</w:t>
            </w:r>
          </w:hyperlink>
        </w:p>
        <w:p w:rsidR="00115EEA" w:rsidRDefault="00115EEA">
          <w:pPr>
            <w:pStyle w:val="2"/>
            <w:tabs>
              <w:tab w:val="right" w:leader="dot" w:pos="8296"/>
            </w:tabs>
            <w:rPr>
              <w:rFonts w:eastAsiaTheme="minorEastAsia"/>
              <w:noProof/>
              <w:szCs w:val="22"/>
            </w:rPr>
          </w:pPr>
          <w:hyperlink w:anchor="_Toc136420894" w:history="1">
            <w:r w:rsidRPr="00451F06">
              <w:rPr>
                <w:rStyle w:val="a7"/>
                <w:rFonts w:ascii="楷体" w:eastAsia="楷体" w:hAnsi="楷体"/>
                <w:b/>
                <w:noProof/>
              </w:rPr>
              <w:t>工业硅：供需格局难改善，市场或仍将承压运行</w:t>
            </w:r>
          </w:hyperlink>
        </w:p>
        <w:p w:rsidR="00115EEA" w:rsidRDefault="00115EEA">
          <w:pPr>
            <w:pStyle w:val="11"/>
            <w:tabs>
              <w:tab w:val="right" w:leader="dot" w:pos="8296"/>
            </w:tabs>
            <w:rPr>
              <w:rFonts w:eastAsiaTheme="minorEastAsia"/>
              <w:noProof/>
              <w:szCs w:val="22"/>
            </w:rPr>
          </w:pPr>
          <w:hyperlink w:anchor="_Toc136420895" w:history="1">
            <w:r w:rsidRPr="00451F06">
              <w:rPr>
                <w:rStyle w:val="a7"/>
                <w:rFonts w:ascii="Times New Roman" w:eastAsia="楷体" w:hAnsi="Times New Roman"/>
                <w:b/>
                <w:noProof/>
              </w:rPr>
              <w:t>[</w:t>
            </w:r>
            <w:r w:rsidRPr="00451F06">
              <w:rPr>
                <w:rStyle w:val="a7"/>
                <w:rFonts w:ascii="Times New Roman" w:eastAsia="楷体" w:hAnsi="Times New Roman"/>
                <w:b/>
                <w:noProof/>
              </w:rPr>
              <w:t>化工</w:t>
            </w:r>
            <w:r w:rsidRPr="00451F06">
              <w:rPr>
                <w:rStyle w:val="a7"/>
                <w:rFonts w:ascii="Times New Roman" w:eastAsia="楷体" w:hAnsi="Times New Roman"/>
                <w:b/>
                <w:noProof/>
              </w:rPr>
              <w:t>]</w:t>
            </w:r>
          </w:hyperlink>
        </w:p>
        <w:p w:rsidR="00115EEA" w:rsidRDefault="00115EEA">
          <w:pPr>
            <w:pStyle w:val="2"/>
            <w:tabs>
              <w:tab w:val="right" w:leader="dot" w:pos="8296"/>
            </w:tabs>
            <w:rPr>
              <w:rFonts w:eastAsiaTheme="minorEastAsia"/>
              <w:noProof/>
              <w:szCs w:val="22"/>
            </w:rPr>
          </w:pPr>
          <w:hyperlink w:anchor="_Toc136420896" w:history="1">
            <w:r w:rsidRPr="00451F06">
              <w:rPr>
                <w:rStyle w:val="a7"/>
                <w:rFonts w:ascii="Times New Roman" w:eastAsia="楷体" w:hAnsi="Times New Roman"/>
                <w:b/>
                <w:noProof/>
              </w:rPr>
              <w:t>天然橡胶</w:t>
            </w:r>
            <w:r w:rsidRPr="00451F06">
              <w:rPr>
                <w:rStyle w:val="a7"/>
                <w:rFonts w:ascii="Times New Roman" w:eastAsia="楷体" w:hAnsi="Times New Roman"/>
                <w:b/>
                <w:noProof/>
              </w:rPr>
              <w:t>:</w:t>
            </w:r>
            <w:r w:rsidRPr="00451F06">
              <w:rPr>
                <w:rStyle w:val="a7"/>
                <w:rFonts w:ascii="楷体" w:eastAsia="楷体" w:hAnsi="楷体"/>
                <w:b/>
                <w:noProof/>
              </w:rPr>
              <w:t xml:space="preserve"> 短期市场利好释放较少，RU或低位震荡为主</w:t>
            </w:r>
          </w:hyperlink>
        </w:p>
        <w:p w:rsidR="00115EEA" w:rsidRDefault="00115EEA">
          <w:pPr>
            <w:pStyle w:val="2"/>
            <w:tabs>
              <w:tab w:val="right" w:leader="dot" w:pos="8296"/>
            </w:tabs>
            <w:rPr>
              <w:rFonts w:eastAsiaTheme="minorEastAsia"/>
              <w:noProof/>
              <w:szCs w:val="22"/>
            </w:rPr>
          </w:pPr>
          <w:hyperlink w:anchor="_Toc136420897" w:history="1">
            <w:r w:rsidRPr="00451F06">
              <w:rPr>
                <w:rStyle w:val="a7"/>
                <w:rFonts w:ascii="楷体" w:eastAsia="楷体" w:hAnsi="楷体"/>
                <w:b/>
                <w:noProof/>
              </w:rPr>
              <w:t>PTA：底部支撑稳固，关注近月低多或正套机会</w:t>
            </w:r>
          </w:hyperlink>
        </w:p>
        <w:p w:rsidR="00115EEA" w:rsidRDefault="00115EEA">
          <w:pPr>
            <w:pStyle w:val="2"/>
            <w:tabs>
              <w:tab w:val="right" w:leader="dot" w:pos="8296"/>
            </w:tabs>
            <w:rPr>
              <w:rFonts w:eastAsiaTheme="minorEastAsia"/>
              <w:noProof/>
              <w:szCs w:val="22"/>
            </w:rPr>
          </w:pPr>
          <w:hyperlink w:anchor="_Toc136420898" w:history="1">
            <w:r w:rsidRPr="00451F06">
              <w:rPr>
                <w:rStyle w:val="a7"/>
                <w:rFonts w:ascii="楷体" w:eastAsia="楷体" w:hAnsi="楷体"/>
                <w:b/>
                <w:noProof/>
              </w:rPr>
              <w:t>PVC：高库存+弱复苏 驱动不足</w:t>
            </w:r>
          </w:hyperlink>
        </w:p>
        <w:p w:rsidR="00115EEA" w:rsidRDefault="00115EEA">
          <w:pPr>
            <w:pStyle w:val="2"/>
            <w:tabs>
              <w:tab w:val="right" w:leader="dot" w:pos="8296"/>
            </w:tabs>
            <w:rPr>
              <w:rFonts w:eastAsiaTheme="minorEastAsia"/>
              <w:noProof/>
              <w:szCs w:val="22"/>
            </w:rPr>
          </w:pPr>
          <w:hyperlink w:anchor="_Toc136420899" w:history="1">
            <w:r w:rsidRPr="00451F06">
              <w:rPr>
                <w:rStyle w:val="a7"/>
                <w:rFonts w:ascii="楷体" w:eastAsia="楷体" w:hAnsi="楷体"/>
                <w:b/>
                <w:noProof/>
              </w:rPr>
              <w:t>聚烯烃：原油利好提振 聚烯烃或震荡偏强整理</w:t>
            </w:r>
          </w:hyperlink>
        </w:p>
        <w:p w:rsidR="00115EEA" w:rsidRDefault="00115EEA">
          <w:pPr>
            <w:pStyle w:val="2"/>
            <w:tabs>
              <w:tab w:val="right" w:leader="dot" w:pos="8296"/>
            </w:tabs>
            <w:rPr>
              <w:rFonts w:eastAsiaTheme="minorEastAsia"/>
              <w:noProof/>
              <w:szCs w:val="22"/>
            </w:rPr>
          </w:pPr>
          <w:hyperlink w:anchor="_Toc136420900" w:history="1">
            <w:r w:rsidRPr="00451F06">
              <w:rPr>
                <w:rStyle w:val="a7"/>
                <w:rFonts w:ascii="楷体" w:eastAsia="楷体" w:hAnsi="楷体"/>
                <w:b/>
                <w:noProof/>
              </w:rPr>
              <w:t>MEG：估值偏低及聚酯开工高位  把握阶段性低多机会</w:t>
            </w:r>
          </w:hyperlink>
        </w:p>
        <w:p w:rsidR="00115EEA" w:rsidRDefault="00115EEA">
          <w:pPr>
            <w:pStyle w:val="2"/>
            <w:tabs>
              <w:tab w:val="right" w:leader="dot" w:pos="8296"/>
            </w:tabs>
            <w:rPr>
              <w:rFonts w:eastAsiaTheme="minorEastAsia"/>
              <w:noProof/>
              <w:szCs w:val="22"/>
            </w:rPr>
          </w:pPr>
          <w:hyperlink w:anchor="_Toc136420901" w:history="1">
            <w:r w:rsidRPr="00451F06">
              <w:rPr>
                <w:rStyle w:val="a7"/>
                <w:rFonts w:ascii="楷体" w:eastAsia="楷体" w:hAnsi="楷体"/>
                <w:b/>
                <w:noProof/>
              </w:rPr>
              <w:t>玻璃：现货全面下跌，盘面上冲乏力</w:t>
            </w:r>
          </w:hyperlink>
        </w:p>
        <w:p w:rsidR="00115EEA" w:rsidRDefault="00115EEA">
          <w:pPr>
            <w:pStyle w:val="2"/>
            <w:tabs>
              <w:tab w:val="right" w:leader="dot" w:pos="8296"/>
            </w:tabs>
            <w:rPr>
              <w:rFonts w:eastAsiaTheme="minorEastAsia"/>
              <w:noProof/>
              <w:szCs w:val="22"/>
            </w:rPr>
          </w:pPr>
          <w:hyperlink w:anchor="_Toc136420902" w:history="1">
            <w:r w:rsidRPr="00451F06">
              <w:rPr>
                <w:rStyle w:val="a7"/>
                <w:rFonts w:ascii="楷体" w:eastAsia="楷体" w:hAnsi="楷体"/>
                <w:b/>
                <w:noProof/>
              </w:rPr>
              <w:t>纯碱：利好集中释放，盘面快速反弹</w:t>
            </w:r>
          </w:hyperlink>
        </w:p>
        <w:p w:rsidR="00115EEA" w:rsidRDefault="00115EEA">
          <w:pPr>
            <w:pStyle w:val="11"/>
            <w:tabs>
              <w:tab w:val="right" w:leader="dot" w:pos="8296"/>
            </w:tabs>
            <w:rPr>
              <w:rFonts w:eastAsiaTheme="minorEastAsia"/>
              <w:noProof/>
              <w:szCs w:val="22"/>
            </w:rPr>
          </w:pPr>
          <w:hyperlink w:anchor="_Toc136420903" w:history="1">
            <w:r w:rsidRPr="00451F06">
              <w:rPr>
                <w:rStyle w:val="a7"/>
                <w:rFonts w:ascii="Times New Roman" w:eastAsia="楷体" w:hAnsi="Times New Roman"/>
                <w:b/>
                <w:noProof/>
              </w:rPr>
              <w:t>[</w:t>
            </w:r>
            <w:r w:rsidRPr="00451F06">
              <w:rPr>
                <w:rStyle w:val="a7"/>
                <w:rFonts w:ascii="Times New Roman" w:eastAsia="楷体" w:hAnsi="Times New Roman"/>
                <w:b/>
                <w:noProof/>
              </w:rPr>
              <w:t>农产品</w:t>
            </w:r>
            <w:r w:rsidRPr="00451F06">
              <w:rPr>
                <w:rStyle w:val="a7"/>
                <w:rFonts w:ascii="Times New Roman" w:eastAsia="楷体" w:hAnsi="Times New Roman"/>
                <w:b/>
                <w:noProof/>
              </w:rPr>
              <w:t>]</w:t>
            </w:r>
          </w:hyperlink>
        </w:p>
        <w:p w:rsidR="00115EEA" w:rsidRDefault="00115EEA">
          <w:pPr>
            <w:pStyle w:val="2"/>
            <w:tabs>
              <w:tab w:val="right" w:leader="dot" w:pos="8296"/>
            </w:tabs>
            <w:rPr>
              <w:rFonts w:eastAsiaTheme="minorEastAsia"/>
              <w:noProof/>
              <w:szCs w:val="22"/>
            </w:rPr>
          </w:pPr>
          <w:hyperlink w:anchor="_Toc136420904" w:history="1">
            <w:r w:rsidRPr="00451F06">
              <w:rPr>
                <w:rStyle w:val="a7"/>
                <w:rFonts w:ascii="楷体" w:eastAsia="楷体" w:hAnsi="楷体"/>
                <w:b/>
                <w:noProof/>
              </w:rPr>
              <w:t>豆粕/菜粕：现货基差预计继续走弱</w:t>
            </w:r>
          </w:hyperlink>
        </w:p>
        <w:p w:rsidR="00115EEA" w:rsidRDefault="00115EEA">
          <w:pPr>
            <w:pStyle w:val="2"/>
            <w:tabs>
              <w:tab w:val="right" w:leader="dot" w:pos="8296"/>
            </w:tabs>
            <w:rPr>
              <w:rFonts w:eastAsiaTheme="minorEastAsia"/>
              <w:noProof/>
              <w:szCs w:val="22"/>
            </w:rPr>
          </w:pPr>
          <w:hyperlink w:anchor="_Toc136420905" w:history="1">
            <w:r w:rsidRPr="00451F06">
              <w:rPr>
                <w:rStyle w:val="a7"/>
                <w:rFonts w:ascii="楷体" w:eastAsia="楷体" w:hAnsi="楷体"/>
                <w:b/>
                <w:noProof/>
              </w:rPr>
              <w:t>油脂：延续弱势震荡</w:t>
            </w:r>
          </w:hyperlink>
        </w:p>
        <w:p w:rsidR="00115EEA" w:rsidRDefault="00115EEA">
          <w:pPr>
            <w:pStyle w:val="2"/>
            <w:tabs>
              <w:tab w:val="right" w:leader="dot" w:pos="8296"/>
            </w:tabs>
            <w:rPr>
              <w:rFonts w:eastAsiaTheme="minorEastAsia"/>
              <w:noProof/>
              <w:szCs w:val="22"/>
            </w:rPr>
          </w:pPr>
          <w:hyperlink w:anchor="_Toc136420906" w:history="1">
            <w:r w:rsidRPr="00451F06">
              <w:rPr>
                <w:rStyle w:val="a7"/>
                <w:rFonts w:ascii="楷体" w:eastAsia="楷体" w:hAnsi="楷体"/>
                <w:b/>
                <w:bCs/>
                <w:noProof/>
              </w:rPr>
              <w:t>玉米与淀粉：</w:t>
            </w:r>
            <w:r w:rsidRPr="00451F06">
              <w:rPr>
                <w:rStyle w:val="a7"/>
                <w:rFonts w:ascii="楷体" w:eastAsia="楷体" w:hAnsi="楷体"/>
                <w:b/>
                <w:noProof/>
              </w:rPr>
              <w:t>关注小麦上市压力</w:t>
            </w:r>
          </w:hyperlink>
        </w:p>
        <w:p w:rsidR="00115EEA" w:rsidRDefault="00115EEA">
          <w:pPr>
            <w:pStyle w:val="2"/>
            <w:tabs>
              <w:tab w:val="right" w:leader="dot" w:pos="8296"/>
            </w:tabs>
            <w:rPr>
              <w:rFonts w:eastAsiaTheme="minorEastAsia"/>
              <w:noProof/>
              <w:szCs w:val="22"/>
            </w:rPr>
          </w:pPr>
          <w:hyperlink w:anchor="_Toc136420907" w:history="1">
            <w:r w:rsidRPr="00451F06">
              <w:rPr>
                <w:rStyle w:val="a7"/>
                <w:rFonts w:ascii="楷体" w:eastAsia="楷体" w:hAnsi="楷体"/>
                <w:b/>
                <w:bCs/>
                <w:noProof/>
              </w:rPr>
              <w:t>畜禽养殖：鸡蛋期价反弹</w:t>
            </w:r>
          </w:hyperlink>
        </w:p>
        <w:p w:rsidR="00115EEA" w:rsidRDefault="00115EEA">
          <w:pPr>
            <w:pStyle w:val="2"/>
            <w:tabs>
              <w:tab w:val="right" w:leader="dot" w:pos="8296"/>
            </w:tabs>
            <w:rPr>
              <w:rFonts w:eastAsiaTheme="minorEastAsia"/>
              <w:noProof/>
              <w:szCs w:val="22"/>
            </w:rPr>
          </w:pPr>
          <w:hyperlink w:anchor="_Toc136420908" w:history="1">
            <w:r w:rsidRPr="00451F06">
              <w:rPr>
                <w:rStyle w:val="a7"/>
                <w:rFonts w:ascii="楷体" w:eastAsia="楷体" w:hAnsi="楷体"/>
                <w:b/>
                <w:noProof/>
              </w:rPr>
              <w:t>郑棉：预计09合约震荡整理，观望或空9多1</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642088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6420881"/>
      <w:bookmarkEnd w:id="3"/>
      <w:r>
        <w:rPr>
          <w:rFonts w:ascii="Times New Roman" w:eastAsia="楷体" w:hAnsi="Times New Roman" w:hint="eastAsia"/>
          <w:b/>
          <w:color w:val="000000" w:themeColor="text1"/>
          <w:sz w:val="24"/>
          <w:szCs w:val="24"/>
        </w:rPr>
        <w:t>股指：</w:t>
      </w:r>
      <w:bookmarkEnd w:id="5"/>
      <w:bookmarkEnd w:id="6"/>
      <w:r w:rsidR="00115EEA" w:rsidRPr="00115EEA">
        <w:rPr>
          <w:rFonts w:ascii="Times New Roman" w:eastAsia="楷体" w:hAnsi="Times New Roman" w:hint="eastAsia"/>
          <w:b/>
          <w:color w:val="000000" w:themeColor="text1"/>
          <w:sz w:val="24"/>
          <w:szCs w:val="24"/>
        </w:rPr>
        <w:t>逢低布局</w:t>
      </w:r>
      <w:r w:rsidR="00115EEA" w:rsidRPr="00115EEA">
        <w:rPr>
          <w:rFonts w:ascii="Times New Roman" w:eastAsia="楷体" w:hAnsi="Times New Roman" w:hint="eastAsia"/>
          <w:b/>
          <w:color w:val="000000" w:themeColor="text1"/>
          <w:sz w:val="24"/>
          <w:szCs w:val="24"/>
        </w:rPr>
        <w:t>IM</w:t>
      </w:r>
      <w:r w:rsidR="00115EEA" w:rsidRPr="00115EEA">
        <w:rPr>
          <w:rFonts w:ascii="Times New Roman" w:eastAsia="楷体" w:hAnsi="Times New Roman" w:hint="eastAsia"/>
          <w:b/>
          <w:color w:val="000000" w:themeColor="text1"/>
          <w:sz w:val="24"/>
          <w:szCs w:val="24"/>
        </w:rPr>
        <w:t>多单</w:t>
      </w:r>
      <w:bookmarkEnd w:id="7"/>
    </w:p>
    <w:p w:rsidR="003F56A5" w:rsidRDefault="00115EEA">
      <w:pPr>
        <w:ind w:leftChars="300" w:left="630"/>
        <w:rPr>
          <w:rFonts w:ascii="Times New Roman" w:eastAsia="楷体" w:hAnsi="Times New Roman"/>
          <w:color w:val="000000" w:themeColor="text1"/>
          <w:sz w:val="24"/>
          <w:szCs w:val="24"/>
        </w:rPr>
      </w:pPr>
      <w:r w:rsidRPr="00115EEA">
        <w:rPr>
          <w:rFonts w:ascii="Times New Roman" w:eastAsia="楷体" w:hAnsi="Times New Roman" w:hint="eastAsia"/>
          <w:color w:val="000000" w:themeColor="text1"/>
          <w:sz w:val="24"/>
          <w:szCs w:val="24"/>
        </w:rPr>
        <w:t>当前市场已从存量过渡到减量的出清过程，</w:t>
      </w:r>
      <w:r w:rsidRPr="00115EEA">
        <w:rPr>
          <w:rFonts w:ascii="Times New Roman" w:eastAsia="楷体" w:hAnsi="Times New Roman" w:hint="eastAsia"/>
          <w:color w:val="000000" w:themeColor="text1"/>
          <w:sz w:val="24"/>
          <w:szCs w:val="24"/>
        </w:rPr>
        <w:t>IM</w:t>
      </w:r>
      <w:r w:rsidRPr="00115EEA">
        <w:rPr>
          <w:rFonts w:ascii="Times New Roman" w:eastAsia="楷体" w:hAnsi="Times New Roman" w:hint="eastAsia"/>
          <w:color w:val="000000" w:themeColor="text1"/>
          <w:sz w:val="24"/>
          <w:szCs w:val="24"/>
        </w:rPr>
        <w:t>、</w:t>
      </w:r>
      <w:r w:rsidRPr="00115EEA">
        <w:rPr>
          <w:rFonts w:ascii="Times New Roman" w:eastAsia="楷体" w:hAnsi="Times New Roman" w:hint="eastAsia"/>
          <w:color w:val="000000" w:themeColor="text1"/>
          <w:sz w:val="24"/>
          <w:szCs w:val="24"/>
        </w:rPr>
        <w:t>IC</w:t>
      </w:r>
      <w:r w:rsidRPr="00115EEA">
        <w:rPr>
          <w:rFonts w:ascii="Times New Roman" w:eastAsia="楷体" w:hAnsi="Times New Roman" w:hint="eastAsia"/>
          <w:color w:val="000000" w:themeColor="text1"/>
          <w:sz w:val="24"/>
          <w:szCs w:val="24"/>
        </w:rPr>
        <w:t>为代表的小盘成长在前期提前调整下，现体现出较强抗跌性，而</w:t>
      </w:r>
      <w:r w:rsidRPr="00115EEA">
        <w:rPr>
          <w:rFonts w:ascii="Times New Roman" w:eastAsia="楷体" w:hAnsi="Times New Roman" w:hint="eastAsia"/>
          <w:color w:val="000000" w:themeColor="text1"/>
          <w:sz w:val="24"/>
          <w:szCs w:val="24"/>
        </w:rPr>
        <w:t>IH</w:t>
      </w:r>
      <w:r w:rsidRPr="00115EEA">
        <w:rPr>
          <w:rFonts w:ascii="Times New Roman" w:eastAsia="楷体" w:hAnsi="Times New Roman" w:hint="eastAsia"/>
          <w:color w:val="000000" w:themeColor="text1"/>
          <w:sz w:val="24"/>
          <w:szCs w:val="24"/>
        </w:rPr>
        <w:t>和</w:t>
      </w:r>
      <w:r w:rsidRPr="00115EEA">
        <w:rPr>
          <w:rFonts w:ascii="Times New Roman" w:eastAsia="楷体" w:hAnsi="Times New Roman" w:hint="eastAsia"/>
          <w:color w:val="000000" w:themeColor="text1"/>
          <w:sz w:val="24"/>
          <w:szCs w:val="24"/>
        </w:rPr>
        <w:t>IF</w:t>
      </w:r>
      <w:r w:rsidRPr="00115EEA">
        <w:rPr>
          <w:rFonts w:ascii="Times New Roman" w:eastAsia="楷体" w:hAnsi="Times New Roman" w:hint="eastAsia"/>
          <w:color w:val="000000" w:themeColor="text1"/>
          <w:sz w:val="24"/>
          <w:szCs w:val="24"/>
        </w:rPr>
        <w:t>为首的强宏观指数正在补跌出清，中特估的交易拥挤度下降至前期高点的一半，当前各大资产的价格实际上已经把对经济的悲观预期定价在内，在缩量下跌状态下，如果出现了预期差，或者人民币汇率出现实际调控，市场有望走强，建议逢低布局指数多单</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642088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6420883"/>
      <w:r>
        <w:rPr>
          <w:rFonts w:ascii="Times New Roman" w:eastAsia="楷体" w:hAnsi="Times New Roman" w:hint="eastAsia"/>
          <w:b/>
          <w:color w:val="000000" w:themeColor="text1"/>
          <w:sz w:val="24"/>
          <w:szCs w:val="24"/>
        </w:rPr>
        <w:t>贵金属：</w:t>
      </w:r>
      <w:r w:rsidR="00C06AC7" w:rsidRPr="00C06AC7">
        <w:rPr>
          <w:rFonts w:ascii="Times New Roman" w:eastAsia="楷体" w:hAnsi="Times New Roman" w:hint="eastAsia"/>
          <w:b/>
          <w:color w:val="000000" w:themeColor="text1"/>
          <w:sz w:val="24"/>
          <w:szCs w:val="24"/>
        </w:rPr>
        <w:t>海外鹰派预期升温，贵金属价格偏弱运行</w:t>
      </w:r>
      <w:bookmarkEnd w:id="9"/>
    </w:p>
    <w:p w:rsidR="003F56A5" w:rsidRDefault="00C06AC7">
      <w:pPr>
        <w:ind w:leftChars="300" w:left="630"/>
        <w:rPr>
          <w:rFonts w:ascii="Times New Roman" w:eastAsia="楷体" w:hAnsi="Times New Roman"/>
          <w:sz w:val="24"/>
          <w:szCs w:val="24"/>
        </w:rPr>
      </w:pPr>
      <w:r w:rsidRPr="00C06AC7">
        <w:rPr>
          <w:rFonts w:ascii="Times New Roman" w:eastAsia="楷体" w:hAnsi="Times New Roman" w:hint="eastAsia"/>
          <w:color w:val="000000" w:themeColor="text1"/>
          <w:sz w:val="24"/>
          <w:szCs w:val="24"/>
        </w:rPr>
        <w:t>美国众议院表示今日将举行会议讨论债务上限法案。昨夜沪金、沪银小幅回落，外盘</w:t>
      </w:r>
      <w:r w:rsidRPr="00C06AC7">
        <w:rPr>
          <w:rFonts w:ascii="Times New Roman" w:eastAsia="楷体" w:hAnsi="Times New Roman" w:hint="eastAsia"/>
          <w:color w:val="000000" w:themeColor="text1"/>
          <w:sz w:val="24"/>
          <w:szCs w:val="24"/>
        </w:rPr>
        <w:t>COMEX</w:t>
      </w:r>
      <w:r w:rsidRPr="00C06AC7">
        <w:rPr>
          <w:rFonts w:ascii="Times New Roman" w:eastAsia="楷体" w:hAnsi="Times New Roman" w:hint="eastAsia"/>
          <w:color w:val="000000" w:themeColor="text1"/>
          <w:sz w:val="24"/>
          <w:szCs w:val="24"/>
        </w:rPr>
        <w:t>金价回升至</w:t>
      </w:r>
      <w:r w:rsidRPr="00C06AC7">
        <w:rPr>
          <w:rFonts w:ascii="Times New Roman" w:eastAsia="楷体" w:hAnsi="Times New Roman" w:hint="eastAsia"/>
          <w:color w:val="000000" w:themeColor="text1"/>
          <w:sz w:val="24"/>
          <w:szCs w:val="24"/>
        </w:rPr>
        <w:t>1960</w:t>
      </w:r>
      <w:r w:rsidRPr="00C06AC7">
        <w:rPr>
          <w:rFonts w:ascii="Times New Roman" w:eastAsia="楷体" w:hAnsi="Times New Roman" w:hint="eastAsia"/>
          <w:color w:val="000000" w:themeColor="text1"/>
          <w:sz w:val="24"/>
          <w:szCs w:val="24"/>
        </w:rPr>
        <w:t>美元</w:t>
      </w:r>
      <w:r w:rsidRPr="00C06AC7">
        <w:rPr>
          <w:rFonts w:ascii="Times New Roman" w:eastAsia="楷体" w:hAnsi="Times New Roman" w:hint="eastAsia"/>
          <w:color w:val="000000" w:themeColor="text1"/>
          <w:sz w:val="24"/>
          <w:szCs w:val="24"/>
        </w:rPr>
        <w:t>/</w:t>
      </w:r>
      <w:r w:rsidRPr="00C06AC7">
        <w:rPr>
          <w:rFonts w:ascii="Times New Roman" w:eastAsia="楷体" w:hAnsi="Times New Roman" w:hint="eastAsia"/>
          <w:color w:val="000000" w:themeColor="text1"/>
          <w:sz w:val="24"/>
          <w:szCs w:val="24"/>
        </w:rPr>
        <w:t>盎司一线。近期海外鹰派预期升温，</w:t>
      </w:r>
      <w:r w:rsidRPr="00C06AC7">
        <w:rPr>
          <w:rFonts w:ascii="Times New Roman" w:eastAsia="楷体" w:hAnsi="Times New Roman" w:hint="eastAsia"/>
          <w:color w:val="000000" w:themeColor="text1"/>
          <w:sz w:val="24"/>
          <w:szCs w:val="24"/>
        </w:rPr>
        <w:t>CME FedWatch</w:t>
      </w:r>
      <w:r w:rsidRPr="00C06AC7">
        <w:rPr>
          <w:rFonts w:ascii="Times New Roman" w:eastAsia="楷体" w:hAnsi="Times New Roman" w:hint="eastAsia"/>
          <w:color w:val="000000" w:themeColor="text1"/>
          <w:sz w:val="24"/>
          <w:szCs w:val="24"/>
        </w:rPr>
        <w:t>模型显示外盘联邦基金利率期货价格反推的美联储</w:t>
      </w:r>
      <w:r w:rsidRPr="00C06AC7">
        <w:rPr>
          <w:rFonts w:ascii="Times New Roman" w:eastAsia="楷体" w:hAnsi="Times New Roman" w:hint="eastAsia"/>
          <w:color w:val="000000" w:themeColor="text1"/>
          <w:sz w:val="24"/>
          <w:szCs w:val="24"/>
        </w:rPr>
        <w:t>6</w:t>
      </w:r>
      <w:r w:rsidRPr="00C06AC7">
        <w:rPr>
          <w:rFonts w:ascii="Times New Roman" w:eastAsia="楷体" w:hAnsi="Times New Roman" w:hint="eastAsia"/>
          <w:color w:val="000000" w:themeColor="text1"/>
          <w:sz w:val="24"/>
          <w:szCs w:val="24"/>
        </w:rPr>
        <w:t>月加息</w:t>
      </w:r>
      <w:r w:rsidRPr="00C06AC7">
        <w:rPr>
          <w:rFonts w:ascii="Times New Roman" w:eastAsia="楷体" w:hAnsi="Times New Roman" w:hint="eastAsia"/>
          <w:color w:val="000000" w:themeColor="text1"/>
          <w:sz w:val="24"/>
          <w:szCs w:val="24"/>
        </w:rPr>
        <w:t>25bp</w:t>
      </w:r>
      <w:r w:rsidRPr="00C06AC7">
        <w:rPr>
          <w:rFonts w:ascii="Times New Roman" w:eastAsia="楷体" w:hAnsi="Times New Roman" w:hint="eastAsia"/>
          <w:color w:val="000000" w:themeColor="text1"/>
          <w:sz w:val="24"/>
          <w:szCs w:val="24"/>
        </w:rPr>
        <w:t>几率为</w:t>
      </w:r>
      <w:r w:rsidRPr="00C06AC7">
        <w:rPr>
          <w:rFonts w:ascii="Times New Roman" w:eastAsia="楷体" w:hAnsi="Times New Roman" w:hint="eastAsia"/>
          <w:color w:val="000000" w:themeColor="text1"/>
          <w:sz w:val="24"/>
          <w:szCs w:val="24"/>
        </w:rPr>
        <w:t>64.2%</w:t>
      </w:r>
      <w:r w:rsidRPr="00C06AC7">
        <w:rPr>
          <w:rFonts w:ascii="Times New Roman" w:eastAsia="楷体" w:hAnsi="Times New Roman" w:hint="eastAsia"/>
          <w:color w:val="000000" w:themeColor="text1"/>
          <w:sz w:val="24"/>
          <w:szCs w:val="24"/>
        </w:rPr>
        <w:t>。债务上限法案进展相对顺利、</w:t>
      </w:r>
      <w:r w:rsidRPr="00C06AC7">
        <w:rPr>
          <w:rFonts w:ascii="Times New Roman" w:eastAsia="楷体" w:hAnsi="Times New Roman" w:hint="eastAsia"/>
          <w:color w:val="000000" w:themeColor="text1"/>
          <w:sz w:val="24"/>
          <w:szCs w:val="24"/>
        </w:rPr>
        <w:t>6</w:t>
      </w:r>
      <w:r w:rsidRPr="00C06AC7">
        <w:rPr>
          <w:rFonts w:ascii="Times New Roman" w:eastAsia="楷体" w:hAnsi="Times New Roman" w:hint="eastAsia"/>
          <w:color w:val="000000" w:themeColor="text1"/>
          <w:sz w:val="24"/>
          <w:szCs w:val="24"/>
        </w:rPr>
        <w:t>月可能进一步加息等消息面因素短线对金价略为利空，关注周内多项美国经济数据公布情况，建议暂时观望</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642088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6420885"/>
      <w:r>
        <w:rPr>
          <w:rFonts w:ascii="楷体" w:eastAsia="楷体" w:hAnsi="楷体" w:hint="eastAsia"/>
          <w:b/>
          <w:color w:val="000000" w:themeColor="text1"/>
          <w:sz w:val="24"/>
          <w:szCs w:val="24"/>
        </w:rPr>
        <w:t>螺纹钢：</w:t>
      </w:r>
      <w:bookmarkEnd w:id="15"/>
      <w:bookmarkEnd w:id="16"/>
      <w:r w:rsidR="00115EEA" w:rsidRPr="00115EEA">
        <w:rPr>
          <w:rFonts w:ascii="楷体" w:eastAsia="楷体" w:hAnsi="楷体" w:hint="eastAsia"/>
          <w:b/>
          <w:color w:val="000000" w:themeColor="text1"/>
          <w:sz w:val="24"/>
          <w:szCs w:val="24"/>
        </w:rPr>
        <w:t>上方压力明显，短期观望为主</w:t>
      </w:r>
      <w:bookmarkEnd w:id="17"/>
    </w:p>
    <w:p w:rsidR="003F56A5" w:rsidRDefault="00115EEA">
      <w:pPr>
        <w:ind w:leftChars="300" w:left="630"/>
        <w:rPr>
          <w:rFonts w:ascii="楷体" w:eastAsia="楷体" w:hAnsi="楷体"/>
          <w:color w:val="000000" w:themeColor="text1"/>
          <w:sz w:val="24"/>
          <w:szCs w:val="24"/>
        </w:rPr>
      </w:pPr>
      <w:r w:rsidRPr="00115EEA">
        <w:rPr>
          <w:rFonts w:ascii="楷体" w:eastAsia="楷体" w:hAnsi="楷体" w:hint="eastAsia"/>
          <w:color w:val="000000" w:themeColor="text1"/>
          <w:sz w:val="24"/>
          <w:szCs w:val="24"/>
        </w:rPr>
        <w:t>产业估值相对偏低，但需求及成本对向下驱动不改，政策预期对价格下方具有一定支撑，市场震荡态势较为明显。基本面对价格运动的推进较为缓慢，更多由事件信号推动加速，关注动力煤加速下行、铁矿补跌压力等关键节点。建议关注上方（3530,3580）的压力区间</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6420886"/>
      <w:r>
        <w:rPr>
          <w:rFonts w:ascii="楷体" w:eastAsia="楷体" w:hAnsi="楷体" w:hint="eastAsia"/>
          <w:b/>
          <w:color w:val="000000" w:themeColor="text1"/>
          <w:sz w:val="24"/>
          <w:szCs w:val="24"/>
        </w:rPr>
        <w:t>焦炭：</w:t>
      </w:r>
      <w:bookmarkEnd w:id="18"/>
      <w:bookmarkEnd w:id="19"/>
      <w:r w:rsidR="00115EEA" w:rsidRPr="00115EEA">
        <w:rPr>
          <w:rFonts w:ascii="楷体" w:eastAsia="楷体" w:hAnsi="楷体" w:hint="eastAsia"/>
          <w:b/>
          <w:color w:val="000000" w:themeColor="text1"/>
          <w:sz w:val="24"/>
          <w:szCs w:val="24"/>
        </w:rPr>
        <w:t>情绪较为悲观，港口现货价格下行</w:t>
      </w:r>
      <w:bookmarkEnd w:id="20"/>
    </w:p>
    <w:p w:rsidR="003F56A5" w:rsidRDefault="00115EEA">
      <w:pPr>
        <w:ind w:leftChars="300" w:left="630"/>
        <w:rPr>
          <w:rFonts w:ascii="楷体" w:eastAsia="楷体" w:hAnsi="楷体"/>
          <w:color w:val="000000" w:themeColor="text1"/>
          <w:sz w:val="24"/>
          <w:szCs w:val="24"/>
        </w:rPr>
      </w:pPr>
      <w:r w:rsidRPr="00115EEA">
        <w:rPr>
          <w:rFonts w:ascii="楷体" w:eastAsia="楷体" w:hAnsi="楷体" w:hint="eastAsia"/>
          <w:color w:val="000000" w:themeColor="text1"/>
          <w:sz w:val="24"/>
          <w:szCs w:val="24"/>
        </w:rPr>
        <w:t>动力煤压力及产量平控压力或作用于原料，焦炭向上驱动不足，盘面走负反馈预期，短期偏弱运行，预计震荡区间（1850,2000）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6420887"/>
      <w:r>
        <w:rPr>
          <w:rFonts w:ascii="楷体" w:eastAsia="楷体" w:hAnsi="楷体" w:hint="eastAsia"/>
          <w:b/>
          <w:color w:val="000000" w:themeColor="text1"/>
          <w:sz w:val="24"/>
          <w:szCs w:val="24"/>
        </w:rPr>
        <w:t>焦煤：</w:t>
      </w:r>
      <w:r w:rsidR="00115EEA" w:rsidRPr="00115EEA">
        <w:rPr>
          <w:rFonts w:ascii="楷体" w:eastAsia="楷体" w:hAnsi="楷体" w:hint="eastAsia"/>
          <w:b/>
          <w:sz w:val="24"/>
          <w:szCs w:val="24"/>
        </w:rPr>
        <w:t>成材及动力煤带动加速下行，现货仍有下行压力</w:t>
      </w:r>
      <w:bookmarkEnd w:id="21"/>
    </w:p>
    <w:p w:rsidR="003F56A5" w:rsidRDefault="00115EEA">
      <w:pPr>
        <w:ind w:leftChars="300" w:left="630"/>
        <w:rPr>
          <w:rFonts w:ascii="楷体" w:eastAsia="楷体" w:hAnsi="楷体"/>
          <w:bCs/>
          <w:sz w:val="24"/>
          <w:szCs w:val="24"/>
        </w:rPr>
      </w:pPr>
      <w:r w:rsidRPr="00115EEA">
        <w:rPr>
          <w:rFonts w:ascii="楷体" w:eastAsia="楷体" w:hAnsi="楷体" w:hint="eastAsia"/>
          <w:sz w:val="24"/>
          <w:szCs w:val="24"/>
        </w:rPr>
        <w:t>成材价格及动力煤风险暴露驱动焦煤价格向下，但焦煤自身基本面边际好转，现货偏稳运行。预期推动盘面破位下行，动力煤仍在探底中，下游已经适当补库，煤价反弹幅度有限，预计在（1180,1300）区间震荡</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6420888"/>
      <w:r>
        <w:rPr>
          <w:rFonts w:ascii="楷体" w:eastAsia="楷体" w:hAnsi="楷体" w:hint="eastAsia"/>
          <w:b/>
          <w:color w:val="000000" w:themeColor="text1"/>
          <w:sz w:val="24"/>
          <w:szCs w:val="24"/>
        </w:rPr>
        <w:t>铜：</w:t>
      </w:r>
      <w:bookmarkEnd w:id="22"/>
      <w:bookmarkEnd w:id="23"/>
      <w:r w:rsidR="00115EEA" w:rsidRPr="00115EEA">
        <w:rPr>
          <w:rFonts w:ascii="楷体" w:eastAsia="楷体" w:hAnsi="楷体" w:hint="eastAsia"/>
          <w:b/>
          <w:color w:val="000000" w:themeColor="text1"/>
          <w:sz w:val="24"/>
          <w:szCs w:val="24"/>
        </w:rPr>
        <w:t>短期宏观利空影响缓和，铜价反弹但空间有限</w:t>
      </w:r>
      <w:bookmarkEnd w:id="24"/>
    </w:p>
    <w:p w:rsidR="00115EEA" w:rsidRPr="00115EEA" w:rsidRDefault="00115EEA" w:rsidP="00115EEA">
      <w:pPr>
        <w:ind w:leftChars="300" w:left="630"/>
        <w:rPr>
          <w:rFonts w:ascii="楷体" w:eastAsia="楷体" w:hAnsi="楷体" w:hint="eastAsia"/>
          <w:color w:val="000000" w:themeColor="text1"/>
          <w:sz w:val="24"/>
          <w:szCs w:val="24"/>
        </w:rPr>
      </w:pPr>
      <w:r w:rsidRPr="00115EEA">
        <w:rPr>
          <w:rFonts w:ascii="楷体" w:eastAsia="楷体" w:hAnsi="楷体" w:hint="eastAsia"/>
          <w:color w:val="000000" w:themeColor="text1"/>
          <w:sz w:val="24"/>
          <w:szCs w:val="24"/>
        </w:rPr>
        <w:t>(1)库存：5月29日，SHFE仓单库存42102吨，减799吨。LME因春季银行假休市一天。</w:t>
      </w:r>
    </w:p>
    <w:p w:rsidR="00115EEA" w:rsidRPr="00115EEA" w:rsidRDefault="00115EEA" w:rsidP="00115EEA">
      <w:pPr>
        <w:ind w:leftChars="300" w:left="630"/>
        <w:rPr>
          <w:rFonts w:ascii="楷体" w:eastAsia="楷体" w:hAnsi="楷体" w:hint="eastAsia"/>
          <w:color w:val="000000" w:themeColor="text1"/>
          <w:sz w:val="24"/>
          <w:szCs w:val="24"/>
        </w:rPr>
      </w:pPr>
      <w:r w:rsidRPr="00115EEA">
        <w:rPr>
          <w:rFonts w:ascii="楷体" w:eastAsia="楷体" w:hAnsi="楷体" w:hint="eastAsia"/>
          <w:color w:val="000000" w:themeColor="text1"/>
          <w:sz w:val="24"/>
          <w:szCs w:val="24"/>
        </w:rPr>
        <w:t>(2)精废价差：5月29日，Mysteel精废价差1214，扩大360。目前价差在</w:t>
      </w:r>
      <w:r w:rsidRPr="00115EEA">
        <w:rPr>
          <w:rFonts w:ascii="楷体" w:eastAsia="楷体" w:hAnsi="楷体" w:hint="eastAsia"/>
          <w:color w:val="000000" w:themeColor="text1"/>
          <w:sz w:val="24"/>
          <w:szCs w:val="24"/>
        </w:rPr>
        <w:lastRenderedPageBreak/>
        <w:t>合理价差1355之下。</w:t>
      </w:r>
    </w:p>
    <w:p w:rsidR="00115EEA" w:rsidRPr="00115EEA" w:rsidRDefault="00115EEA" w:rsidP="00115EEA">
      <w:pPr>
        <w:ind w:leftChars="300" w:left="630"/>
        <w:rPr>
          <w:rFonts w:ascii="楷体" w:eastAsia="楷体" w:hAnsi="楷体"/>
          <w:color w:val="000000" w:themeColor="text1"/>
          <w:sz w:val="24"/>
          <w:szCs w:val="24"/>
        </w:rPr>
      </w:pPr>
    </w:p>
    <w:p w:rsidR="00A71A7E" w:rsidRPr="00A71A7E" w:rsidRDefault="00115EEA" w:rsidP="00115EEA">
      <w:pPr>
        <w:ind w:leftChars="300" w:left="630"/>
        <w:rPr>
          <w:rFonts w:ascii="楷体" w:eastAsia="楷体" w:hAnsi="楷体"/>
          <w:color w:val="000000" w:themeColor="text1"/>
          <w:sz w:val="24"/>
          <w:szCs w:val="24"/>
        </w:rPr>
      </w:pPr>
      <w:r w:rsidRPr="00115EEA">
        <w:rPr>
          <w:rFonts w:ascii="楷体" w:eastAsia="楷体" w:hAnsi="楷体" w:hint="eastAsia"/>
          <w:color w:val="000000" w:themeColor="text1"/>
          <w:sz w:val="24"/>
          <w:szCs w:val="24"/>
        </w:rPr>
        <w:t>综述：美国债务上限问题取得进展，市场风险偏好回升。美联储6月加息25BP已被较为充分定价，短期宏观利空影响出现一定程度缓和。欧美通胀数据仍具韧性，高利率大概率仍将维持，衰退交易仍有反复可能性，对铜价形成制约。基本面，海外持续累库，LME现货大幅贴水，国内进口窗口打开，国内现货紧张程度缓解。预计铜价反弹高度有限，短期价格波动参考64000-65500</w:t>
      </w:r>
      <w:r w:rsidR="00A71A7E" w:rsidRPr="00A71A7E">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4A3F85" w:rsidRDefault="00CC3FFA" w:rsidP="004A3F85">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6420889"/>
      <w:r>
        <w:rPr>
          <w:rFonts w:ascii="楷体" w:eastAsia="楷体" w:hAnsi="楷体" w:hint="eastAsia"/>
          <w:b/>
          <w:color w:val="000000" w:themeColor="text1"/>
          <w:sz w:val="24"/>
          <w:szCs w:val="24"/>
        </w:rPr>
        <w:t>铝：</w:t>
      </w:r>
      <w:bookmarkEnd w:id="25"/>
      <w:bookmarkEnd w:id="26"/>
      <w:r w:rsidR="00115EEA" w:rsidRPr="00115EEA">
        <w:rPr>
          <w:rFonts w:ascii="楷体" w:eastAsia="楷体" w:hAnsi="楷体" w:hint="eastAsia"/>
          <w:b/>
          <w:color w:val="000000" w:themeColor="text1"/>
          <w:sz w:val="24"/>
          <w:szCs w:val="24"/>
        </w:rPr>
        <w:t>铝价支撑偏弱仍有下行压力</w:t>
      </w:r>
      <w:bookmarkEnd w:id="27"/>
    </w:p>
    <w:p w:rsidR="003F56A5" w:rsidRDefault="00115EEA" w:rsidP="00CF7A9A">
      <w:pPr>
        <w:ind w:leftChars="300" w:left="630"/>
        <w:rPr>
          <w:rFonts w:ascii="楷体" w:eastAsia="楷体" w:hAnsi="楷体"/>
          <w:color w:val="000000" w:themeColor="text1"/>
          <w:sz w:val="24"/>
          <w:szCs w:val="24"/>
        </w:rPr>
      </w:pPr>
      <w:r w:rsidRPr="00115EEA">
        <w:rPr>
          <w:rFonts w:ascii="楷体" w:eastAsia="楷体" w:hAnsi="楷体" w:hint="eastAsia"/>
          <w:color w:val="000000" w:themeColor="text1"/>
          <w:sz w:val="24"/>
          <w:szCs w:val="24"/>
        </w:rPr>
        <w:t>美国债务上限达成协议，市场担忧明显走弱，但整体交投情绪提振乏力。国内电解铝成本支撑坍塌，氧化铝产能过剩，辅料价格震荡下行，电价走弱，目前电解铝利润位于相对高位，未来有挤出可能。西南部分地区持续推进复产，云南逐步进入丰水期，后期当地供应或有复产，消息面传出云南前期减产产能或部分维持停产，供应有走增预期。铝下游加工龙头企业开工率小幅下降，铝水比例维持高位，铸锭存量承压，国内交易所库存及社会库存维持强去库，而铝棒去库不畅一定程度上抑制铝棒加工费反弹，海外需求受大环境影响疲弱乏力，国内铝消费转入淡季，内需消费维持但表现不及市场预期。铝价前期反弹上万八， 昨日夜盘再度跌破，价格仍有较大下行空间，建议逢高做空</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6420890"/>
      <w:r>
        <w:rPr>
          <w:rFonts w:ascii="楷体" w:eastAsia="楷体" w:hAnsi="楷体" w:hint="eastAsia"/>
          <w:b/>
          <w:color w:val="000000" w:themeColor="text1"/>
          <w:sz w:val="24"/>
          <w:szCs w:val="24"/>
        </w:rPr>
        <w:t>锌：</w:t>
      </w:r>
      <w:r w:rsidR="00115EEA" w:rsidRPr="00115EEA">
        <w:rPr>
          <w:rFonts w:ascii="楷体" w:eastAsia="楷体" w:hAnsi="楷体" w:hint="eastAsia"/>
          <w:b/>
          <w:color w:val="000000" w:themeColor="text1"/>
          <w:sz w:val="24"/>
          <w:szCs w:val="24"/>
        </w:rPr>
        <w:t>锌价短期反弹，建议逢高布空</w:t>
      </w:r>
      <w:bookmarkEnd w:id="28"/>
    </w:p>
    <w:p w:rsidR="003F56A5" w:rsidRDefault="00115EEA" w:rsidP="000B0648">
      <w:pPr>
        <w:ind w:leftChars="300" w:left="630"/>
        <w:rPr>
          <w:rFonts w:ascii="楷体" w:eastAsia="楷体" w:hAnsi="楷体"/>
          <w:color w:val="000000" w:themeColor="text1"/>
          <w:sz w:val="24"/>
          <w:szCs w:val="24"/>
        </w:rPr>
      </w:pPr>
      <w:r w:rsidRPr="00115EEA">
        <w:rPr>
          <w:rFonts w:ascii="楷体" w:eastAsia="楷体" w:hAnsi="楷体" w:hint="eastAsia"/>
          <w:color w:val="000000" w:themeColor="text1"/>
          <w:sz w:val="24"/>
          <w:szCs w:val="24"/>
        </w:rPr>
        <w:t>国内锌价前期跌出成本支撑后再度反弹上万九，基本面上看，海外大部分炼厂暂未有大规模复产动作，海外需求延续疲弱。国内矿端供应稳定，中游加工多维持较高开工水平，近期锌价大幅走跌，冶炼利润大幅走出，企业生产积极性走弱，消费端进入淡季，镀锌、压住锌、氧化锌开工率平平，企业终端新增订单表现铅价，实际海内外锌库存整体依旧偏低，锌价触及成本仍有支撑，整体来看价格依旧承压，有下行可能</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6420891"/>
      <w:r>
        <w:rPr>
          <w:rFonts w:ascii="楷体" w:eastAsia="楷体" w:hAnsi="楷体" w:hint="eastAsia"/>
          <w:b/>
          <w:color w:val="000000" w:themeColor="text1"/>
          <w:sz w:val="24"/>
          <w:szCs w:val="24"/>
        </w:rPr>
        <w:t>镍：</w:t>
      </w:r>
      <w:r w:rsidR="00EC2B12" w:rsidRPr="00EC2B12">
        <w:rPr>
          <w:rFonts w:ascii="楷体" w:eastAsia="楷体" w:hAnsi="楷体" w:hint="eastAsia"/>
          <w:b/>
          <w:color w:val="000000" w:themeColor="text1"/>
          <w:sz w:val="24"/>
          <w:szCs w:val="24"/>
        </w:rPr>
        <w:t>宏观偏空助推价格大跌，低库存或仍提供支撑</w:t>
      </w:r>
      <w:bookmarkEnd w:id="29"/>
    </w:p>
    <w:p w:rsidR="003F56A5" w:rsidRDefault="00EC2B12">
      <w:pPr>
        <w:ind w:leftChars="300" w:left="630"/>
        <w:rPr>
          <w:rFonts w:ascii="楷体" w:eastAsia="楷体" w:hAnsi="楷体"/>
          <w:color w:val="000000" w:themeColor="text1"/>
          <w:sz w:val="24"/>
          <w:szCs w:val="24"/>
        </w:rPr>
      </w:pPr>
      <w:r w:rsidRPr="00EC2B12">
        <w:rPr>
          <w:rFonts w:ascii="楷体" w:eastAsia="楷体" w:hAnsi="楷体" w:hint="eastAsia"/>
          <w:color w:val="000000" w:themeColor="text1"/>
          <w:sz w:val="24"/>
          <w:szCs w:val="24"/>
        </w:rPr>
        <w:t>宏观市场情绪遇冷是近期价格大幅下跌的主因，海外衰退风险并未解除，国内经济复苏不及预期，人民币汇率近期持续走弱，整体有色维持偏弱运行。纯镍中期有较多的供应增量预期持续给价格带来压力，但现实低库存及大back结构使得继续追空存在风险。盘面看，沪镍下跌至16万附近后，受到支撑而强势反弹，技术信号有所增强；暂对镍价持震荡预判，区间16-17.7万。操作上，基于估值角度逢高沽空</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0" w:name="_Toc136420892"/>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115EEA" w:rsidRPr="00115EEA">
        <w:rPr>
          <w:rFonts w:ascii="楷体" w:eastAsia="楷体" w:hAnsi="楷体" w:hint="eastAsia"/>
          <w:b/>
          <w:color w:val="000000" w:themeColor="text1"/>
          <w:sz w:val="24"/>
          <w:szCs w:val="24"/>
        </w:rPr>
        <w:t>铅价延续震荡态势</w:t>
      </w:r>
      <w:bookmarkEnd w:id="30"/>
    </w:p>
    <w:p w:rsidR="008B13D2" w:rsidRPr="008B13D2" w:rsidRDefault="00115EEA" w:rsidP="008B13D2">
      <w:pPr>
        <w:ind w:leftChars="300" w:left="630"/>
        <w:rPr>
          <w:rFonts w:ascii="楷体" w:eastAsia="楷体" w:hAnsi="楷体"/>
          <w:color w:val="000000" w:themeColor="text1"/>
          <w:sz w:val="24"/>
          <w:szCs w:val="24"/>
        </w:rPr>
      </w:pPr>
      <w:r w:rsidRPr="00115EEA">
        <w:rPr>
          <w:rFonts w:ascii="楷体" w:eastAsia="楷体" w:hAnsi="楷体" w:hint="eastAsia"/>
          <w:color w:val="000000" w:themeColor="text1"/>
          <w:sz w:val="24"/>
          <w:szCs w:val="24"/>
        </w:rPr>
        <w:t>宏观情绪走缓，有色今日普涨，铅价逆向小幅下跌。5月部分原生铅炼厂或进入检修，产量预期小幅下行，再生铅有产量增量，废旧电瓶价格部分地区小幅下调但库存依然偏紧。下游需求依然受淡季影响消费一般，蓄电池开工率不及上月水平，周度开工率环比持平，铅锭库存位于低位且库存走增，价格仍有支撑，预期铅价延续震荡态势</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36420893"/>
      <w:r>
        <w:rPr>
          <w:rFonts w:ascii="楷体" w:eastAsia="楷体" w:hAnsi="楷体" w:hint="eastAsia"/>
          <w:b/>
          <w:color w:val="000000" w:themeColor="text1"/>
          <w:sz w:val="24"/>
          <w:szCs w:val="24"/>
        </w:rPr>
        <w:lastRenderedPageBreak/>
        <w:t>不锈钢：</w:t>
      </w:r>
      <w:r w:rsidR="00115EEA" w:rsidRPr="00115EEA">
        <w:rPr>
          <w:rFonts w:ascii="楷体" w:eastAsia="楷体" w:hAnsi="楷体" w:hint="eastAsia"/>
          <w:b/>
          <w:color w:val="000000" w:themeColor="text1"/>
          <w:sz w:val="24"/>
          <w:szCs w:val="24"/>
        </w:rPr>
        <w:t>短期驱动有限，震荡为主</w:t>
      </w:r>
      <w:bookmarkEnd w:id="31"/>
    </w:p>
    <w:p w:rsidR="003F56A5" w:rsidRDefault="00115EEA">
      <w:pPr>
        <w:ind w:leftChars="300" w:left="630"/>
        <w:rPr>
          <w:rFonts w:ascii="楷体" w:eastAsia="楷体" w:hAnsi="楷体"/>
          <w:color w:val="000000" w:themeColor="text1"/>
          <w:sz w:val="24"/>
          <w:szCs w:val="24"/>
        </w:rPr>
      </w:pPr>
      <w:r w:rsidRPr="00115EEA">
        <w:rPr>
          <w:rFonts w:ascii="楷体" w:eastAsia="楷体" w:hAnsi="楷体" w:hint="eastAsia"/>
          <w:color w:val="000000" w:themeColor="text1"/>
          <w:sz w:val="24"/>
          <w:szCs w:val="24"/>
        </w:rPr>
        <w:t>因5月实际产量不及预期，本周不锈钢社会库存再次出现明显下降，目前库存水平基本持平去年同期，前期库存压力明显缓解，对市场情绪有所提振，但预期价格难有明显反弹，因原料镍铁价格继续下调，成本端无法提供有力支撑，且供应弹性大而需求疲弱下，价格驱动不强。预计短期仍以震荡为主，SS2307参考14500-15200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2" w:name="_Toc136420894"/>
      <w:r>
        <w:rPr>
          <w:rFonts w:ascii="楷体" w:eastAsia="楷体" w:hAnsi="楷体" w:hint="eastAsia"/>
          <w:b/>
          <w:color w:val="000000" w:themeColor="text1"/>
          <w:sz w:val="24"/>
          <w:szCs w:val="24"/>
        </w:rPr>
        <w:t>工业硅：</w:t>
      </w:r>
      <w:r w:rsidR="00115EEA" w:rsidRPr="00115EEA">
        <w:rPr>
          <w:rFonts w:ascii="楷体" w:eastAsia="楷体" w:hAnsi="楷体" w:hint="eastAsia"/>
          <w:b/>
          <w:sz w:val="24"/>
          <w:szCs w:val="24"/>
        </w:rPr>
        <w:t>供需格局难改善，市场或仍将承压运行</w:t>
      </w:r>
      <w:bookmarkEnd w:id="32"/>
    </w:p>
    <w:p w:rsidR="003F56A5" w:rsidRDefault="00115EEA" w:rsidP="007103A5">
      <w:pPr>
        <w:ind w:leftChars="300" w:left="630"/>
        <w:rPr>
          <w:rFonts w:ascii="楷体" w:eastAsia="楷体" w:hAnsi="楷体"/>
          <w:sz w:val="24"/>
          <w:szCs w:val="24"/>
        </w:rPr>
      </w:pPr>
      <w:r w:rsidRPr="00115EEA">
        <w:rPr>
          <w:rFonts w:ascii="楷体" w:eastAsia="楷体" w:hAnsi="楷体" w:hint="eastAsia"/>
          <w:sz w:val="24"/>
          <w:szCs w:val="24"/>
        </w:rPr>
        <w:t>5月29日，Si2308主力合约呈冲高回落走势，收盘价12880元/吨，较上一收盘价涨跌幅＋0.16%。当前工业硅现货市场成交较为清淡，需求暂无明显改善，叠加高库存压力，以及西南工厂丰水期复产预期背景下，情形下，导致各消费领域均以刚需采购工业硅为主。整体来看，短期供需格局较难出现明显改善，预计市场仍将承压运行</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3" w:name="化工"/>
      <w:r>
        <w:rPr>
          <w:rFonts w:ascii="Times New Roman" w:eastAsia="楷体" w:hAnsi="Times New Roman" w:hint="eastAsia"/>
          <w:b/>
          <w:color w:val="823C0B"/>
          <w:sz w:val="30"/>
          <w:szCs w:val="30"/>
        </w:rPr>
        <w:t xml:space="preserve"> </w:t>
      </w:r>
      <w:bookmarkStart w:id="34" w:name="_Toc13642089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3"/>
      <w:bookmarkEnd w:id="34"/>
    </w:p>
    <w:p w:rsidR="003F56A5" w:rsidRPr="005B790A" w:rsidRDefault="00CC3FFA" w:rsidP="005B790A">
      <w:pPr>
        <w:ind w:firstLineChars="200" w:firstLine="482"/>
        <w:outlineLvl w:val="1"/>
        <w:rPr>
          <w:rFonts w:ascii="楷体" w:eastAsia="楷体" w:hAnsi="楷体"/>
          <w:b/>
          <w:sz w:val="24"/>
          <w:szCs w:val="24"/>
        </w:rPr>
      </w:pPr>
      <w:bookmarkStart w:id="35" w:name="_Toc136420896"/>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115EEA" w:rsidRPr="00115EEA">
        <w:rPr>
          <w:rFonts w:ascii="楷体" w:eastAsia="楷体" w:hAnsi="楷体" w:hint="eastAsia"/>
          <w:b/>
          <w:sz w:val="24"/>
          <w:szCs w:val="24"/>
        </w:rPr>
        <w:t>短期市场利好释放较少，RU或低位震荡为主</w:t>
      </w:r>
      <w:bookmarkEnd w:id="35"/>
    </w:p>
    <w:p w:rsidR="003F56A5" w:rsidRDefault="00115EEA">
      <w:pPr>
        <w:ind w:leftChars="300" w:left="630"/>
        <w:rPr>
          <w:rFonts w:ascii="楷体" w:eastAsia="楷体" w:hAnsi="楷体"/>
          <w:sz w:val="24"/>
          <w:szCs w:val="24"/>
        </w:rPr>
      </w:pPr>
      <w:r w:rsidRPr="00115EEA">
        <w:rPr>
          <w:rFonts w:ascii="楷体" w:eastAsia="楷体" w:hAnsi="楷体" w:hint="eastAsia"/>
          <w:sz w:val="24"/>
          <w:szCs w:val="24"/>
        </w:rPr>
        <w:t>点评：昨日橡胶小涨，但未形成趋势。当前制约RU价格上行的主要矛盾还是屡创新高的港口库存。随着港口货源持续到港，库存消化不及预期。橡胶其余基本面来看，供应端，近期国内外产区干旱受降雨增多有所缓解，云南地区白粉病问题炒作热度减弱，但短时全球供增量有限。泰国宋卡原料价格基本与当前胶价持平，成本端支撑尚可。橡胶下游轮胎方面，目前各轮胎企业外贸新订单量表现不一，5月份整体出货环比表现走弱，库存缓慢抬升。部分以内销为主的企业，成品库存逐步承压，6月份存检修可能，将对整体样本开工形成一定拖拽，全钢胎企业产能利用率下调幅度或将大于半钢胎。终端汽车方面，3月以来多数车企化身“价格屠夫”，4月汽车产销同比大幅好转，但主要与去年同期低基数有关，环比下滑证明汽车购买需求在优惠政策出尽下仍然低迷；重卡销量4月环比出现下滑，主因房地产和基建开工下滑导致非完整车辆销售不佳所致。目前橡胶终端需求支撑不强，但也并未对橡胶形成太大的不利因素。出口方面，Q1轮胎累计出口量同比微幅回升，前期对海外市场经济衰退和轮胎消费疲软的预期被证实过度悲观。综合来看，短期内橡胶收储发酵缺乏基本面支撑，持续好转预期仍弱。此外，RU2401-RU2309价差回落在一定程度上反应了仓单增长的预期，同时也显示了轮储可能性的下降。在目前橡胶基本面颓势下，同时面临着09合约交割前期现价差回归压力下，后期行情仍会回归供需基本面属性，低位震荡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6420897"/>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115EEA" w:rsidRPr="00115EEA">
        <w:rPr>
          <w:rFonts w:ascii="楷体" w:eastAsia="楷体" w:hAnsi="楷体" w:hint="eastAsia"/>
          <w:b/>
          <w:color w:val="000000" w:themeColor="text1"/>
          <w:sz w:val="24"/>
          <w:szCs w:val="24"/>
        </w:rPr>
        <w:t>底部支撑稳固，关注近月低多或正套机会</w:t>
      </w:r>
      <w:bookmarkEnd w:id="36"/>
      <w:r>
        <w:rPr>
          <w:rFonts w:ascii="楷体" w:eastAsia="楷体" w:hAnsi="楷体" w:hint="eastAsia"/>
          <w:b/>
          <w:color w:val="000000" w:themeColor="text1"/>
          <w:sz w:val="24"/>
          <w:szCs w:val="24"/>
        </w:rPr>
        <w:t xml:space="preserve"> </w:t>
      </w:r>
    </w:p>
    <w:p w:rsidR="00115EEA" w:rsidRPr="00115EEA" w:rsidRDefault="00115EEA" w:rsidP="00115EEA">
      <w:pPr>
        <w:ind w:leftChars="300" w:left="630"/>
        <w:rPr>
          <w:rFonts w:ascii="楷体" w:eastAsia="楷体" w:hAnsi="楷体" w:hint="eastAsia"/>
          <w:color w:val="000000" w:themeColor="text1"/>
          <w:sz w:val="24"/>
          <w:szCs w:val="24"/>
        </w:rPr>
      </w:pPr>
      <w:r w:rsidRPr="00115EEA">
        <w:rPr>
          <w:rFonts w:ascii="楷体" w:eastAsia="楷体" w:hAnsi="楷体" w:hint="eastAsia"/>
          <w:color w:val="000000" w:themeColor="text1"/>
          <w:sz w:val="24"/>
          <w:szCs w:val="24"/>
        </w:rPr>
        <w:t>成本端方面，本周为OPEC+6月部长级会议的重要事件节点，美国债务上限缓解后，盘面回归美联储加息预期，宏观层面面临新的压力。</w:t>
      </w:r>
    </w:p>
    <w:p w:rsidR="00115EEA" w:rsidRPr="00115EEA" w:rsidRDefault="00115EEA" w:rsidP="00115EEA">
      <w:pPr>
        <w:ind w:leftChars="300" w:left="630"/>
        <w:rPr>
          <w:rFonts w:ascii="楷体" w:eastAsia="楷体" w:hAnsi="楷体" w:hint="eastAsia"/>
          <w:color w:val="000000" w:themeColor="text1"/>
          <w:sz w:val="24"/>
          <w:szCs w:val="24"/>
        </w:rPr>
      </w:pPr>
      <w:r w:rsidRPr="00115EEA">
        <w:rPr>
          <w:rFonts w:ascii="楷体" w:eastAsia="楷体" w:hAnsi="楷体" w:hint="eastAsia"/>
          <w:color w:val="000000" w:themeColor="text1"/>
          <w:sz w:val="24"/>
          <w:szCs w:val="24"/>
        </w:rPr>
        <w:t>PTA供给方面，恒力4#5月20日开启3周左右检修，新疆中泰5.7起检修，预计7月中重启；福建百宏一套250万吨PTA装置于上周末停车检修，暂定维持20天；华东一套250万吨PTA装置计划本周停车检修，暂定维</w:t>
      </w:r>
      <w:r w:rsidRPr="00115EEA">
        <w:rPr>
          <w:rFonts w:ascii="楷体" w:eastAsia="楷体" w:hAnsi="楷体" w:hint="eastAsia"/>
          <w:color w:val="000000" w:themeColor="text1"/>
          <w:sz w:val="24"/>
          <w:szCs w:val="24"/>
        </w:rPr>
        <w:lastRenderedPageBreak/>
        <w:t>持两周左右，至5.24 PTA负荷下调至71.9%。</w:t>
      </w:r>
    </w:p>
    <w:p w:rsidR="00115EEA" w:rsidRPr="00115EEA" w:rsidRDefault="00115EEA" w:rsidP="00115EEA">
      <w:pPr>
        <w:ind w:leftChars="300" w:left="630"/>
        <w:rPr>
          <w:rFonts w:ascii="楷体" w:eastAsia="楷体" w:hAnsi="楷体" w:hint="eastAsia"/>
          <w:color w:val="000000" w:themeColor="text1"/>
          <w:sz w:val="24"/>
          <w:szCs w:val="24"/>
        </w:rPr>
      </w:pPr>
      <w:r w:rsidRPr="00115EEA">
        <w:rPr>
          <w:rFonts w:ascii="楷体" w:eastAsia="楷体" w:hAnsi="楷体" w:hint="eastAsia"/>
          <w:color w:val="000000" w:themeColor="text1"/>
          <w:sz w:val="24"/>
          <w:szCs w:val="24"/>
        </w:rPr>
        <w:t>需求方面，本周有一套检修装置开启，而前期减产或检修开启装置仍有提负动作存在，包括长丝、短纤和切片等等，聚酯负荷整体继续提升。截至5.26，初步核算国内大陆地区聚酯负荷在90.1%附近。聚酯在效益改善的情况下，聚酯企业近期负荷稳步提升。</w:t>
      </w:r>
    </w:p>
    <w:p w:rsidR="003F56A5" w:rsidRDefault="00115EEA" w:rsidP="00115EEA">
      <w:pPr>
        <w:ind w:leftChars="300" w:left="630"/>
        <w:rPr>
          <w:rFonts w:ascii="楷体" w:eastAsia="楷体" w:hAnsi="楷体"/>
          <w:color w:val="000000" w:themeColor="text1"/>
          <w:sz w:val="24"/>
          <w:szCs w:val="24"/>
        </w:rPr>
      </w:pPr>
      <w:r w:rsidRPr="00115EEA">
        <w:rPr>
          <w:rFonts w:ascii="楷体" w:eastAsia="楷体" w:hAnsi="楷体" w:hint="eastAsia"/>
          <w:color w:val="000000" w:themeColor="text1"/>
          <w:sz w:val="24"/>
          <w:szCs w:val="24"/>
        </w:rPr>
        <w:t>展望后市，PTA近期装置计划检修增多，开工率近期回落明显。5-6月聚酯产品效益改善开工率提升，供需格局尚可维持。随着TA检修执行开工率下滑及聚酯开工的修复持续，PTA的流动性可能略收紧。原油需求仍处季节性旺季，若本周宏观风险企稳，油价大概率延续修复性反弹，且TA供需格局尚可，关注近月短多及多9空1策略。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6420898"/>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7"/>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38" w:name="_Toc136420899"/>
      <w:r>
        <w:rPr>
          <w:rFonts w:ascii="楷体" w:eastAsia="楷体" w:hAnsi="楷体" w:hint="eastAsia"/>
          <w:b/>
          <w:color w:val="000000" w:themeColor="text1"/>
          <w:sz w:val="24"/>
          <w:szCs w:val="24"/>
        </w:rPr>
        <w:t>聚烯烃：</w:t>
      </w:r>
      <w:r w:rsidR="00115EEA" w:rsidRPr="00115EEA">
        <w:rPr>
          <w:rFonts w:ascii="楷体" w:eastAsia="楷体" w:hAnsi="楷体" w:hint="eastAsia"/>
          <w:b/>
          <w:color w:val="000000" w:themeColor="text1"/>
          <w:sz w:val="24"/>
          <w:szCs w:val="24"/>
        </w:rPr>
        <w:t>原油利好提振 聚烯烃或震荡偏强整理</w:t>
      </w:r>
      <w:bookmarkEnd w:id="38"/>
    </w:p>
    <w:p w:rsidR="003F56A5" w:rsidRDefault="00115EEA">
      <w:pPr>
        <w:ind w:leftChars="300" w:left="630"/>
        <w:rPr>
          <w:rFonts w:ascii="楷体" w:eastAsia="楷体" w:hAnsi="楷体"/>
          <w:bCs/>
          <w:sz w:val="24"/>
          <w:szCs w:val="24"/>
        </w:rPr>
      </w:pPr>
      <w:r w:rsidRPr="00115EEA">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美国白宫和国会谈判代表就提高美国债务上限、避免违约达成了一项初步协议，国际油价上涨，然而美国继续加息的可能性抑制了油价涨幅；需求方面，PE下游方面，农膜整体需求平平，工厂生产清淡。棚膜工厂多停机检修；PP下游方面，BOPP市场成交刚需有量，整体量较上一交易日增加，BOPP企业未交付订单多数在一周以内，个别可至5月下旬。综合来看，PE方面，原油价格上涨，为聚乙烯成本面提供支撑；生产企业虽部分装置开车，但供应压力不大；现阶段需求面原料价格处于低位，部分工厂逢低采购意向增加且随着天气转热，小中空、以及食品包装预计对薄膜需求呈增加预期。综上所述预计今日聚乙烯现货价格或震荡偏强整理。PP方面，成本端原油反弹。供应端检修装置陆续重启，新装置投产在即，供应压力增大。下游开工偏弱，需求依然低迷，贸易商去库缓慢，宏观面无利好提振，市场偏空心态继续发酵，预计今日市场或将震荡整理</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36420900"/>
      <w:r>
        <w:rPr>
          <w:rFonts w:ascii="楷体" w:eastAsia="楷体" w:hAnsi="楷体" w:hint="eastAsia"/>
          <w:b/>
          <w:color w:val="000000" w:themeColor="text1"/>
          <w:sz w:val="24"/>
          <w:szCs w:val="24"/>
        </w:rPr>
        <w:lastRenderedPageBreak/>
        <w:t>MEG：</w:t>
      </w:r>
      <w:r w:rsidR="00115EEA" w:rsidRPr="00115EEA">
        <w:rPr>
          <w:rFonts w:ascii="楷体" w:eastAsia="楷体" w:hAnsi="楷体" w:hint="eastAsia"/>
          <w:b/>
          <w:color w:val="000000" w:themeColor="text1"/>
          <w:sz w:val="24"/>
          <w:szCs w:val="24"/>
        </w:rPr>
        <w:t>估值偏低及聚酯开工高位  把握阶段性低多机会</w:t>
      </w:r>
      <w:bookmarkEnd w:id="39"/>
    </w:p>
    <w:p w:rsidR="00115EEA" w:rsidRPr="00115EEA" w:rsidRDefault="00115EEA" w:rsidP="00115EEA">
      <w:pPr>
        <w:ind w:leftChars="300" w:left="630"/>
        <w:rPr>
          <w:rFonts w:ascii="楷体" w:eastAsia="楷体" w:hAnsi="楷体" w:hint="eastAsia"/>
          <w:color w:val="000000" w:themeColor="text1"/>
          <w:sz w:val="24"/>
          <w:szCs w:val="24"/>
        </w:rPr>
      </w:pPr>
      <w:r w:rsidRPr="00115EEA">
        <w:rPr>
          <w:rFonts w:ascii="楷体" w:eastAsia="楷体" w:hAnsi="楷体" w:hint="eastAsia"/>
          <w:color w:val="000000" w:themeColor="text1"/>
          <w:sz w:val="24"/>
          <w:szCs w:val="24"/>
        </w:rPr>
        <w:t>供需情况，5.29 华东主港地区MEG港口库存约101.2万吨附近，环比上期减少4.8万吨。截至5月25日，中国大陆地区乙二醇整体开工负荷在52.92%（+2.61%），其中煤制乙二醇开工负荷在53.45%（+10.51%）。 嘉兴一套100万吨/年的乙二醇装置本周已经顺利开车并稳定出料，目前负荷逐渐提升中，预计6月负荷提升至6-7成；马来西亚一套75万吨/年的乙二醇装置于上周重启，据悉本月底前后有货装船至国内。聚酯需求端来看，截止5.24， 初步核算国内大陆地区聚酯负荷在90.1%高位附近。终端方面上周江浙终端开工率维持，江浙加弹综合开工率82%(+0%)，江浙织机综合开工率73%(+0%），江浙印染综合开工率78%（+0%）。</w:t>
      </w:r>
    </w:p>
    <w:p w:rsidR="003F56A5" w:rsidRDefault="00115EEA" w:rsidP="00115EEA">
      <w:pPr>
        <w:ind w:leftChars="300" w:left="630"/>
        <w:rPr>
          <w:rFonts w:ascii="楷体" w:eastAsia="楷体" w:hAnsi="楷体"/>
          <w:color w:val="000000" w:themeColor="text1"/>
          <w:sz w:val="24"/>
          <w:szCs w:val="24"/>
        </w:rPr>
      </w:pPr>
      <w:r w:rsidRPr="00115EEA">
        <w:rPr>
          <w:rFonts w:ascii="楷体" w:eastAsia="楷体" w:hAnsi="楷体" w:hint="eastAsia"/>
          <w:color w:val="000000" w:themeColor="text1"/>
          <w:sz w:val="24"/>
          <w:szCs w:val="24"/>
        </w:rPr>
        <w:t>展望后市，前期停车装置多以短停检修为主，近期开工率已从低点恢复。但EG估值相对偏低叠加聚酯开工高位维持，短期仍能驱动集中性去库，把握阶段性EG低多机会。仅供参考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0" w:name="_Toc136420901"/>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115EEA" w:rsidRPr="00115EEA">
        <w:rPr>
          <w:rFonts w:ascii="楷体" w:eastAsia="楷体" w:hAnsi="楷体" w:hint="eastAsia"/>
          <w:b/>
          <w:color w:val="000000" w:themeColor="text1"/>
          <w:sz w:val="24"/>
          <w:szCs w:val="24"/>
        </w:rPr>
        <w:t>现货全面下跌，盘面上冲乏力</w:t>
      </w:r>
      <w:bookmarkEnd w:id="40"/>
    </w:p>
    <w:p w:rsidR="00A71A7E" w:rsidRDefault="00115EEA" w:rsidP="0079299D">
      <w:pPr>
        <w:ind w:leftChars="300" w:left="630"/>
        <w:rPr>
          <w:rFonts w:ascii="楷体" w:eastAsia="楷体" w:hAnsi="楷体"/>
          <w:color w:val="000000" w:themeColor="text1"/>
          <w:sz w:val="24"/>
          <w:szCs w:val="24"/>
        </w:rPr>
      </w:pPr>
      <w:r w:rsidRPr="00115EEA">
        <w:rPr>
          <w:rFonts w:ascii="楷体" w:eastAsia="楷体" w:hAnsi="楷体" w:hint="eastAsia"/>
          <w:color w:val="000000" w:themeColor="text1"/>
          <w:sz w:val="24"/>
          <w:szCs w:val="24"/>
        </w:rPr>
        <w:t>浮法玻璃全国均价2116元/吨，环比-1.21%。各地区现货纷纷下调清库存，华南地区当日下调110元/吨，报2250元/吨。上周末产销较差，平均产销在65%左右，华中地区产销在40%左右，需求疲软。盘面上冲乏力，预计现货价格还有下行空间，短期市场震荡筑底</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6420902"/>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115EEA" w:rsidRPr="00115EEA">
        <w:rPr>
          <w:rFonts w:ascii="楷体" w:eastAsia="楷体" w:hAnsi="楷体" w:hint="eastAsia"/>
          <w:b/>
          <w:color w:val="000000" w:themeColor="text1"/>
          <w:sz w:val="24"/>
          <w:szCs w:val="24"/>
        </w:rPr>
        <w:t>利好集中释放，盘面快速反弹</w:t>
      </w:r>
      <w:bookmarkEnd w:id="41"/>
    </w:p>
    <w:p w:rsidR="00A71A7E" w:rsidRDefault="00115EEA" w:rsidP="00A71A7E">
      <w:pPr>
        <w:ind w:leftChars="300" w:left="630"/>
        <w:rPr>
          <w:rFonts w:ascii="楷体" w:eastAsia="楷体" w:hAnsi="楷体"/>
          <w:bCs/>
          <w:sz w:val="24"/>
          <w:szCs w:val="24"/>
        </w:rPr>
      </w:pPr>
      <w:r w:rsidRPr="00115EEA">
        <w:rPr>
          <w:rFonts w:ascii="楷体" w:eastAsia="楷体" w:hAnsi="楷体" w:hint="eastAsia"/>
          <w:color w:val="000000" w:themeColor="text1"/>
          <w:sz w:val="24"/>
          <w:szCs w:val="24"/>
        </w:rPr>
        <w:t>昨日国内纯碱除西南地区以外价格持平，已连续四个工作日止跌。基本面无太大变化。周末利好炒作持续发酵，市场炒作检修和远兴投产延期逻辑。远月合约在高基差，氨碱法成本附近出现快速反弹，短期或将继续上冲，但扩产大背景下，盘面一旦超过现货价格，或将有套保资金出现。短线建议关注风险，谨慎参与。中长线仍以反弹企稳后做空为主</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2" w:name="_Toc13642090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42"/>
    </w:p>
    <w:p w:rsidR="003F56A5" w:rsidRDefault="00147B03">
      <w:pPr>
        <w:ind w:leftChars="200" w:left="420"/>
        <w:outlineLvl w:val="1"/>
        <w:rPr>
          <w:rFonts w:ascii="楷体" w:eastAsia="楷体" w:hAnsi="楷体"/>
          <w:b/>
          <w:sz w:val="24"/>
          <w:szCs w:val="24"/>
        </w:rPr>
      </w:pPr>
      <w:bookmarkStart w:id="43" w:name="_Toc136420904"/>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115EEA" w:rsidRPr="00115EEA">
        <w:rPr>
          <w:rFonts w:ascii="楷体" w:eastAsia="楷体" w:hAnsi="楷体" w:hint="eastAsia"/>
          <w:b/>
          <w:sz w:val="24"/>
          <w:szCs w:val="24"/>
        </w:rPr>
        <w:t>现货基差预计继续走弱</w:t>
      </w:r>
      <w:bookmarkEnd w:id="43"/>
    </w:p>
    <w:p w:rsidR="003F56A5" w:rsidRDefault="00115EEA">
      <w:pPr>
        <w:ind w:leftChars="300" w:left="630"/>
        <w:rPr>
          <w:rFonts w:ascii="楷体" w:eastAsia="楷体" w:hAnsi="楷体"/>
          <w:sz w:val="24"/>
          <w:szCs w:val="24"/>
        </w:rPr>
      </w:pPr>
      <w:r w:rsidRPr="00115EEA">
        <w:rPr>
          <w:rFonts w:ascii="楷体" w:eastAsia="楷体" w:hAnsi="楷体" w:hint="eastAsia"/>
          <w:sz w:val="24"/>
          <w:szCs w:val="24"/>
        </w:rPr>
        <w:t>国际方面，因节日美国市场于周一休，美豆在1300美分附近震荡。截至5月21日当周，美国大豆种植率为66%，去年同期为47%，五年均值为52%。巴西当前收割进入尾声，巴西大豆升贴水反弹企稳在70美分附近，后续卖压或减弱，当前销售进度过半，持续关注出口节奏。国内市场，因5月初国内入关检验问题，大豆到厂时间延长，油厂开机不及预期，当前大豆到港量增加，部分油厂已逐步恢复开机压榨，主流油厂豆粕现货报价下调至3760-3840元/吨。大豆4-6月整体供给较宽松，阶段性供应压力仍待释放，关注大豆到厂进度及后续油厂开工情况。下游养殖利润表现仍不佳，且在杂粕替代下饲企和养殖企业等对豆粕饲用需求增量有限，当前价格缺乏性价比抑制需求，现货基差价格面临着下行压力。菜粕当前供给相对偏紧，虽油厂开机及压榨维持较高水平，但菜籽二季度后供给预计减少。而需求方面在近期天气逐步回暖后，华南水产需求启动，同时在价差性价比方面仍在对豆粕进行替代，但随着豆粕价格回落，菜粕也跟随承压。策略方面，</w:t>
      </w:r>
      <w:r w:rsidRPr="00115EEA">
        <w:rPr>
          <w:rFonts w:ascii="楷体" w:eastAsia="楷体" w:hAnsi="楷体" w:hint="eastAsia"/>
          <w:sz w:val="24"/>
          <w:szCs w:val="24"/>
        </w:rPr>
        <w:lastRenderedPageBreak/>
        <w:t>虽进口大豆增加是现实，但当前高基差仍对盘面构成支撑，建议豆粕暂看3400支撑，菜粕区间上沿宽幅震荡，暂看2900支撑</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4" w:name="_Toc136420905"/>
      <w:r>
        <w:rPr>
          <w:rFonts w:ascii="楷体" w:eastAsia="楷体" w:hAnsi="楷体" w:hint="eastAsia"/>
          <w:b/>
          <w:color w:val="000000" w:themeColor="text1"/>
          <w:sz w:val="24"/>
          <w:szCs w:val="24"/>
        </w:rPr>
        <w:t>油脂：</w:t>
      </w:r>
      <w:r w:rsidR="00115EEA" w:rsidRPr="00115EEA">
        <w:rPr>
          <w:rFonts w:ascii="楷体" w:eastAsia="楷体" w:hAnsi="楷体" w:hint="eastAsia"/>
          <w:b/>
          <w:sz w:val="24"/>
          <w:szCs w:val="24"/>
        </w:rPr>
        <w:t>延续弱势震荡</w:t>
      </w:r>
      <w:bookmarkEnd w:id="44"/>
    </w:p>
    <w:p w:rsidR="003F56A5" w:rsidRDefault="00115EEA" w:rsidP="00792D31">
      <w:pPr>
        <w:ind w:leftChars="300" w:left="630"/>
        <w:rPr>
          <w:rFonts w:ascii="楷体" w:eastAsia="楷体" w:hAnsi="楷体"/>
          <w:sz w:val="24"/>
          <w:szCs w:val="24"/>
        </w:rPr>
      </w:pPr>
      <w:r w:rsidRPr="00115EEA">
        <w:rPr>
          <w:rFonts w:ascii="楷体" w:eastAsia="楷体" w:hAnsi="楷体" w:hint="eastAsia"/>
          <w:sz w:val="24"/>
          <w:szCs w:val="24"/>
        </w:rPr>
        <w:t>虽在宏观市场情绪缓和以及厄尔尼诺利多支撑下，油脂迎来小幅反弹，但在供应增加预期及基本面未转变下，偏弱趋势未变。棕榈油，马棕5月产量将呈现季节性回升，出口因棕榈油价格在国际市场性价比较低而受抑，同时5月印尼出口放开后抑制马来棕榈油出口，也限制了棕榈油上方空间。而印尼于5月1日起将把散油出口比率从1:6收紧至1:4，且将在5月23日正式放开出口。国内棕榈油在需求增加及进口下滑下，库存继续回落。但在近期产地报价下滑下，国内进口利润逐步修复，关注远月买船情况。需求端，随着气温回升虽利好棕榈油消费，但豆棕价差收窄不利于棕榈油替代需求。豆油压力仍存，主要在于供应端的改善。虽短期在大豆入关问题下，油厂开机不及预期，豆油供给修复缓慢。但随着5月下旬进口大豆集中供应，豆油供应仍存边际修复预期。需求，近期因豆棕价差收窄，豆油成交好转，但在后续供应增加下上方仍存压。菜油处于供强需弱格局。随着进口加籽到港量维持高位，菜籽供应较稳定，4月菜籽进口60万吨，菜油进口31万吨，环比同比均增，且近期菜油进口利润打开，有新增买船，菜油供应较宽松。需求方面，在地域饮食偏好下整体增量有限，而替代需求仍需看到明显价格优势。油脂整体走势仍偏空，建议逢高做缩豆棕09价差</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5" w:name="_Toc136420906"/>
      <w:r>
        <w:rPr>
          <w:rFonts w:ascii="楷体" w:eastAsia="楷体" w:hAnsi="楷体" w:hint="eastAsia"/>
          <w:b/>
          <w:bCs/>
          <w:color w:val="000000" w:themeColor="text1"/>
        </w:rPr>
        <w:t>玉米与淀粉：</w:t>
      </w:r>
      <w:r w:rsidR="00115EEA" w:rsidRPr="00115EEA">
        <w:rPr>
          <w:rFonts w:ascii="楷体" w:eastAsia="楷体" w:hAnsi="楷体" w:hint="eastAsia"/>
          <w:b/>
        </w:rPr>
        <w:t>关注小麦上市压力</w:t>
      </w:r>
      <w:bookmarkEnd w:id="45"/>
    </w:p>
    <w:p w:rsidR="00115EEA" w:rsidRPr="00115EEA" w:rsidRDefault="00115EEA" w:rsidP="00115EEA">
      <w:pPr>
        <w:pStyle w:val="paragraph"/>
        <w:spacing w:before="60" w:after="60"/>
        <w:ind w:leftChars="300" w:left="630"/>
        <w:rPr>
          <w:rFonts w:ascii="楷体" w:eastAsia="楷体" w:hAnsi="楷体" w:hint="eastAsia"/>
        </w:rPr>
      </w:pPr>
      <w:r w:rsidRPr="00115EEA">
        <w:rPr>
          <w:rFonts w:ascii="楷体" w:eastAsia="楷体" w:hAnsi="楷体" w:hint="eastAsia"/>
        </w:rPr>
        <w:t>对于玉米而言，虽然外盘带动进口成本继续下滑，但考虑到进口整体受配额限制，国内产需缺口更多依赖小麦饲用替代，而近期小麦止跌反弹，或表明新作上市压力释放临近尾声，这意味着玉米下跌或告一段落，后期市场或转向年度产需缺口的补充问题。在我们看来，后期潜在上涨驱动有二，其一是新作单产前景的变数，其二是旧作被动补库存，因当前下游需求企业如饲料养殖企业与华北深加工企业原料库存偏低，而产销区倒挂大概率带动渠道库存去化。在这种情况下，维持谨慎看多观点，接下来继续特别留意新作小麦上市压力。</w:t>
      </w:r>
    </w:p>
    <w:p w:rsidR="003F56A5" w:rsidRDefault="00115EEA" w:rsidP="00115EEA">
      <w:pPr>
        <w:pStyle w:val="paragraph"/>
        <w:spacing w:before="60" w:beforeAutospacing="0" w:after="60" w:afterAutospacing="0"/>
        <w:ind w:leftChars="300" w:left="630"/>
        <w:rPr>
          <w:rFonts w:ascii="楷体" w:eastAsia="楷体" w:hAnsi="楷体"/>
        </w:rPr>
      </w:pPr>
      <w:r w:rsidRPr="00115EEA">
        <w:rPr>
          <w:rFonts w:ascii="楷体" w:eastAsia="楷体" w:hAnsi="楷体" w:hint="eastAsia"/>
        </w:rPr>
        <w:t>对于淀粉而言，5月期间淀粉-玉米价差总体先抑后扬，但波幅受限，主要原因有三，即淀粉基差支撑、行业供需改善和副产品继续下跌预期。淀粉需求端存在潜在利多，一方面源于玉米淀粉对木薯淀粉和淀粉糖对白糖的替代，另一方面源于季节性消费旺季。考虑到基差、供需和副产品三个方面的因素，我们倾向于淀粉-玉米价差有望继续走扩。在这种情况下，我们建议持有前期价差走扩套利，激进投资者可以考虑单边做多淀粉</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6" w:name="_Toc136420907"/>
      <w:r>
        <w:rPr>
          <w:rFonts w:ascii="楷体" w:eastAsia="楷体" w:hAnsi="楷体" w:hint="eastAsia"/>
          <w:b/>
          <w:bCs/>
          <w:color w:val="000000" w:themeColor="text1"/>
        </w:rPr>
        <w:t>畜禽养殖：</w:t>
      </w:r>
      <w:r w:rsidR="00115EEA" w:rsidRPr="00115EEA">
        <w:rPr>
          <w:rFonts w:ascii="楷体" w:eastAsia="楷体" w:hAnsi="楷体" w:hint="eastAsia"/>
          <w:b/>
          <w:bCs/>
          <w:color w:val="000000" w:themeColor="text1"/>
        </w:rPr>
        <w:t>鸡蛋期价反弹</w:t>
      </w:r>
      <w:bookmarkEnd w:id="46"/>
    </w:p>
    <w:p w:rsidR="00115EEA" w:rsidRPr="00115EEA" w:rsidRDefault="00115EEA" w:rsidP="00115EEA">
      <w:pPr>
        <w:pStyle w:val="paragraph"/>
        <w:spacing w:before="60" w:after="60"/>
        <w:ind w:leftChars="300" w:left="630"/>
        <w:rPr>
          <w:rFonts w:ascii="楷体" w:eastAsia="楷体" w:hAnsi="楷体" w:hint="eastAsia"/>
        </w:rPr>
      </w:pPr>
      <w:r w:rsidRPr="00115EEA">
        <w:rPr>
          <w:rFonts w:ascii="楷体" w:eastAsia="楷体" w:hAnsi="楷体" w:hint="eastAsia"/>
        </w:rPr>
        <w:lastRenderedPageBreak/>
        <w:t>对于生猪而言，在前期报告中我们指出，3月以来现货表现不及我们之前预期，问题出在供应量，集中在两个方面，其一是春节前堆积的供应量，其二是节前仔猪带来的生猪出栏量。各机构数据显示年后以来供应持续去化，更为重要的是，考虑到去年四季度以来生猪价格下跌和春季前后非瘟疫情导致的仔猪供应下滑，对应后期生猪供应有望阶段性下滑，有望带动生猪价格出现阶段性上涨。对于期价而言，由于5月以来期价持续震荡下行，带动近月合约基差持续走强，这意味期价逐步挤出升水，目前7月和9月合约均低于生猪养殖成本，远月合约亦仅略高于养殖成本线，再加上国家收储政策的潜在支撑，我们倾向于期价下方空间或有限，维持谨慎看多观点，建议择机入场。</w:t>
      </w:r>
    </w:p>
    <w:p w:rsidR="003F56A5" w:rsidRDefault="00115EEA" w:rsidP="00115EEA">
      <w:pPr>
        <w:pStyle w:val="paragraph"/>
        <w:spacing w:before="60" w:beforeAutospacing="0" w:after="60" w:afterAutospacing="0"/>
        <w:ind w:leftChars="300" w:left="630"/>
        <w:rPr>
          <w:rFonts w:ascii="楷体" w:eastAsia="楷体" w:hAnsi="楷体"/>
        </w:rPr>
      </w:pPr>
      <w:r w:rsidRPr="00115EEA">
        <w:rPr>
          <w:rFonts w:ascii="楷体" w:eastAsia="楷体" w:hAnsi="楷体" w:hint="eastAsia"/>
        </w:rPr>
        <w:t>对于鸡蛋而言，当前市场的主要矛盾体现在高基差上，之前市场的预期存在合理性，因节后以来鸡蛋价格和蛋鸡养殖利润处于同期高位水平，带动养殖户补栏积极性上涨，市场据此预计远期供需有望趋于改善，使得远月期价持续下跌，5-9价差处于历史同期高位，而1-9价差则处于历史同期低位。但5月以来，随着鸡蛋现货价格的下跌，蛋鸡养殖利润亦有显著下滑，带动养殖户补栏积极性下滑，与此同时，养殖户淘汰积极性上升，这会导致市场之前的供需改善预期存在较大变数。此外，9月合约一度跌至4070左右，这接近于博亚和讯测算的鸡蛋养殖成本线，考虑到9月处于季节性旺季，供需之外还有季节性规律。我们倾向于鸡蛋期价下方空间或有限，观点由前期的中性转为谨慎看多，建议谨慎投资者观望，激进投资者可以考虑轻仓做多，以去年8月低点作为止损</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7" w:name="_Toc136420908"/>
      <w:r>
        <w:rPr>
          <w:rFonts w:ascii="楷体" w:eastAsia="楷体" w:hAnsi="楷体" w:hint="eastAsia"/>
          <w:b/>
          <w:sz w:val="24"/>
          <w:szCs w:val="24"/>
        </w:rPr>
        <w:t>郑棉：</w:t>
      </w:r>
      <w:r w:rsidR="00115EEA" w:rsidRPr="00115EEA">
        <w:rPr>
          <w:rFonts w:ascii="楷体" w:eastAsia="楷体" w:hAnsi="楷体" w:hint="eastAsia"/>
          <w:b/>
          <w:sz w:val="24"/>
          <w:szCs w:val="24"/>
        </w:rPr>
        <w:t>预计09合约震荡整理，观望或空9多1</w:t>
      </w:r>
      <w:bookmarkEnd w:id="47"/>
    </w:p>
    <w:p w:rsidR="003F56A5" w:rsidRDefault="00115EEA" w:rsidP="007B3290">
      <w:pPr>
        <w:ind w:leftChars="300" w:left="630"/>
        <w:rPr>
          <w:rFonts w:ascii="楷体" w:eastAsia="楷体" w:hAnsi="楷体"/>
          <w:sz w:val="24"/>
          <w:szCs w:val="24"/>
        </w:rPr>
      </w:pPr>
      <w:r w:rsidRPr="00115EEA">
        <w:rPr>
          <w:rFonts w:ascii="楷体" w:eastAsia="楷体" w:hAnsi="楷体" w:hint="eastAsia"/>
          <w:sz w:val="24"/>
          <w:szCs w:val="24"/>
        </w:rPr>
        <w:t>美债问题两党达成暂时协议，美棉大幅反弹。但在经济持续数年增速低迷情况下，各环节脆弱性逐渐显现。后续宏观方面不宜过于乐观。新疆地区调研情况显示，由于前期种植天气不佳，不少地区经历了数轮补种，种植成本较高。上有顶下有底，预计短期内郑棉在40日和10日均线内宽幅震荡，等待下游订单和商品后续走势</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8" w:name="_Toc71212556"/>
      <w:bookmarkStart w:id="49" w:name="_Toc19667"/>
      <w:bookmarkStart w:id="50" w:name="_Toc98426751"/>
      <w:bookmarkStart w:id="51" w:name="_Toc12779"/>
      <w:bookmarkStart w:id="52" w:name="_Toc72481108"/>
      <w:r>
        <w:rPr>
          <w:rFonts w:ascii="Times New Roman" w:eastAsia="楷体" w:hAnsi="Times New Roman"/>
          <w:b/>
          <w:color w:val="411D05"/>
          <w:sz w:val="30"/>
          <w:szCs w:val="30"/>
        </w:rPr>
        <w:lastRenderedPageBreak/>
        <w:t>免责声明</w:t>
      </w:r>
      <w:bookmarkEnd w:id="48"/>
      <w:bookmarkEnd w:id="49"/>
      <w:bookmarkEnd w:id="50"/>
      <w:bookmarkEnd w:id="51"/>
      <w:bookmarkEnd w:id="52"/>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D4D" w:rsidRDefault="004B4D4D">
      <w:r>
        <w:separator/>
      </w:r>
    </w:p>
  </w:endnote>
  <w:endnote w:type="continuationSeparator" w:id="0">
    <w:p w:rsidR="004B4D4D" w:rsidRDefault="004B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52FD4F8C" wp14:editId="5AE18A3F">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115EEA">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115EEA">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D4D" w:rsidRDefault="004B4D4D">
      <w:r>
        <w:separator/>
      </w:r>
    </w:p>
  </w:footnote>
  <w:footnote w:type="continuationSeparator" w:id="0">
    <w:p w:rsidR="004B4D4D" w:rsidRDefault="004B4D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36B20397" wp14:editId="66407CB6">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19816B4E" wp14:editId="14FE4FB4">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115EEA">
      <w:rPr>
        <w:rFonts w:ascii="Times New Roman" w:eastAsia="楷体" w:hAnsi="Times New Roman" w:hint="eastAsia"/>
        <w:b/>
        <w:bCs/>
        <w:noProof/>
        <w:color w:val="833C0B"/>
        <w:sz w:val="21"/>
      </w:rPr>
      <w:t>2023</w:t>
    </w:r>
    <w:r w:rsidR="00115EEA">
      <w:rPr>
        <w:rFonts w:ascii="Times New Roman" w:eastAsia="楷体" w:hAnsi="Times New Roman" w:hint="eastAsia"/>
        <w:b/>
        <w:bCs/>
        <w:noProof/>
        <w:color w:val="833C0B"/>
        <w:sz w:val="21"/>
      </w:rPr>
      <w:t>年</w:t>
    </w:r>
    <w:r w:rsidR="00115EEA">
      <w:rPr>
        <w:rFonts w:ascii="Times New Roman" w:eastAsia="楷体" w:hAnsi="Times New Roman" w:hint="eastAsia"/>
        <w:b/>
        <w:bCs/>
        <w:noProof/>
        <w:color w:val="833C0B"/>
        <w:sz w:val="21"/>
      </w:rPr>
      <w:t>5</w:t>
    </w:r>
    <w:r w:rsidR="00115EEA">
      <w:rPr>
        <w:rFonts w:ascii="Times New Roman" w:eastAsia="楷体" w:hAnsi="Times New Roman" w:hint="eastAsia"/>
        <w:b/>
        <w:bCs/>
        <w:noProof/>
        <w:color w:val="833C0B"/>
        <w:sz w:val="21"/>
      </w:rPr>
      <w:t>月</w:t>
    </w:r>
    <w:r w:rsidR="00115EEA">
      <w:rPr>
        <w:rFonts w:ascii="Times New Roman" w:eastAsia="楷体" w:hAnsi="Times New Roman" w:hint="eastAsia"/>
        <w:b/>
        <w:bCs/>
        <w:noProof/>
        <w:color w:val="833C0B"/>
        <w:sz w:val="21"/>
      </w:rPr>
      <w:t>31</w:t>
    </w:r>
    <w:r w:rsidR="00115EEA">
      <w:rPr>
        <w:rFonts w:ascii="Times New Roman" w:eastAsia="楷体" w:hAnsi="Times New Roman" w:hint="eastAsia"/>
        <w:b/>
        <w:bCs/>
        <w:noProof/>
        <w:color w:val="833C0B"/>
        <w:sz w:val="21"/>
      </w:rPr>
      <w:t>日星期三</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2EAA"/>
    <w:rsid w:val="00076420"/>
    <w:rsid w:val="000820C6"/>
    <w:rsid w:val="00096258"/>
    <w:rsid w:val="000A413E"/>
    <w:rsid w:val="000B0648"/>
    <w:rsid w:val="000B4E70"/>
    <w:rsid w:val="000D36DC"/>
    <w:rsid w:val="000D42E2"/>
    <w:rsid w:val="000D7CF0"/>
    <w:rsid w:val="000E03FC"/>
    <w:rsid w:val="000E0C15"/>
    <w:rsid w:val="000E4EEB"/>
    <w:rsid w:val="00115EEA"/>
    <w:rsid w:val="00117470"/>
    <w:rsid w:val="00120B1F"/>
    <w:rsid w:val="00147668"/>
    <w:rsid w:val="00147B03"/>
    <w:rsid w:val="0015047B"/>
    <w:rsid w:val="001801C4"/>
    <w:rsid w:val="001942CB"/>
    <w:rsid w:val="001A3E49"/>
    <w:rsid w:val="001B179D"/>
    <w:rsid w:val="001B1904"/>
    <w:rsid w:val="001B25C9"/>
    <w:rsid w:val="001B2D4C"/>
    <w:rsid w:val="001B6043"/>
    <w:rsid w:val="001B6394"/>
    <w:rsid w:val="001C2E87"/>
    <w:rsid w:val="001C77D0"/>
    <w:rsid w:val="001D1F0A"/>
    <w:rsid w:val="001D40EA"/>
    <w:rsid w:val="001D4474"/>
    <w:rsid w:val="001F5438"/>
    <w:rsid w:val="002074A1"/>
    <w:rsid w:val="00216C1E"/>
    <w:rsid w:val="00226406"/>
    <w:rsid w:val="00230DB7"/>
    <w:rsid w:val="00235529"/>
    <w:rsid w:val="00244CA3"/>
    <w:rsid w:val="0025590B"/>
    <w:rsid w:val="00267FFD"/>
    <w:rsid w:val="00282262"/>
    <w:rsid w:val="00285297"/>
    <w:rsid w:val="00291461"/>
    <w:rsid w:val="002951EB"/>
    <w:rsid w:val="002A0670"/>
    <w:rsid w:val="002A6C89"/>
    <w:rsid w:val="002B2257"/>
    <w:rsid w:val="002B32AE"/>
    <w:rsid w:val="002F075C"/>
    <w:rsid w:val="002F545E"/>
    <w:rsid w:val="002F6AD1"/>
    <w:rsid w:val="002F7810"/>
    <w:rsid w:val="003230A0"/>
    <w:rsid w:val="00323550"/>
    <w:rsid w:val="0033167B"/>
    <w:rsid w:val="00332F22"/>
    <w:rsid w:val="0033644D"/>
    <w:rsid w:val="003416C2"/>
    <w:rsid w:val="00341727"/>
    <w:rsid w:val="003471F4"/>
    <w:rsid w:val="00357545"/>
    <w:rsid w:val="00370D25"/>
    <w:rsid w:val="00371ED6"/>
    <w:rsid w:val="00374836"/>
    <w:rsid w:val="00375F0B"/>
    <w:rsid w:val="00376AF1"/>
    <w:rsid w:val="003953FD"/>
    <w:rsid w:val="003A1F3C"/>
    <w:rsid w:val="003A3DB4"/>
    <w:rsid w:val="003C54F5"/>
    <w:rsid w:val="003C5F91"/>
    <w:rsid w:val="003D3A9E"/>
    <w:rsid w:val="003F2424"/>
    <w:rsid w:val="003F56A5"/>
    <w:rsid w:val="004201F5"/>
    <w:rsid w:val="004230AC"/>
    <w:rsid w:val="00426AB5"/>
    <w:rsid w:val="00433C64"/>
    <w:rsid w:val="00440FBE"/>
    <w:rsid w:val="004427D1"/>
    <w:rsid w:val="004567BD"/>
    <w:rsid w:val="00461147"/>
    <w:rsid w:val="00485A3F"/>
    <w:rsid w:val="00487F77"/>
    <w:rsid w:val="004977A9"/>
    <w:rsid w:val="004A382D"/>
    <w:rsid w:val="004A3F85"/>
    <w:rsid w:val="004A65B5"/>
    <w:rsid w:val="004B4D4D"/>
    <w:rsid w:val="004C11A7"/>
    <w:rsid w:val="004C5F3F"/>
    <w:rsid w:val="004E58A5"/>
    <w:rsid w:val="004E6093"/>
    <w:rsid w:val="005145ED"/>
    <w:rsid w:val="00533D1C"/>
    <w:rsid w:val="00535DC9"/>
    <w:rsid w:val="00540298"/>
    <w:rsid w:val="00541F3F"/>
    <w:rsid w:val="00547DD7"/>
    <w:rsid w:val="00551A8D"/>
    <w:rsid w:val="005523A5"/>
    <w:rsid w:val="00553DEC"/>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606E2B"/>
    <w:rsid w:val="00610C41"/>
    <w:rsid w:val="0061390B"/>
    <w:rsid w:val="00615F78"/>
    <w:rsid w:val="00637F19"/>
    <w:rsid w:val="00641752"/>
    <w:rsid w:val="00650F05"/>
    <w:rsid w:val="0065454E"/>
    <w:rsid w:val="00657B01"/>
    <w:rsid w:val="00661BB3"/>
    <w:rsid w:val="00666DE4"/>
    <w:rsid w:val="006911F3"/>
    <w:rsid w:val="006A135D"/>
    <w:rsid w:val="006A5214"/>
    <w:rsid w:val="006A7A79"/>
    <w:rsid w:val="006B4A5D"/>
    <w:rsid w:val="006D21ED"/>
    <w:rsid w:val="00710028"/>
    <w:rsid w:val="007103A5"/>
    <w:rsid w:val="0072164F"/>
    <w:rsid w:val="007253E7"/>
    <w:rsid w:val="0072736C"/>
    <w:rsid w:val="007315D8"/>
    <w:rsid w:val="00743CFD"/>
    <w:rsid w:val="007664C1"/>
    <w:rsid w:val="00785519"/>
    <w:rsid w:val="007866A5"/>
    <w:rsid w:val="0079299D"/>
    <w:rsid w:val="00792D31"/>
    <w:rsid w:val="007952E9"/>
    <w:rsid w:val="007A410D"/>
    <w:rsid w:val="007A66FE"/>
    <w:rsid w:val="007B3290"/>
    <w:rsid w:val="007D29EC"/>
    <w:rsid w:val="007D4BBD"/>
    <w:rsid w:val="007F09BE"/>
    <w:rsid w:val="007F1327"/>
    <w:rsid w:val="007F140C"/>
    <w:rsid w:val="007F186E"/>
    <w:rsid w:val="0080612D"/>
    <w:rsid w:val="00806354"/>
    <w:rsid w:val="0080692E"/>
    <w:rsid w:val="00806F4A"/>
    <w:rsid w:val="00815011"/>
    <w:rsid w:val="00815817"/>
    <w:rsid w:val="00820D28"/>
    <w:rsid w:val="00822591"/>
    <w:rsid w:val="0083605E"/>
    <w:rsid w:val="00840F4E"/>
    <w:rsid w:val="00856132"/>
    <w:rsid w:val="008649BB"/>
    <w:rsid w:val="00867CA5"/>
    <w:rsid w:val="00873ECE"/>
    <w:rsid w:val="008740D4"/>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229B"/>
    <w:rsid w:val="008F2A6E"/>
    <w:rsid w:val="00906E0C"/>
    <w:rsid w:val="00907943"/>
    <w:rsid w:val="00916E97"/>
    <w:rsid w:val="00920372"/>
    <w:rsid w:val="009260D3"/>
    <w:rsid w:val="009316EC"/>
    <w:rsid w:val="009317CD"/>
    <w:rsid w:val="00934728"/>
    <w:rsid w:val="009644D9"/>
    <w:rsid w:val="0097131C"/>
    <w:rsid w:val="009870E4"/>
    <w:rsid w:val="009A12FA"/>
    <w:rsid w:val="009A564D"/>
    <w:rsid w:val="009B3801"/>
    <w:rsid w:val="009B534D"/>
    <w:rsid w:val="009B591A"/>
    <w:rsid w:val="009C3E56"/>
    <w:rsid w:val="009C483C"/>
    <w:rsid w:val="009D2477"/>
    <w:rsid w:val="009D4A74"/>
    <w:rsid w:val="009D5253"/>
    <w:rsid w:val="009D5D79"/>
    <w:rsid w:val="009D64FE"/>
    <w:rsid w:val="009E0994"/>
    <w:rsid w:val="009E4452"/>
    <w:rsid w:val="009E7578"/>
    <w:rsid w:val="009F5C7B"/>
    <w:rsid w:val="00A031CE"/>
    <w:rsid w:val="00A11A0D"/>
    <w:rsid w:val="00A22080"/>
    <w:rsid w:val="00A42079"/>
    <w:rsid w:val="00A63022"/>
    <w:rsid w:val="00A71A7E"/>
    <w:rsid w:val="00A776D7"/>
    <w:rsid w:val="00A91E48"/>
    <w:rsid w:val="00A96E37"/>
    <w:rsid w:val="00A97444"/>
    <w:rsid w:val="00AA186F"/>
    <w:rsid w:val="00AA29E5"/>
    <w:rsid w:val="00AB0678"/>
    <w:rsid w:val="00AC00CF"/>
    <w:rsid w:val="00AC52CB"/>
    <w:rsid w:val="00AC7794"/>
    <w:rsid w:val="00AC7ECD"/>
    <w:rsid w:val="00AD009F"/>
    <w:rsid w:val="00AF5EA0"/>
    <w:rsid w:val="00B066DA"/>
    <w:rsid w:val="00B072C0"/>
    <w:rsid w:val="00B10135"/>
    <w:rsid w:val="00B118A2"/>
    <w:rsid w:val="00B133D0"/>
    <w:rsid w:val="00B15418"/>
    <w:rsid w:val="00B17165"/>
    <w:rsid w:val="00B1737C"/>
    <w:rsid w:val="00B1758C"/>
    <w:rsid w:val="00B17639"/>
    <w:rsid w:val="00B443CE"/>
    <w:rsid w:val="00B4555A"/>
    <w:rsid w:val="00B53C56"/>
    <w:rsid w:val="00B60464"/>
    <w:rsid w:val="00B606EF"/>
    <w:rsid w:val="00B618F8"/>
    <w:rsid w:val="00B72E2D"/>
    <w:rsid w:val="00B745CB"/>
    <w:rsid w:val="00B805BD"/>
    <w:rsid w:val="00B91D3D"/>
    <w:rsid w:val="00B94E7D"/>
    <w:rsid w:val="00BA4663"/>
    <w:rsid w:val="00BA696B"/>
    <w:rsid w:val="00BC5F45"/>
    <w:rsid w:val="00BC71D6"/>
    <w:rsid w:val="00BD4C85"/>
    <w:rsid w:val="00BE456E"/>
    <w:rsid w:val="00BF3137"/>
    <w:rsid w:val="00C02ECE"/>
    <w:rsid w:val="00C06AC7"/>
    <w:rsid w:val="00C13E0F"/>
    <w:rsid w:val="00C2031B"/>
    <w:rsid w:val="00C2080D"/>
    <w:rsid w:val="00C228D6"/>
    <w:rsid w:val="00C240C3"/>
    <w:rsid w:val="00C25562"/>
    <w:rsid w:val="00C43DDB"/>
    <w:rsid w:val="00C575E9"/>
    <w:rsid w:val="00C62202"/>
    <w:rsid w:val="00C6240E"/>
    <w:rsid w:val="00C66C6C"/>
    <w:rsid w:val="00C70FDD"/>
    <w:rsid w:val="00C82E4D"/>
    <w:rsid w:val="00C91234"/>
    <w:rsid w:val="00C93E36"/>
    <w:rsid w:val="00CA1C01"/>
    <w:rsid w:val="00CB0962"/>
    <w:rsid w:val="00CB1AC3"/>
    <w:rsid w:val="00CB1F18"/>
    <w:rsid w:val="00CB2FD2"/>
    <w:rsid w:val="00CB3015"/>
    <w:rsid w:val="00CC03C4"/>
    <w:rsid w:val="00CC3E40"/>
    <w:rsid w:val="00CC3FFA"/>
    <w:rsid w:val="00CD5884"/>
    <w:rsid w:val="00CD5DE8"/>
    <w:rsid w:val="00CD70A0"/>
    <w:rsid w:val="00CE7903"/>
    <w:rsid w:val="00CF6C71"/>
    <w:rsid w:val="00CF7A9A"/>
    <w:rsid w:val="00D00D60"/>
    <w:rsid w:val="00D017E5"/>
    <w:rsid w:val="00D01A19"/>
    <w:rsid w:val="00D04FF1"/>
    <w:rsid w:val="00D1582A"/>
    <w:rsid w:val="00D309C4"/>
    <w:rsid w:val="00D45E53"/>
    <w:rsid w:val="00D47039"/>
    <w:rsid w:val="00D55EAF"/>
    <w:rsid w:val="00D63655"/>
    <w:rsid w:val="00D75630"/>
    <w:rsid w:val="00D842AA"/>
    <w:rsid w:val="00D86D76"/>
    <w:rsid w:val="00D87130"/>
    <w:rsid w:val="00D93E0B"/>
    <w:rsid w:val="00DA7546"/>
    <w:rsid w:val="00DE02C4"/>
    <w:rsid w:val="00DF1796"/>
    <w:rsid w:val="00DF270D"/>
    <w:rsid w:val="00DF3B28"/>
    <w:rsid w:val="00DF56EC"/>
    <w:rsid w:val="00E020F2"/>
    <w:rsid w:val="00E12059"/>
    <w:rsid w:val="00E25D21"/>
    <w:rsid w:val="00E31716"/>
    <w:rsid w:val="00E34551"/>
    <w:rsid w:val="00E34EAB"/>
    <w:rsid w:val="00E373B2"/>
    <w:rsid w:val="00E40036"/>
    <w:rsid w:val="00E45000"/>
    <w:rsid w:val="00E451FD"/>
    <w:rsid w:val="00E556EC"/>
    <w:rsid w:val="00E55B22"/>
    <w:rsid w:val="00E60D44"/>
    <w:rsid w:val="00E64502"/>
    <w:rsid w:val="00E771D2"/>
    <w:rsid w:val="00E80EDB"/>
    <w:rsid w:val="00E84794"/>
    <w:rsid w:val="00E847DF"/>
    <w:rsid w:val="00E90013"/>
    <w:rsid w:val="00E928BB"/>
    <w:rsid w:val="00EA0CCD"/>
    <w:rsid w:val="00EA28CA"/>
    <w:rsid w:val="00EB56F2"/>
    <w:rsid w:val="00EC2B12"/>
    <w:rsid w:val="00ED06A6"/>
    <w:rsid w:val="00ED451D"/>
    <w:rsid w:val="00ED7C55"/>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3C3F25-6B41-4F07-AD3A-488582174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2326</TotalTime>
  <Pages>9</Pages>
  <Words>1469</Words>
  <Characters>8379</Characters>
  <Application>Microsoft Office Word</Application>
  <DocSecurity>0</DocSecurity>
  <Lines>69</Lines>
  <Paragraphs>19</Paragraphs>
  <ScaleCrop>false</ScaleCrop>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124</cp:revision>
  <cp:lastPrinted>2023-04-20T02:18:00Z</cp:lastPrinted>
  <dcterms:created xsi:type="dcterms:W3CDTF">2022-11-15T10:06:00Z</dcterms:created>
  <dcterms:modified xsi:type="dcterms:W3CDTF">2023-05-31T02:20:00Z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