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bookmarkStart w:id="0" w:name="_GoBack"/>
      <w:bookmarkEnd w:id="0"/>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CA1C01"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6246967" w:history="1">
            <w:r w:rsidR="00CA1C01" w:rsidRPr="000859E5">
              <w:rPr>
                <w:rStyle w:val="a7"/>
                <w:rFonts w:ascii="Times New Roman" w:eastAsia="楷体" w:hAnsi="Times New Roman"/>
                <w:b/>
                <w:noProof/>
              </w:rPr>
              <w:t>[</w:t>
            </w:r>
            <w:r w:rsidR="00CA1C01" w:rsidRPr="000859E5">
              <w:rPr>
                <w:rStyle w:val="a7"/>
                <w:rFonts w:ascii="Times New Roman" w:eastAsia="楷体" w:hAnsi="Times New Roman"/>
                <w:b/>
                <w:noProof/>
              </w:rPr>
              <w:t>金融</w:t>
            </w:r>
            <w:r w:rsidR="00CA1C01" w:rsidRPr="000859E5">
              <w:rPr>
                <w:rStyle w:val="a7"/>
                <w:rFonts w:ascii="Times New Roman" w:eastAsia="楷体" w:hAnsi="Times New Roman"/>
                <w:b/>
                <w:noProof/>
              </w:rPr>
              <w:t>]</w:t>
            </w:r>
          </w:hyperlink>
        </w:p>
        <w:p w:rsidR="00CA1C01" w:rsidRDefault="00CA1C01">
          <w:pPr>
            <w:pStyle w:val="2"/>
            <w:tabs>
              <w:tab w:val="right" w:leader="dot" w:pos="8296"/>
            </w:tabs>
            <w:rPr>
              <w:rFonts w:eastAsiaTheme="minorEastAsia"/>
              <w:noProof/>
              <w:szCs w:val="22"/>
            </w:rPr>
          </w:pPr>
          <w:hyperlink w:anchor="_Toc136246968" w:history="1">
            <w:r w:rsidRPr="000859E5">
              <w:rPr>
                <w:rStyle w:val="a7"/>
                <w:rFonts w:ascii="Times New Roman" w:eastAsia="楷体" w:hAnsi="Times New Roman"/>
                <w:b/>
                <w:noProof/>
              </w:rPr>
              <w:t>股指：低多</w:t>
            </w:r>
            <w:r w:rsidRPr="000859E5">
              <w:rPr>
                <w:rStyle w:val="a7"/>
                <w:rFonts w:ascii="Times New Roman" w:eastAsia="楷体" w:hAnsi="Times New Roman"/>
                <w:b/>
                <w:noProof/>
              </w:rPr>
              <w:t>IM</w:t>
            </w:r>
          </w:hyperlink>
        </w:p>
        <w:p w:rsidR="00CA1C01" w:rsidRDefault="00CA1C01">
          <w:pPr>
            <w:pStyle w:val="11"/>
            <w:tabs>
              <w:tab w:val="right" w:leader="dot" w:pos="8296"/>
            </w:tabs>
            <w:rPr>
              <w:rFonts w:eastAsiaTheme="minorEastAsia"/>
              <w:noProof/>
              <w:szCs w:val="22"/>
            </w:rPr>
          </w:pPr>
          <w:hyperlink w:anchor="_Toc136246969" w:history="1">
            <w:r w:rsidRPr="000859E5">
              <w:rPr>
                <w:rStyle w:val="a7"/>
                <w:rFonts w:ascii="Times New Roman" w:eastAsia="楷体" w:hAnsi="Times New Roman"/>
                <w:b/>
                <w:noProof/>
              </w:rPr>
              <w:t>[</w:t>
            </w:r>
            <w:r w:rsidRPr="000859E5">
              <w:rPr>
                <w:rStyle w:val="a7"/>
                <w:rFonts w:ascii="Times New Roman" w:eastAsia="楷体" w:hAnsi="Times New Roman"/>
                <w:b/>
                <w:noProof/>
              </w:rPr>
              <w:t>贵金属</w:t>
            </w:r>
            <w:r w:rsidRPr="000859E5">
              <w:rPr>
                <w:rStyle w:val="a7"/>
                <w:rFonts w:ascii="Times New Roman" w:eastAsia="楷体" w:hAnsi="Times New Roman"/>
                <w:b/>
                <w:noProof/>
              </w:rPr>
              <w:t>]</w:t>
            </w:r>
          </w:hyperlink>
        </w:p>
        <w:p w:rsidR="00CA1C01" w:rsidRDefault="00CA1C01">
          <w:pPr>
            <w:pStyle w:val="2"/>
            <w:tabs>
              <w:tab w:val="right" w:leader="dot" w:pos="8296"/>
            </w:tabs>
            <w:rPr>
              <w:rFonts w:eastAsiaTheme="minorEastAsia"/>
              <w:noProof/>
              <w:szCs w:val="22"/>
            </w:rPr>
          </w:pPr>
          <w:hyperlink w:anchor="_Toc136246970" w:history="1">
            <w:r w:rsidRPr="000859E5">
              <w:rPr>
                <w:rStyle w:val="a7"/>
                <w:rFonts w:ascii="Times New Roman" w:eastAsia="楷体" w:hAnsi="Times New Roman"/>
                <w:b/>
                <w:noProof/>
              </w:rPr>
              <w:t>贵金属：美国初请失业金人数低于预期，贵金属价格下跌</w:t>
            </w:r>
          </w:hyperlink>
        </w:p>
        <w:p w:rsidR="00CA1C01" w:rsidRDefault="00CA1C01">
          <w:pPr>
            <w:pStyle w:val="11"/>
            <w:tabs>
              <w:tab w:val="right" w:leader="dot" w:pos="8296"/>
            </w:tabs>
            <w:rPr>
              <w:rFonts w:eastAsiaTheme="minorEastAsia"/>
              <w:noProof/>
              <w:szCs w:val="22"/>
            </w:rPr>
          </w:pPr>
          <w:hyperlink w:anchor="_Toc136246971" w:history="1">
            <w:r w:rsidRPr="000859E5">
              <w:rPr>
                <w:rStyle w:val="a7"/>
                <w:rFonts w:ascii="Times New Roman" w:eastAsia="楷体" w:hAnsi="Times New Roman"/>
                <w:b/>
                <w:noProof/>
              </w:rPr>
              <w:t>[</w:t>
            </w:r>
            <w:r w:rsidRPr="000859E5">
              <w:rPr>
                <w:rStyle w:val="a7"/>
                <w:rFonts w:ascii="Times New Roman" w:eastAsia="楷体" w:hAnsi="Times New Roman"/>
                <w:b/>
                <w:noProof/>
              </w:rPr>
              <w:t>金属</w:t>
            </w:r>
            <w:r w:rsidRPr="000859E5">
              <w:rPr>
                <w:rStyle w:val="a7"/>
                <w:rFonts w:ascii="Times New Roman" w:eastAsia="楷体" w:hAnsi="Times New Roman"/>
                <w:b/>
                <w:noProof/>
              </w:rPr>
              <w:t>]</w:t>
            </w:r>
          </w:hyperlink>
        </w:p>
        <w:p w:rsidR="00CA1C01" w:rsidRDefault="00CA1C01">
          <w:pPr>
            <w:pStyle w:val="2"/>
            <w:tabs>
              <w:tab w:val="right" w:leader="dot" w:pos="8296"/>
            </w:tabs>
            <w:rPr>
              <w:rFonts w:eastAsiaTheme="minorEastAsia"/>
              <w:noProof/>
              <w:szCs w:val="22"/>
            </w:rPr>
          </w:pPr>
          <w:hyperlink w:anchor="_Toc136246972" w:history="1">
            <w:r w:rsidRPr="000859E5">
              <w:rPr>
                <w:rStyle w:val="a7"/>
                <w:rFonts w:ascii="楷体" w:eastAsia="楷体" w:hAnsi="楷体"/>
                <w:b/>
                <w:noProof/>
              </w:rPr>
              <w:t>螺纹钢：上方压力明显，短期观望为主</w:t>
            </w:r>
          </w:hyperlink>
        </w:p>
        <w:p w:rsidR="00CA1C01" w:rsidRDefault="00CA1C01">
          <w:pPr>
            <w:pStyle w:val="2"/>
            <w:tabs>
              <w:tab w:val="right" w:leader="dot" w:pos="8296"/>
            </w:tabs>
            <w:rPr>
              <w:rFonts w:eastAsiaTheme="minorEastAsia"/>
              <w:noProof/>
              <w:szCs w:val="22"/>
            </w:rPr>
          </w:pPr>
          <w:hyperlink w:anchor="_Toc136246973" w:history="1">
            <w:r w:rsidRPr="000859E5">
              <w:rPr>
                <w:rStyle w:val="a7"/>
                <w:rFonts w:ascii="楷体" w:eastAsia="楷体" w:hAnsi="楷体"/>
                <w:b/>
                <w:noProof/>
              </w:rPr>
              <w:t>焦炭：成本下行压力较大，反弹幅度或有限</w:t>
            </w:r>
          </w:hyperlink>
        </w:p>
        <w:p w:rsidR="00CA1C01" w:rsidRDefault="00CA1C01">
          <w:pPr>
            <w:pStyle w:val="2"/>
            <w:tabs>
              <w:tab w:val="right" w:leader="dot" w:pos="8296"/>
            </w:tabs>
            <w:rPr>
              <w:rFonts w:eastAsiaTheme="minorEastAsia"/>
              <w:noProof/>
              <w:szCs w:val="22"/>
            </w:rPr>
          </w:pPr>
          <w:hyperlink w:anchor="_Toc136246974" w:history="1">
            <w:r w:rsidRPr="000859E5">
              <w:rPr>
                <w:rStyle w:val="a7"/>
                <w:rFonts w:ascii="楷体" w:eastAsia="楷体" w:hAnsi="楷体"/>
                <w:b/>
                <w:noProof/>
              </w:rPr>
              <w:t>焦煤：成材及动力煤带动加速下行，现货仍有下行压力</w:t>
            </w:r>
          </w:hyperlink>
        </w:p>
        <w:p w:rsidR="00CA1C01" w:rsidRDefault="00CA1C01">
          <w:pPr>
            <w:pStyle w:val="2"/>
            <w:tabs>
              <w:tab w:val="right" w:leader="dot" w:pos="8296"/>
            </w:tabs>
            <w:rPr>
              <w:rFonts w:eastAsiaTheme="minorEastAsia"/>
              <w:noProof/>
              <w:szCs w:val="22"/>
            </w:rPr>
          </w:pPr>
          <w:hyperlink w:anchor="_Toc136246975" w:history="1">
            <w:r w:rsidRPr="000859E5">
              <w:rPr>
                <w:rStyle w:val="a7"/>
                <w:rFonts w:ascii="楷体" w:eastAsia="楷体" w:hAnsi="楷体"/>
                <w:b/>
                <w:noProof/>
              </w:rPr>
              <w:t>铜：短期宏观利空影响缓和，铜价反弹但空间有限</w:t>
            </w:r>
          </w:hyperlink>
        </w:p>
        <w:p w:rsidR="00CA1C01" w:rsidRDefault="00CA1C01">
          <w:pPr>
            <w:pStyle w:val="2"/>
            <w:tabs>
              <w:tab w:val="right" w:leader="dot" w:pos="8296"/>
            </w:tabs>
            <w:rPr>
              <w:rFonts w:eastAsiaTheme="minorEastAsia"/>
              <w:noProof/>
              <w:szCs w:val="22"/>
            </w:rPr>
          </w:pPr>
          <w:hyperlink w:anchor="_Toc136246976" w:history="1">
            <w:r w:rsidRPr="000859E5">
              <w:rPr>
                <w:rStyle w:val="a7"/>
                <w:rFonts w:ascii="楷体" w:eastAsia="楷体" w:hAnsi="楷体"/>
                <w:b/>
                <w:noProof/>
              </w:rPr>
              <w:t>铝：铝价反弹上万八，支撑偏弱预期下行</w:t>
            </w:r>
          </w:hyperlink>
        </w:p>
        <w:p w:rsidR="00CA1C01" w:rsidRDefault="00CA1C01">
          <w:pPr>
            <w:pStyle w:val="2"/>
            <w:tabs>
              <w:tab w:val="right" w:leader="dot" w:pos="8296"/>
            </w:tabs>
            <w:rPr>
              <w:rFonts w:eastAsiaTheme="minorEastAsia"/>
              <w:noProof/>
              <w:szCs w:val="22"/>
            </w:rPr>
          </w:pPr>
          <w:hyperlink w:anchor="_Toc136246977" w:history="1">
            <w:r w:rsidRPr="000859E5">
              <w:rPr>
                <w:rStyle w:val="a7"/>
                <w:rFonts w:ascii="楷体" w:eastAsia="楷体" w:hAnsi="楷体"/>
                <w:b/>
                <w:noProof/>
              </w:rPr>
              <w:t>锌：锌价持续向弱趋势未改</w:t>
            </w:r>
          </w:hyperlink>
        </w:p>
        <w:p w:rsidR="00CA1C01" w:rsidRDefault="00CA1C01">
          <w:pPr>
            <w:pStyle w:val="2"/>
            <w:tabs>
              <w:tab w:val="right" w:leader="dot" w:pos="8296"/>
            </w:tabs>
            <w:rPr>
              <w:rFonts w:eastAsiaTheme="minorEastAsia"/>
              <w:noProof/>
              <w:szCs w:val="22"/>
            </w:rPr>
          </w:pPr>
          <w:hyperlink w:anchor="_Toc136246978" w:history="1">
            <w:r w:rsidRPr="000859E5">
              <w:rPr>
                <w:rStyle w:val="a7"/>
                <w:rFonts w:ascii="楷体" w:eastAsia="楷体" w:hAnsi="楷体"/>
                <w:b/>
                <w:noProof/>
              </w:rPr>
              <w:t>镍：宏观偏空助推价格大跌，低库存或仍提供支撑</w:t>
            </w:r>
          </w:hyperlink>
        </w:p>
        <w:p w:rsidR="00CA1C01" w:rsidRDefault="00CA1C01">
          <w:pPr>
            <w:pStyle w:val="2"/>
            <w:tabs>
              <w:tab w:val="right" w:leader="dot" w:pos="8296"/>
            </w:tabs>
            <w:rPr>
              <w:rFonts w:eastAsiaTheme="minorEastAsia"/>
              <w:noProof/>
              <w:szCs w:val="22"/>
            </w:rPr>
          </w:pPr>
          <w:hyperlink w:anchor="_Toc136246979" w:history="1">
            <w:r w:rsidRPr="000859E5">
              <w:rPr>
                <w:rStyle w:val="a7"/>
                <w:rFonts w:ascii="楷体" w:eastAsia="楷体" w:hAnsi="楷体"/>
                <w:b/>
                <w:noProof/>
              </w:rPr>
              <w:t>铅：铝价下方仍有较大空间，建议逢高布空</w:t>
            </w:r>
          </w:hyperlink>
        </w:p>
        <w:p w:rsidR="00CA1C01" w:rsidRDefault="00CA1C01">
          <w:pPr>
            <w:pStyle w:val="2"/>
            <w:tabs>
              <w:tab w:val="right" w:leader="dot" w:pos="8296"/>
            </w:tabs>
            <w:rPr>
              <w:rFonts w:eastAsiaTheme="minorEastAsia"/>
              <w:noProof/>
              <w:szCs w:val="22"/>
            </w:rPr>
          </w:pPr>
          <w:hyperlink w:anchor="_Toc136246980" w:history="1">
            <w:r w:rsidRPr="000859E5">
              <w:rPr>
                <w:rStyle w:val="a7"/>
                <w:rFonts w:ascii="楷体" w:eastAsia="楷体" w:hAnsi="楷体"/>
                <w:b/>
                <w:noProof/>
              </w:rPr>
              <w:t>不锈钢：周内库存大幅去化，提振不锈钢价</w:t>
            </w:r>
          </w:hyperlink>
        </w:p>
        <w:p w:rsidR="00CA1C01" w:rsidRDefault="00CA1C01">
          <w:pPr>
            <w:pStyle w:val="2"/>
            <w:tabs>
              <w:tab w:val="right" w:leader="dot" w:pos="8296"/>
            </w:tabs>
            <w:rPr>
              <w:rFonts w:eastAsiaTheme="minorEastAsia"/>
              <w:noProof/>
              <w:szCs w:val="22"/>
            </w:rPr>
          </w:pPr>
          <w:hyperlink w:anchor="_Toc136246981" w:history="1">
            <w:r w:rsidRPr="000859E5">
              <w:rPr>
                <w:rStyle w:val="a7"/>
                <w:rFonts w:ascii="楷体" w:eastAsia="楷体" w:hAnsi="楷体"/>
                <w:b/>
                <w:noProof/>
              </w:rPr>
              <w:t>工业硅：供应或逐步恢复，预计市场偏弱运行</w:t>
            </w:r>
          </w:hyperlink>
        </w:p>
        <w:p w:rsidR="00CA1C01" w:rsidRDefault="00CA1C01">
          <w:pPr>
            <w:pStyle w:val="11"/>
            <w:tabs>
              <w:tab w:val="right" w:leader="dot" w:pos="8296"/>
            </w:tabs>
            <w:rPr>
              <w:rFonts w:eastAsiaTheme="minorEastAsia"/>
              <w:noProof/>
              <w:szCs w:val="22"/>
            </w:rPr>
          </w:pPr>
          <w:hyperlink w:anchor="_Toc136246982" w:history="1">
            <w:r w:rsidRPr="000859E5">
              <w:rPr>
                <w:rStyle w:val="a7"/>
                <w:rFonts w:ascii="Times New Roman" w:eastAsia="楷体" w:hAnsi="Times New Roman"/>
                <w:b/>
                <w:noProof/>
              </w:rPr>
              <w:t>[</w:t>
            </w:r>
            <w:r w:rsidRPr="000859E5">
              <w:rPr>
                <w:rStyle w:val="a7"/>
                <w:rFonts w:ascii="Times New Roman" w:eastAsia="楷体" w:hAnsi="Times New Roman"/>
                <w:b/>
                <w:noProof/>
              </w:rPr>
              <w:t>化工</w:t>
            </w:r>
            <w:r w:rsidRPr="000859E5">
              <w:rPr>
                <w:rStyle w:val="a7"/>
                <w:rFonts w:ascii="Times New Roman" w:eastAsia="楷体" w:hAnsi="Times New Roman"/>
                <w:b/>
                <w:noProof/>
              </w:rPr>
              <w:t>]</w:t>
            </w:r>
          </w:hyperlink>
        </w:p>
        <w:p w:rsidR="00CA1C01" w:rsidRDefault="00CA1C01">
          <w:pPr>
            <w:pStyle w:val="2"/>
            <w:tabs>
              <w:tab w:val="right" w:leader="dot" w:pos="8296"/>
            </w:tabs>
            <w:rPr>
              <w:rFonts w:eastAsiaTheme="minorEastAsia"/>
              <w:noProof/>
              <w:szCs w:val="22"/>
            </w:rPr>
          </w:pPr>
          <w:hyperlink w:anchor="_Toc136246983" w:history="1">
            <w:r w:rsidRPr="000859E5">
              <w:rPr>
                <w:rStyle w:val="a7"/>
                <w:rFonts w:ascii="Times New Roman" w:eastAsia="楷体" w:hAnsi="Times New Roman"/>
                <w:b/>
                <w:noProof/>
              </w:rPr>
              <w:t>天然橡胶</w:t>
            </w:r>
            <w:r w:rsidRPr="000859E5">
              <w:rPr>
                <w:rStyle w:val="a7"/>
                <w:rFonts w:ascii="Times New Roman" w:eastAsia="楷体" w:hAnsi="Times New Roman"/>
                <w:b/>
                <w:noProof/>
              </w:rPr>
              <w:t>:</w:t>
            </w:r>
            <w:r w:rsidRPr="000859E5">
              <w:rPr>
                <w:rStyle w:val="a7"/>
                <w:rFonts w:ascii="楷体" w:eastAsia="楷体" w:hAnsi="楷体"/>
                <w:b/>
                <w:noProof/>
              </w:rPr>
              <w:t xml:space="preserve"> 信息面炒作过于片面化，RU或低位震荡为主</w:t>
            </w:r>
          </w:hyperlink>
        </w:p>
        <w:p w:rsidR="00CA1C01" w:rsidRDefault="00CA1C01">
          <w:pPr>
            <w:pStyle w:val="2"/>
            <w:tabs>
              <w:tab w:val="right" w:leader="dot" w:pos="8296"/>
            </w:tabs>
            <w:rPr>
              <w:rFonts w:eastAsiaTheme="minorEastAsia"/>
              <w:noProof/>
              <w:szCs w:val="22"/>
            </w:rPr>
          </w:pPr>
          <w:hyperlink w:anchor="_Toc136246984" w:history="1">
            <w:r w:rsidRPr="000859E5">
              <w:rPr>
                <w:rStyle w:val="a7"/>
                <w:rFonts w:ascii="楷体" w:eastAsia="楷体" w:hAnsi="楷体"/>
                <w:b/>
                <w:noProof/>
              </w:rPr>
              <w:t>PTA：底部支撑稳固，关注近月低多或正套机会</w:t>
            </w:r>
          </w:hyperlink>
        </w:p>
        <w:p w:rsidR="00CA1C01" w:rsidRDefault="00CA1C01">
          <w:pPr>
            <w:pStyle w:val="2"/>
            <w:tabs>
              <w:tab w:val="right" w:leader="dot" w:pos="8296"/>
            </w:tabs>
            <w:rPr>
              <w:rFonts w:eastAsiaTheme="minorEastAsia"/>
              <w:noProof/>
              <w:szCs w:val="22"/>
            </w:rPr>
          </w:pPr>
          <w:hyperlink w:anchor="_Toc136246985" w:history="1">
            <w:r w:rsidRPr="000859E5">
              <w:rPr>
                <w:rStyle w:val="a7"/>
                <w:rFonts w:ascii="楷体" w:eastAsia="楷体" w:hAnsi="楷体"/>
                <w:b/>
                <w:noProof/>
              </w:rPr>
              <w:t>PVC：高库存+弱复苏 驱动不足</w:t>
            </w:r>
          </w:hyperlink>
        </w:p>
        <w:p w:rsidR="00CA1C01" w:rsidRDefault="00CA1C01">
          <w:pPr>
            <w:pStyle w:val="2"/>
            <w:tabs>
              <w:tab w:val="right" w:leader="dot" w:pos="8296"/>
            </w:tabs>
            <w:rPr>
              <w:rFonts w:eastAsiaTheme="minorEastAsia"/>
              <w:noProof/>
              <w:szCs w:val="22"/>
            </w:rPr>
          </w:pPr>
          <w:hyperlink w:anchor="_Toc136246986" w:history="1">
            <w:r w:rsidRPr="000859E5">
              <w:rPr>
                <w:rStyle w:val="a7"/>
                <w:rFonts w:ascii="楷体" w:eastAsia="楷体" w:hAnsi="楷体"/>
                <w:b/>
                <w:noProof/>
              </w:rPr>
              <w:t>聚烯烃：原油利好提振有限 聚烯烃或震荡整理</w:t>
            </w:r>
          </w:hyperlink>
        </w:p>
        <w:p w:rsidR="00CA1C01" w:rsidRDefault="00CA1C01">
          <w:pPr>
            <w:pStyle w:val="2"/>
            <w:tabs>
              <w:tab w:val="right" w:leader="dot" w:pos="8296"/>
            </w:tabs>
            <w:rPr>
              <w:rFonts w:eastAsiaTheme="minorEastAsia"/>
              <w:noProof/>
              <w:szCs w:val="22"/>
            </w:rPr>
          </w:pPr>
          <w:hyperlink w:anchor="_Toc136246987" w:history="1">
            <w:r w:rsidRPr="000859E5">
              <w:rPr>
                <w:rStyle w:val="a7"/>
                <w:rFonts w:ascii="楷体" w:eastAsia="楷体" w:hAnsi="楷体"/>
                <w:b/>
                <w:noProof/>
              </w:rPr>
              <w:t>MEG：估值偏低及聚酯开工高位  把握阶段性低多机会</w:t>
            </w:r>
          </w:hyperlink>
        </w:p>
        <w:p w:rsidR="00CA1C01" w:rsidRDefault="00CA1C01">
          <w:pPr>
            <w:pStyle w:val="2"/>
            <w:tabs>
              <w:tab w:val="right" w:leader="dot" w:pos="8296"/>
            </w:tabs>
            <w:rPr>
              <w:rFonts w:eastAsiaTheme="minorEastAsia"/>
              <w:noProof/>
              <w:szCs w:val="22"/>
            </w:rPr>
          </w:pPr>
          <w:hyperlink w:anchor="_Toc136246988" w:history="1">
            <w:r w:rsidRPr="000859E5">
              <w:rPr>
                <w:rStyle w:val="a7"/>
                <w:rFonts w:ascii="楷体" w:eastAsia="楷体" w:hAnsi="楷体"/>
                <w:b/>
                <w:noProof/>
              </w:rPr>
              <w:t>玻璃：现货继续下跌，盘面冲高回落</w:t>
            </w:r>
          </w:hyperlink>
        </w:p>
        <w:p w:rsidR="00CA1C01" w:rsidRDefault="00CA1C01">
          <w:pPr>
            <w:pStyle w:val="2"/>
            <w:tabs>
              <w:tab w:val="right" w:leader="dot" w:pos="8296"/>
            </w:tabs>
            <w:rPr>
              <w:rFonts w:eastAsiaTheme="minorEastAsia"/>
              <w:noProof/>
              <w:szCs w:val="22"/>
            </w:rPr>
          </w:pPr>
          <w:hyperlink w:anchor="_Toc136246989" w:history="1">
            <w:r w:rsidRPr="000859E5">
              <w:rPr>
                <w:rStyle w:val="a7"/>
                <w:rFonts w:ascii="楷体" w:eastAsia="楷体" w:hAnsi="楷体"/>
                <w:b/>
                <w:noProof/>
              </w:rPr>
              <w:t>纯碱：多空双平，尾部情绪逐渐释放</w:t>
            </w:r>
          </w:hyperlink>
        </w:p>
        <w:p w:rsidR="00CA1C01" w:rsidRDefault="00CA1C01">
          <w:pPr>
            <w:pStyle w:val="11"/>
            <w:tabs>
              <w:tab w:val="right" w:leader="dot" w:pos="8296"/>
            </w:tabs>
            <w:rPr>
              <w:rFonts w:eastAsiaTheme="minorEastAsia"/>
              <w:noProof/>
              <w:szCs w:val="22"/>
            </w:rPr>
          </w:pPr>
          <w:hyperlink w:anchor="_Toc136246990" w:history="1">
            <w:r w:rsidRPr="000859E5">
              <w:rPr>
                <w:rStyle w:val="a7"/>
                <w:rFonts w:ascii="Times New Roman" w:eastAsia="楷体" w:hAnsi="Times New Roman"/>
                <w:b/>
                <w:noProof/>
              </w:rPr>
              <w:t>[</w:t>
            </w:r>
            <w:r w:rsidRPr="000859E5">
              <w:rPr>
                <w:rStyle w:val="a7"/>
                <w:rFonts w:ascii="Times New Roman" w:eastAsia="楷体" w:hAnsi="Times New Roman"/>
                <w:b/>
                <w:noProof/>
              </w:rPr>
              <w:t>农产品</w:t>
            </w:r>
            <w:r w:rsidRPr="000859E5">
              <w:rPr>
                <w:rStyle w:val="a7"/>
                <w:rFonts w:ascii="Times New Roman" w:eastAsia="楷体" w:hAnsi="Times New Roman"/>
                <w:b/>
                <w:noProof/>
              </w:rPr>
              <w:t>]</w:t>
            </w:r>
          </w:hyperlink>
        </w:p>
        <w:p w:rsidR="00CA1C01" w:rsidRDefault="00CA1C01">
          <w:pPr>
            <w:pStyle w:val="2"/>
            <w:tabs>
              <w:tab w:val="right" w:leader="dot" w:pos="8296"/>
            </w:tabs>
            <w:rPr>
              <w:rFonts w:eastAsiaTheme="minorEastAsia"/>
              <w:noProof/>
              <w:szCs w:val="22"/>
            </w:rPr>
          </w:pPr>
          <w:hyperlink w:anchor="_Toc136246991" w:history="1">
            <w:r w:rsidRPr="000859E5">
              <w:rPr>
                <w:rStyle w:val="a7"/>
                <w:rFonts w:ascii="楷体" w:eastAsia="楷体" w:hAnsi="楷体"/>
                <w:b/>
                <w:noProof/>
              </w:rPr>
              <w:t>豆粕/菜粕：现货基差预计承压</w:t>
            </w:r>
          </w:hyperlink>
        </w:p>
        <w:p w:rsidR="00CA1C01" w:rsidRDefault="00CA1C01">
          <w:pPr>
            <w:pStyle w:val="2"/>
            <w:tabs>
              <w:tab w:val="right" w:leader="dot" w:pos="8296"/>
            </w:tabs>
            <w:rPr>
              <w:rFonts w:eastAsiaTheme="minorEastAsia"/>
              <w:noProof/>
              <w:szCs w:val="22"/>
            </w:rPr>
          </w:pPr>
          <w:hyperlink w:anchor="_Toc136246992" w:history="1">
            <w:r w:rsidRPr="000859E5">
              <w:rPr>
                <w:rStyle w:val="a7"/>
                <w:rFonts w:ascii="楷体" w:eastAsia="楷体" w:hAnsi="楷体"/>
                <w:b/>
                <w:noProof/>
              </w:rPr>
              <w:t>油脂：止跌反弹，但偏弱趋势未变</w:t>
            </w:r>
          </w:hyperlink>
        </w:p>
        <w:p w:rsidR="00CA1C01" w:rsidRDefault="00CA1C01">
          <w:pPr>
            <w:pStyle w:val="2"/>
            <w:tabs>
              <w:tab w:val="right" w:leader="dot" w:pos="8296"/>
            </w:tabs>
            <w:rPr>
              <w:rFonts w:eastAsiaTheme="minorEastAsia"/>
              <w:noProof/>
              <w:szCs w:val="22"/>
            </w:rPr>
          </w:pPr>
          <w:hyperlink w:anchor="_Toc136246993" w:history="1">
            <w:r w:rsidRPr="000859E5">
              <w:rPr>
                <w:rStyle w:val="a7"/>
                <w:rFonts w:ascii="楷体" w:eastAsia="楷体" w:hAnsi="楷体"/>
                <w:b/>
                <w:bCs/>
                <w:noProof/>
              </w:rPr>
              <w:t>玉米与淀粉：</w:t>
            </w:r>
            <w:r w:rsidRPr="000859E5">
              <w:rPr>
                <w:rStyle w:val="a7"/>
                <w:rFonts w:ascii="楷体" w:eastAsia="楷体" w:hAnsi="楷体"/>
                <w:b/>
                <w:noProof/>
              </w:rPr>
              <w:t>周五夜盘期价继续反弹</w:t>
            </w:r>
          </w:hyperlink>
        </w:p>
        <w:p w:rsidR="00CA1C01" w:rsidRDefault="00CA1C01">
          <w:pPr>
            <w:pStyle w:val="2"/>
            <w:tabs>
              <w:tab w:val="right" w:leader="dot" w:pos="8296"/>
            </w:tabs>
            <w:rPr>
              <w:rFonts w:eastAsiaTheme="minorEastAsia"/>
              <w:noProof/>
              <w:szCs w:val="22"/>
            </w:rPr>
          </w:pPr>
          <w:hyperlink w:anchor="_Toc136246994" w:history="1">
            <w:r w:rsidRPr="000859E5">
              <w:rPr>
                <w:rStyle w:val="a7"/>
                <w:rFonts w:ascii="楷体" w:eastAsia="楷体" w:hAnsi="楷体"/>
                <w:b/>
                <w:bCs/>
                <w:noProof/>
              </w:rPr>
              <w:t>畜禽养殖：期价下方空间或有限</w:t>
            </w:r>
          </w:hyperlink>
        </w:p>
        <w:p w:rsidR="00CA1C01" w:rsidRDefault="00CA1C01">
          <w:pPr>
            <w:pStyle w:val="2"/>
            <w:tabs>
              <w:tab w:val="right" w:leader="dot" w:pos="8296"/>
            </w:tabs>
            <w:rPr>
              <w:rFonts w:eastAsiaTheme="minorEastAsia"/>
              <w:noProof/>
              <w:szCs w:val="22"/>
            </w:rPr>
          </w:pPr>
          <w:hyperlink w:anchor="_Toc136246995" w:history="1">
            <w:r w:rsidRPr="000859E5">
              <w:rPr>
                <w:rStyle w:val="a7"/>
                <w:rFonts w:ascii="楷体" w:eastAsia="楷体" w:hAnsi="楷体"/>
                <w:b/>
                <w:noProof/>
              </w:rPr>
              <w:t>郑棉：预计09合约震荡整理，观望或空9多1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62469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6246968"/>
      <w:bookmarkEnd w:id="3"/>
      <w:r>
        <w:rPr>
          <w:rFonts w:ascii="Times New Roman" w:eastAsia="楷体" w:hAnsi="Times New Roman" w:hint="eastAsia"/>
          <w:b/>
          <w:color w:val="000000" w:themeColor="text1"/>
          <w:sz w:val="24"/>
          <w:szCs w:val="24"/>
        </w:rPr>
        <w:t>股指：</w:t>
      </w:r>
      <w:bookmarkEnd w:id="5"/>
      <w:bookmarkEnd w:id="6"/>
      <w:r w:rsidR="00CA1C01" w:rsidRPr="00CA1C01">
        <w:rPr>
          <w:rFonts w:ascii="Times New Roman" w:eastAsia="楷体" w:hAnsi="Times New Roman" w:hint="eastAsia"/>
          <w:b/>
          <w:color w:val="000000" w:themeColor="text1"/>
          <w:sz w:val="24"/>
          <w:szCs w:val="24"/>
        </w:rPr>
        <w:t>低多</w:t>
      </w:r>
      <w:r w:rsidR="00CA1C01" w:rsidRPr="00CA1C01">
        <w:rPr>
          <w:rFonts w:ascii="Times New Roman" w:eastAsia="楷体" w:hAnsi="Times New Roman" w:hint="eastAsia"/>
          <w:b/>
          <w:color w:val="000000" w:themeColor="text1"/>
          <w:sz w:val="24"/>
          <w:szCs w:val="24"/>
        </w:rPr>
        <w:t>IM</w:t>
      </w:r>
      <w:bookmarkEnd w:id="7"/>
    </w:p>
    <w:p w:rsidR="003F56A5" w:rsidRDefault="00CA1C01">
      <w:pPr>
        <w:ind w:leftChars="300" w:left="630"/>
        <w:rPr>
          <w:rFonts w:ascii="Times New Roman" w:eastAsia="楷体" w:hAnsi="Times New Roman"/>
          <w:color w:val="000000" w:themeColor="text1"/>
          <w:sz w:val="24"/>
          <w:szCs w:val="24"/>
        </w:rPr>
      </w:pPr>
      <w:r w:rsidRPr="00CA1C01">
        <w:rPr>
          <w:rFonts w:ascii="Times New Roman" w:eastAsia="楷体" w:hAnsi="Times New Roman" w:hint="eastAsia"/>
          <w:color w:val="000000" w:themeColor="text1"/>
          <w:sz w:val="24"/>
          <w:szCs w:val="24"/>
        </w:rPr>
        <w:t>5</w:t>
      </w:r>
      <w:r w:rsidRPr="00CA1C01">
        <w:rPr>
          <w:rFonts w:ascii="Times New Roman" w:eastAsia="楷体" w:hAnsi="Times New Roman" w:hint="eastAsia"/>
          <w:color w:val="000000" w:themeColor="text1"/>
          <w:sz w:val="24"/>
          <w:szCs w:val="24"/>
        </w:rPr>
        <w:t>月市场的调整一方面来自于前期市场涨幅的兑现另一方面来自于经济复苏预期的修正。</w:t>
      </w:r>
      <w:r w:rsidRPr="00CA1C01">
        <w:rPr>
          <w:rFonts w:ascii="Times New Roman" w:eastAsia="楷体" w:hAnsi="Times New Roman" w:hint="eastAsia"/>
          <w:color w:val="000000" w:themeColor="text1"/>
          <w:sz w:val="24"/>
          <w:szCs w:val="24"/>
        </w:rPr>
        <w:t>5</w:t>
      </w:r>
      <w:r w:rsidRPr="00CA1C01">
        <w:rPr>
          <w:rFonts w:ascii="Times New Roman" w:eastAsia="楷体" w:hAnsi="Times New Roman" w:hint="eastAsia"/>
          <w:color w:val="000000" w:themeColor="text1"/>
          <w:sz w:val="24"/>
          <w:szCs w:val="24"/>
        </w:rPr>
        <w:t>月</w:t>
      </w:r>
      <w:r w:rsidRPr="00CA1C01">
        <w:rPr>
          <w:rFonts w:ascii="Times New Roman" w:eastAsia="楷体" w:hAnsi="Times New Roman" w:hint="eastAsia"/>
          <w:color w:val="000000" w:themeColor="text1"/>
          <w:sz w:val="24"/>
          <w:szCs w:val="24"/>
        </w:rPr>
        <w:t>A</w:t>
      </w:r>
      <w:r w:rsidRPr="00CA1C01">
        <w:rPr>
          <w:rFonts w:ascii="Times New Roman" w:eastAsia="楷体" w:hAnsi="Times New Roman" w:hint="eastAsia"/>
          <w:color w:val="000000" w:themeColor="text1"/>
          <w:sz w:val="24"/>
          <w:szCs w:val="24"/>
        </w:rPr>
        <w:t>股交易情绪持续走弱，日均成交额已从月初的万亿规模回落至</w:t>
      </w:r>
      <w:r w:rsidRPr="00CA1C01">
        <w:rPr>
          <w:rFonts w:ascii="Times New Roman" w:eastAsia="楷体" w:hAnsi="Times New Roman" w:hint="eastAsia"/>
          <w:color w:val="000000" w:themeColor="text1"/>
          <w:sz w:val="24"/>
          <w:szCs w:val="24"/>
        </w:rPr>
        <w:t>8000</w:t>
      </w:r>
      <w:r w:rsidRPr="00CA1C01">
        <w:rPr>
          <w:rFonts w:ascii="Times New Roman" w:eastAsia="楷体" w:hAnsi="Times New Roman" w:hint="eastAsia"/>
          <w:color w:val="000000" w:themeColor="text1"/>
          <w:sz w:val="24"/>
          <w:szCs w:val="24"/>
        </w:rPr>
        <w:t>亿元左右。当前市场估值处于均值以下的相对低位，沪深</w:t>
      </w:r>
      <w:r w:rsidRPr="00CA1C01">
        <w:rPr>
          <w:rFonts w:ascii="Times New Roman" w:eastAsia="楷体" w:hAnsi="Times New Roman" w:hint="eastAsia"/>
          <w:color w:val="000000" w:themeColor="text1"/>
          <w:sz w:val="24"/>
          <w:szCs w:val="24"/>
        </w:rPr>
        <w:t>300</w:t>
      </w:r>
      <w:r w:rsidRPr="00CA1C01">
        <w:rPr>
          <w:rFonts w:ascii="Times New Roman" w:eastAsia="楷体" w:hAnsi="Times New Roman" w:hint="eastAsia"/>
          <w:color w:val="000000" w:themeColor="text1"/>
          <w:sz w:val="24"/>
          <w:szCs w:val="24"/>
        </w:rPr>
        <w:t>股债收益差位于十年以来</w:t>
      </w:r>
      <w:r w:rsidRPr="00CA1C01">
        <w:rPr>
          <w:rFonts w:ascii="Times New Roman" w:eastAsia="楷体" w:hAnsi="Times New Roman" w:hint="eastAsia"/>
          <w:color w:val="000000" w:themeColor="text1"/>
          <w:sz w:val="24"/>
          <w:szCs w:val="24"/>
        </w:rPr>
        <w:t>94%</w:t>
      </w:r>
      <w:r w:rsidRPr="00CA1C01">
        <w:rPr>
          <w:rFonts w:ascii="Times New Roman" w:eastAsia="楷体" w:hAnsi="Times New Roman" w:hint="eastAsia"/>
          <w:color w:val="000000" w:themeColor="text1"/>
          <w:sz w:val="24"/>
          <w:szCs w:val="24"/>
        </w:rPr>
        <w:t>的相对分位，性价比进一步提升。目前看，国内基本面现实弱势难改，但悲观预期计价较为充分，市场对于稳增长政策预期极低，风险偏好易提振、难恶化，若政策超预期则是刺激变量，当前位置做多的赔率与胜率皆不低</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62469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6246970"/>
      <w:r>
        <w:rPr>
          <w:rFonts w:ascii="Times New Roman" w:eastAsia="楷体" w:hAnsi="Times New Roman" w:hint="eastAsia"/>
          <w:b/>
          <w:color w:val="000000" w:themeColor="text1"/>
          <w:sz w:val="24"/>
          <w:szCs w:val="24"/>
        </w:rPr>
        <w:t>贵金属：</w:t>
      </w:r>
      <w:r w:rsidR="00B745CB" w:rsidRPr="00B745CB">
        <w:rPr>
          <w:rFonts w:ascii="Times New Roman" w:eastAsia="楷体" w:hAnsi="Times New Roman" w:hint="eastAsia"/>
          <w:b/>
          <w:color w:val="000000" w:themeColor="text1"/>
          <w:sz w:val="24"/>
          <w:szCs w:val="24"/>
        </w:rPr>
        <w:t>美国初请失业金人数低于预期，贵金属价格下跌</w:t>
      </w:r>
      <w:bookmarkEnd w:id="9"/>
    </w:p>
    <w:p w:rsidR="003F56A5" w:rsidRDefault="00B745CB">
      <w:pPr>
        <w:ind w:leftChars="300" w:left="630"/>
        <w:rPr>
          <w:rFonts w:ascii="Times New Roman" w:eastAsia="楷体" w:hAnsi="Times New Roman"/>
          <w:sz w:val="24"/>
          <w:szCs w:val="24"/>
        </w:rPr>
      </w:pPr>
      <w:r w:rsidRPr="00B745CB">
        <w:rPr>
          <w:rFonts w:ascii="Times New Roman" w:eastAsia="楷体" w:hAnsi="Times New Roman" w:hint="eastAsia"/>
          <w:color w:val="000000" w:themeColor="text1"/>
          <w:sz w:val="24"/>
          <w:szCs w:val="24"/>
        </w:rPr>
        <w:t>昨夜</w:t>
      </w:r>
      <w:r w:rsidRPr="00B745CB">
        <w:rPr>
          <w:rFonts w:ascii="Times New Roman" w:eastAsia="楷体" w:hAnsi="Times New Roman" w:hint="eastAsia"/>
          <w:color w:val="000000" w:themeColor="text1"/>
          <w:sz w:val="24"/>
          <w:szCs w:val="24"/>
        </w:rPr>
        <w:t>COMEX</w:t>
      </w:r>
      <w:r w:rsidRPr="00B745CB">
        <w:rPr>
          <w:rFonts w:ascii="Times New Roman" w:eastAsia="楷体" w:hAnsi="Times New Roman" w:hint="eastAsia"/>
          <w:color w:val="000000" w:themeColor="text1"/>
          <w:sz w:val="24"/>
          <w:szCs w:val="24"/>
        </w:rPr>
        <w:t>金价短线下行，目前暂报</w:t>
      </w:r>
      <w:r w:rsidRPr="00B745CB">
        <w:rPr>
          <w:rFonts w:ascii="Times New Roman" w:eastAsia="楷体" w:hAnsi="Times New Roman" w:hint="eastAsia"/>
          <w:color w:val="000000" w:themeColor="text1"/>
          <w:sz w:val="24"/>
          <w:szCs w:val="24"/>
        </w:rPr>
        <w:t>1940</w:t>
      </w:r>
      <w:r w:rsidRPr="00B745CB">
        <w:rPr>
          <w:rFonts w:ascii="Times New Roman" w:eastAsia="楷体" w:hAnsi="Times New Roman" w:hint="eastAsia"/>
          <w:color w:val="000000" w:themeColor="text1"/>
          <w:sz w:val="24"/>
          <w:szCs w:val="24"/>
        </w:rPr>
        <w:t>美元</w:t>
      </w:r>
      <w:r w:rsidRPr="00B745CB">
        <w:rPr>
          <w:rFonts w:ascii="Times New Roman" w:eastAsia="楷体" w:hAnsi="Times New Roman" w:hint="eastAsia"/>
          <w:color w:val="000000" w:themeColor="text1"/>
          <w:sz w:val="24"/>
          <w:szCs w:val="24"/>
        </w:rPr>
        <w:t>/</w:t>
      </w:r>
      <w:r w:rsidRPr="00B745CB">
        <w:rPr>
          <w:rFonts w:ascii="Times New Roman" w:eastAsia="楷体" w:hAnsi="Times New Roman" w:hint="eastAsia"/>
          <w:color w:val="000000" w:themeColor="text1"/>
          <w:sz w:val="24"/>
          <w:szCs w:val="24"/>
        </w:rPr>
        <w:t>盎司，沪金、沪银跟随外盘走势下跌。截至</w:t>
      </w:r>
      <w:r w:rsidRPr="00B745CB">
        <w:rPr>
          <w:rFonts w:ascii="Times New Roman" w:eastAsia="楷体" w:hAnsi="Times New Roman" w:hint="eastAsia"/>
          <w:color w:val="000000" w:themeColor="text1"/>
          <w:sz w:val="24"/>
          <w:szCs w:val="24"/>
        </w:rPr>
        <w:t>5</w:t>
      </w:r>
      <w:r w:rsidRPr="00B745CB">
        <w:rPr>
          <w:rFonts w:ascii="Times New Roman" w:eastAsia="楷体" w:hAnsi="Times New Roman" w:hint="eastAsia"/>
          <w:color w:val="000000" w:themeColor="text1"/>
          <w:sz w:val="24"/>
          <w:szCs w:val="24"/>
        </w:rPr>
        <w:t>月</w:t>
      </w:r>
      <w:r w:rsidRPr="00B745CB">
        <w:rPr>
          <w:rFonts w:ascii="Times New Roman" w:eastAsia="楷体" w:hAnsi="Times New Roman" w:hint="eastAsia"/>
          <w:color w:val="000000" w:themeColor="text1"/>
          <w:sz w:val="24"/>
          <w:szCs w:val="24"/>
        </w:rPr>
        <w:t>20</w:t>
      </w:r>
      <w:r w:rsidRPr="00B745CB">
        <w:rPr>
          <w:rFonts w:ascii="Times New Roman" w:eastAsia="楷体" w:hAnsi="Times New Roman" w:hint="eastAsia"/>
          <w:color w:val="000000" w:themeColor="text1"/>
          <w:sz w:val="24"/>
          <w:szCs w:val="24"/>
        </w:rPr>
        <w:t>日当周美国初请失业金人数为</w:t>
      </w:r>
      <w:r w:rsidRPr="00B745CB">
        <w:rPr>
          <w:rFonts w:ascii="Times New Roman" w:eastAsia="楷体" w:hAnsi="Times New Roman" w:hint="eastAsia"/>
          <w:color w:val="000000" w:themeColor="text1"/>
          <w:sz w:val="24"/>
          <w:szCs w:val="24"/>
        </w:rPr>
        <w:t>22.9</w:t>
      </w:r>
      <w:r w:rsidRPr="00B745CB">
        <w:rPr>
          <w:rFonts w:ascii="Times New Roman" w:eastAsia="楷体" w:hAnsi="Times New Roman" w:hint="eastAsia"/>
          <w:color w:val="000000" w:themeColor="text1"/>
          <w:sz w:val="24"/>
          <w:szCs w:val="24"/>
        </w:rPr>
        <w:t>万人，好于此前经济学家预计的</w:t>
      </w:r>
      <w:r w:rsidRPr="00B745CB">
        <w:rPr>
          <w:rFonts w:ascii="Times New Roman" w:eastAsia="楷体" w:hAnsi="Times New Roman" w:hint="eastAsia"/>
          <w:color w:val="000000" w:themeColor="text1"/>
          <w:sz w:val="24"/>
          <w:szCs w:val="24"/>
        </w:rPr>
        <w:t>24.5</w:t>
      </w:r>
      <w:r w:rsidRPr="00B745CB">
        <w:rPr>
          <w:rFonts w:ascii="Times New Roman" w:eastAsia="楷体" w:hAnsi="Times New Roman" w:hint="eastAsia"/>
          <w:color w:val="000000" w:themeColor="text1"/>
          <w:sz w:val="24"/>
          <w:szCs w:val="24"/>
        </w:rPr>
        <w:t>万人，前值小幅下修。就业方面高频数据表现向好提振海外市场鹰派预期，贵金属价格承压下跌。据外媒报道，消息人士称拜登和众议院议长麦卡锡就债务上限问题接近达成协议，将提高债务上限两年，在可支配支出方面仍存在分歧。如果未来一周美国上调债务上限的法案能够通过，或者有能够解决问题的确定性表态，金价短线或转为偏弱震荡，建议谨慎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62469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6246972"/>
      <w:r>
        <w:rPr>
          <w:rFonts w:ascii="楷体" w:eastAsia="楷体" w:hAnsi="楷体" w:hint="eastAsia"/>
          <w:b/>
          <w:color w:val="000000" w:themeColor="text1"/>
          <w:sz w:val="24"/>
          <w:szCs w:val="24"/>
        </w:rPr>
        <w:t>螺纹钢：</w:t>
      </w:r>
      <w:bookmarkEnd w:id="15"/>
      <w:bookmarkEnd w:id="16"/>
      <w:r w:rsidR="00CA1C01" w:rsidRPr="00CA1C01">
        <w:rPr>
          <w:rFonts w:ascii="楷体" w:eastAsia="楷体" w:hAnsi="楷体" w:hint="eastAsia"/>
          <w:b/>
          <w:color w:val="000000" w:themeColor="text1"/>
          <w:sz w:val="24"/>
          <w:szCs w:val="24"/>
        </w:rPr>
        <w:t>上方压力明显，短期观望为主</w:t>
      </w:r>
      <w:bookmarkEnd w:id="17"/>
    </w:p>
    <w:p w:rsidR="003F56A5" w:rsidRDefault="00CA1C01">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产业估值相对偏低，但需求及成本对向下驱动不改，政策预期对价格下方具有一定支撑，市场震荡态势较为明显。基本面对价格运动的推进较为缓慢，更多由事件信号推动加速，关注动力煤加速下行、铁矿补跌压力等关键节点。建议关注上方（3580,3600）的压力区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6246973"/>
      <w:r>
        <w:rPr>
          <w:rFonts w:ascii="楷体" w:eastAsia="楷体" w:hAnsi="楷体" w:hint="eastAsia"/>
          <w:b/>
          <w:color w:val="000000" w:themeColor="text1"/>
          <w:sz w:val="24"/>
          <w:szCs w:val="24"/>
        </w:rPr>
        <w:t>焦炭：</w:t>
      </w:r>
      <w:bookmarkEnd w:id="18"/>
      <w:bookmarkEnd w:id="19"/>
      <w:r w:rsidR="00CA1C01" w:rsidRPr="00CA1C01">
        <w:rPr>
          <w:rFonts w:ascii="楷体" w:eastAsia="楷体" w:hAnsi="楷体" w:hint="eastAsia"/>
          <w:b/>
          <w:color w:val="000000" w:themeColor="text1"/>
          <w:sz w:val="24"/>
          <w:szCs w:val="24"/>
        </w:rPr>
        <w:t>成本下行压力较大，反弹幅度或有限</w:t>
      </w:r>
      <w:bookmarkEnd w:id="20"/>
    </w:p>
    <w:p w:rsidR="003F56A5" w:rsidRDefault="00CA1C01">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动力煤压力及产量平控压力或作用于原料，焦炭向上驱动不足，盘面走负反馈预期，短期偏弱运行，预计震荡区间（1850,2020）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6246974"/>
      <w:r>
        <w:rPr>
          <w:rFonts w:ascii="楷体" w:eastAsia="楷体" w:hAnsi="楷体" w:hint="eastAsia"/>
          <w:b/>
          <w:color w:val="000000" w:themeColor="text1"/>
          <w:sz w:val="24"/>
          <w:szCs w:val="24"/>
        </w:rPr>
        <w:t>焦煤：</w:t>
      </w:r>
      <w:r w:rsidR="00CA1C01" w:rsidRPr="00CA1C01">
        <w:rPr>
          <w:rFonts w:ascii="楷体" w:eastAsia="楷体" w:hAnsi="楷体" w:hint="eastAsia"/>
          <w:b/>
          <w:sz w:val="24"/>
          <w:szCs w:val="24"/>
        </w:rPr>
        <w:t>成材及动力煤带动加速下行，现货仍有下行压力</w:t>
      </w:r>
      <w:bookmarkEnd w:id="21"/>
    </w:p>
    <w:p w:rsidR="003F56A5" w:rsidRDefault="00CA1C01">
      <w:pPr>
        <w:ind w:leftChars="300" w:left="630"/>
        <w:rPr>
          <w:rFonts w:ascii="楷体" w:eastAsia="楷体" w:hAnsi="楷体"/>
          <w:bCs/>
          <w:sz w:val="24"/>
          <w:szCs w:val="24"/>
        </w:rPr>
      </w:pPr>
      <w:r w:rsidRPr="00CA1C01">
        <w:rPr>
          <w:rFonts w:ascii="楷体" w:eastAsia="楷体" w:hAnsi="楷体" w:hint="eastAsia"/>
          <w:sz w:val="24"/>
          <w:szCs w:val="24"/>
        </w:rPr>
        <w:t>成材价格及动力煤风险暴露驱动焦煤价格向下，但焦煤自身基本面边际好转，现货偏稳运行。预期推动盘面破位下行，动力煤仍在探底中，下游已经适当补库，煤价反弹幅度有限，预计在（1180,1300）区间震荡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6246975"/>
      <w:r>
        <w:rPr>
          <w:rFonts w:ascii="楷体" w:eastAsia="楷体" w:hAnsi="楷体" w:hint="eastAsia"/>
          <w:b/>
          <w:color w:val="000000" w:themeColor="text1"/>
          <w:sz w:val="24"/>
          <w:szCs w:val="24"/>
        </w:rPr>
        <w:t>铜：</w:t>
      </w:r>
      <w:bookmarkEnd w:id="22"/>
      <w:bookmarkEnd w:id="23"/>
      <w:r w:rsidR="00CA1C01" w:rsidRPr="00CA1C01">
        <w:rPr>
          <w:rFonts w:ascii="楷体" w:eastAsia="楷体" w:hAnsi="楷体" w:hint="eastAsia"/>
          <w:b/>
          <w:color w:val="000000" w:themeColor="text1"/>
          <w:sz w:val="24"/>
          <w:szCs w:val="24"/>
        </w:rPr>
        <w:t>短期宏观利空影响缓和，铜价反弹但空间有限</w:t>
      </w:r>
      <w:bookmarkEnd w:id="24"/>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lastRenderedPageBreak/>
        <w:t>(1)宏观：上周末美国总统拜登和国会共和党领袖麦卡锡已就提高联邦政府31.4万亿美元的债务上限达成原则性协议，结束了长达数月的僵局。周三将提交国会投票表决，拜登和麦卡锡暗示有信心协议获批。</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(2)库存：5月26日，SHFE周库存86177吨，较上周五减16334吨。LME仓单库存97725吨，较上周五增5750吨。</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(3)精废价差：5月26日，Mysteel精废价差854，收窄204。目前价差在合理价差1338之下。</w:t>
      </w:r>
    </w:p>
    <w:p w:rsidR="00CA1C01" w:rsidRPr="00CA1C01" w:rsidRDefault="00CA1C01" w:rsidP="00CA1C01">
      <w:pPr>
        <w:ind w:leftChars="300" w:left="630"/>
        <w:rPr>
          <w:rFonts w:ascii="楷体" w:eastAsia="楷体" w:hAnsi="楷体"/>
          <w:color w:val="000000" w:themeColor="text1"/>
          <w:sz w:val="24"/>
          <w:szCs w:val="24"/>
        </w:rPr>
      </w:pPr>
    </w:p>
    <w:p w:rsidR="00A71A7E" w:rsidRPr="00A71A7E" w:rsidRDefault="00CA1C01" w:rsidP="00CA1C01">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综述：美国债务上限问题取得进展，市场风险偏好回升。美联储6月加息25BP已被较为充分定价，短期宏观利空影响出现一定程度缓和。欧美通胀数据仍具韧性，高利率大概率仍将维持，衰退交易仍有反复可能性，对铜价形成制约。基本面，海外持续累库，LME现货大幅贴水，国内进口窗口打开，国内现货紧张程度缓解，升水持续下调。预计铜价反弹高度有限，短期价格波动参考64000-65500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6246976"/>
      <w:r>
        <w:rPr>
          <w:rFonts w:ascii="楷体" w:eastAsia="楷体" w:hAnsi="楷体" w:hint="eastAsia"/>
          <w:b/>
          <w:color w:val="000000" w:themeColor="text1"/>
          <w:sz w:val="24"/>
          <w:szCs w:val="24"/>
        </w:rPr>
        <w:t>铝：</w:t>
      </w:r>
      <w:bookmarkEnd w:id="25"/>
      <w:bookmarkEnd w:id="26"/>
      <w:r w:rsidR="00CA1C01" w:rsidRPr="00CA1C01">
        <w:rPr>
          <w:rFonts w:ascii="楷体" w:eastAsia="楷体" w:hAnsi="楷体" w:hint="eastAsia"/>
          <w:b/>
          <w:color w:val="000000" w:themeColor="text1"/>
          <w:sz w:val="24"/>
          <w:szCs w:val="24"/>
        </w:rPr>
        <w:t>铝价反弹上万八，支撑偏弱预期下行</w:t>
      </w:r>
      <w:bookmarkEnd w:id="27"/>
    </w:p>
    <w:p w:rsidR="003F56A5" w:rsidRDefault="00CA1C01" w:rsidP="00CF7A9A">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美国债务上限达成协议，市场恐担忧情绪走弱。国内电解铝成本支撑坍塌，氧化铝产能过剩，辅料价格震荡下行，电价走弱，目前电解铝利润位于相对高位，未来有挤出可能。西南部分地区持续推进复产，云南逐步进入丰水期，后期当地供应或有复产，消息面传出云南前期减产产能或部分维持停产，供应仍有走增预期。铝下游加工龙头企业开工率小幅下降，铝水比例维持高位，铸锭存量承压，国内交易所库存及社会库存维持强去库，而铝棒去库不畅一定程度上抑制铝棒加工费反弹，海外需求受大环境影响疲弱乏力，国内铝消费转入淡季，内需消费维持但表现不及市场预期。盘面铝价反弹，实际价格仍有较大下行空间，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6246977"/>
      <w:r>
        <w:rPr>
          <w:rFonts w:ascii="楷体" w:eastAsia="楷体" w:hAnsi="楷体" w:hint="eastAsia"/>
          <w:b/>
          <w:color w:val="000000" w:themeColor="text1"/>
          <w:sz w:val="24"/>
          <w:szCs w:val="24"/>
        </w:rPr>
        <w:t>锌：</w:t>
      </w:r>
      <w:r w:rsidR="00B745CB" w:rsidRPr="00B745CB">
        <w:rPr>
          <w:rFonts w:ascii="楷体" w:eastAsia="楷体" w:hAnsi="楷体" w:hint="eastAsia"/>
          <w:b/>
          <w:color w:val="000000" w:themeColor="text1"/>
          <w:sz w:val="24"/>
          <w:szCs w:val="24"/>
        </w:rPr>
        <w:t>锌价持续向弱趋势未改</w:t>
      </w:r>
      <w:bookmarkEnd w:id="28"/>
    </w:p>
    <w:p w:rsidR="003F56A5" w:rsidRDefault="00B745CB" w:rsidP="000B0648">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美债上限协议达成，市场恐慌情绪走弱，基本面上供强需弱格局延续。4月矿端进口环比持平，进口矿利润领先国内矿，进口窗口打开，矿端供应维持偏强，冶炼利润持续挤出但仍在历史偏高位置，终端需求订单表现一般，镀锌企业开工率周度环比走低，交易所及社库维持去库，目前锌价下探成本支撑，整体锌价仍有下行压力，关注逢高做空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6246978"/>
      <w:r>
        <w:rPr>
          <w:rFonts w:ascii="楷体" w:eastAsia="楷体" w:hAnsi="楷体" w:hint="eastAsia"/>
          <w:b/>
          <w:color w:val="000000" w:themeColor="text1"/>
          <w:sz w:val="24"/>
          <w:szCs w:val="24"/>
        </w:rPr>
        <w:t>镍：</w:t>
      </w:r>
      <w:r w:rsidR="00EC2B12" w:rsidRPr="00EC2B12">
        <w:rPr>
          <w:rFonts w:ascii="楷体" w:eastAsia="楷体" w:hAnsi="楷体" w:hint="eastAsia"/>
          <w:b/>
          <w:color w:val="000000" w:themeColor="text1"/>
          <w:sz w:val="24"/>
          <w:szCs w:val="24"/>
        </w:rPr>
        <w:t>宏观偏空助推价格大跌，低库存或仍提供支撑</w:t>
      </w:r>
      <w:bookmarkEnd w:id="29"/>
    </w:p>
    <w:p w:rsidR="003F56A5" w:rsidRDefault="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宏观市场情绪遇冷是近期价格大幅下跌的主因，海外衰退风险并未解除，国内经济复苏不及预期，人民币汇率近期持续走弱，整体有色维持偏弱运行。纯镍中期有较多的供应增量预期持续给价格带来压力，但现实低库存及大back结构使得继续追空存在风险。盘面看，沪镍下跌至16万附近后，受到支撑而强势反弹，技术信号有所增强；暂对镍价持震荡预判，区间16-17.7万。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624697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9260D3" w:rsidRPr="009260D3">
        <w:rPr>
          <w:rFonts w:ascii="楷体" w:eastAsia="楷体" w:hAnsi="楷体" w:hint="eastAsia"/>
          <w:b/>
          <w:color w:val="000000" w:themeColor="text1"/>
          <w:sz w:val="24"/>
          <w:szCs w:val="24"/>
        </w:rPr>
        <w:t>铝价下方仍有较大空间，建议逢高布空</w:t>
      </w:r>
      <w:bookmarkEnd w:id="30"/>
    </w:p>
    <w:p w:rsidR="008B13D2" w:rsidRPr="008B13D2" w:rsidRDefault="009260D3" w:rsidP="008B13D2">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美国债务上限谈判未有结论，此时距离债务违约时限已无多日，市场恐慌情绪蔓延。国内电解铝成本支撑坍塌，氧化铝产能过剩，辅料价格震荡下</w:t>
      </w:r>
      <w:r w:rsidRPr="009260D3">
        <w:rPr>
          <w:rFonts w:ascii="楷体" w:eastAsia="楷体" w:hAnsi="楷体" w:hint="eastAsia"/>
          <w:color w:val="000000" w:themeColor="text1"/>
          <w:sz w:val="24"/>
          <w:szCs w:val="24"/>
        </w:rPr>
        <w:lastRenderedPageBreak/>
        <w:t>行，电价走弱，目前电解铝利润位于相对高位，未来有挤出可能。西南部分地区持续推进复产，云南逐步进入丰水期，后期当地供应或有复产，消息面传出云南前期减产产能或部分维持停产，供应仍有走增预期。铝下游加工龙头企业开工率小幅下降，铝水比例维持高位，铸锭存量承压，国内交易所库存及社会库存维持强去库，而铝棒去库不畅一定程度上抑制铝棒加工费反弹，海外需求受大环境影响疲弱乏力，国内铝消费转入淡季，内需消费维持但表现不及市场预期。铝价仍有较大下行空间，建议逢高做空</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6246980"/>
      <w:r>
        <w:rPr>
          <w:rFonts w:ascii="楷体" w:eastAsia="楷体" w:hAnsi="楷体" w:hint="eastAsia"/>
          <w:b/>
          <w:color w:val="000000" w:themeColor="text1"/>
          <w:sz w:val="24"/>
          <w:szCs w:val="24"/>
        </w:rPr>
        <w:t>不锈钢：</w:t>
      </w:r>
      <w:r w:rsidR="00B066DA" w:rsidRPr="00B066DA">
        <w:rPr>
          <w:rFonts w:ascii="楷体" w:eastAsia="楷体" w:hAnsi="楷体" w:hint="eastAsia"/>
          <w:b/>
          <w:color w:val="000000" w:themeColor="text1"/>
          <w:sz w:val="24"/>
          <w:szCs w:val="24"/>
        </w:rPr>
        <w:t>周内库存大幅去化，提振不锈钢价</w:t>
      </w:r>
      <w:bookmarkEnd w:id="31"/>
    </w:p>
    <w:p w:rsidR="003F56A5" w:rsidRDefault="00B066DA">
      <w:pPr>
        <w:ind w:leftChars="300" w:left="630"/>
        <w:rPr>
          <w:rFonts w:ascii="楷体" w:eastAsia="楷体" w:hAnsi="楷体"/>
          <w:color w:val="000000" w:themeColor="text1"/>
          <w:sz w:val="24"/>
          <w:szCs w:val="24"/>
        </w:rPr>
      </w:pPr>
      <w:r w:rsidRPr="00B066DA">
        <w:rPr>
          <w:rFonts w:ascii="楷体" w:eastAsia="楷体" w:hAnsi="楷体" w:hint="eastAsia"/>
          <w:color w:val="000000" w:themeColor="text1"/>
          <w:sz w:val="24"/>
          <w:szCs w:val="24"/>
        </w:rPr>
        <w:t>因5月实际产量不及预期，本周不锈钢社会库存再次出现明显下降，目前库存水平基本持平去年同期，前期库存压力明显缓解，对市场情绪有所提振，但预期价格难有明显反弹，因原料镍铁价格继续下调，成本端无法提供有力支撑，且供应弹性大而需求疲弱下，价格驱动不强。预计短期仍以震荡为主，SS2307参考14500-15000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6246981"/>
      <w:r>
        <w:rPr>
          <w:rFonts w:ascii="楷体" w:eastAsia="楷体" w:hAnsi="楷体" w:hint="eastAsia"/>
          <w:b/>
          <w:color w:val="000000" w:themeColor="text1"/>
          <w:sz w:val="24"/>
          <w:szCs w:val="24"/>
        </w:rPr>
        <w:t>工业硅：</w:t>
      </w:r>
      <w:r w:rsidR="00CA1C01" w:rsidRPr="00CA1C01">
        <w:rPr>
          <w:rFonts w:ascii="楷体" w:eastAsia="楷体" w:hAnsi="楷体" w:hint="eastAsia"/>
          <w:b/>
          <w:sz w:val="24"/>
          <w:szCs w:val="24"/>
        </w:rPr>
        <w:t>供应或逐步恢复，预计市场偏弱运行</w:t>
      </w:r>
      <w:bookmarkEnd w:id="32"/>
    </w:p>
    <w:p w:rsidR="003F56A5" w:rsidRDefault="00CA1C01" w:rsidP="007103A5">
      <w:pPr>
        <w:ind w:leftChars="300" w:left="630"/>
        <w:rPr>
          <w:rFonts w:ascii="楷体" w:eastAsia="楷体" w:hAnsi="楷体"/>
          <w:sz w:val="24"/>
          <w:szCs w:val="24"/>
        </w:rPr>
      </w:pPr>
      <w:r w:rsidRPr="00CA1C01">
        <w:rPr>
          <w:rFonts w:ascii="楷体" w:eastAsia="楷体" w:hAnsi="楷体" w:hint="eastAsia"/>
          <w:sz w:val="24"/>
          <w:szCs w:val="24"/>
        </w:rPr>
        <w:t>5月26日，Si2308主力合约呈反弹走势，收盘价12635元/吨，较上一收盘价涨跌幅＋1.78%。从供应端来看，6月西南地区即将进入丰水期，当地工厂将逐步恢复生产，供应存在恢复预期。从需求端来看，有机硅、出口需求仍旧低迷，铝合金维持刚需采购，而多晶硅新增产能释放仍需时间。综合来看，在供应存在恢复，叠加成本下降预期，市场或仍将偏弱。但目前盘面价格几乎已跌至西南地区丰水期成本价，预计市场持续下行空间有限。操作上，谨慎直接追空，建议等待反弹再布局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62469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624698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CA1C01" w:rsidRPr="00CA1C01">
        <w:rPr>
          <w:rFonts w:ascii="楷体" w:eastAsia="楷体" w:hAnsi="楷体" w:hint="eastAsia"/>
          <w:b/>
          <w:sz w:val="24"/>
          <w:szCs w:val="24"/>
        </w:rPr>
        <w:t>信息面炒作过于片面化，RU或低位震荡为主</w:t>
      </w:r>
      <w:bookmarkEnd w:id="35"/>
    </w:p>
    <w:p w:rsidR="003F56A5" w:rsidRDefault="00CA1C01">
      <w:pPr>
        <w:ind w:leftChars="300" w:left="630"/>
        <w:rPr>
          <w:rFonts w:ascii="楷体" w:eastAsia="楷体" w:hAnsi="楷体"/>
          <w:sz w:val="24"/>
          <w:szCs w:val="24"/>
        </w:rPr>
      </w:pPr>
      <w:r w:rsidRPr="00CA1C01">
        <w:rPr>
          <w:rFonts w:ascii="楷体" w:eastAsia="楷体" w:hAnsi="楷体" w:hint="eastAsia"/>
          <w:sz w:val="24"/>
          <w:szCs w:val="24"/>
        </w:rPr>
        <w:t>点评：上周橡胶小幅回调。当前制约RU价格上行的主要矛盾还是屡创新高的港口库存。随着港口货源持续到港，库存消化不及预期。橡胶其余基本面来看，供应端，近期国内外产区干旱受降雨增多有所缓解，云南地区白粉病问题炒作热度减弱，但短时全球供增量有限。泰国宋卡原料价格基本与当前胶价持平，成本端支撑尚可。橡胶下游轮胎方面，目前各轮胎企业外贸新订单量表现不一，5月份整体出货环比表现走弱，库存缓慢抬升。部分以内销为主的企业，成品库存逐步承压， 6月份存检修可能，将对整体样本开工形成一定拖拽，全钢胎企业产能利用率下调幅度或将大于半钢胎。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期仍弱。此外，RU2401-RU2309价差回落在一定程度上反应了仓单增长的预期，同</w:t>
      </w:r>
      <w:r w:rsidRPr="00CA1C01">
        <w:rPr>
          <w:rFonts w:ascii="楷体" w:eastAsia="楷体" w:hAnsi="楷体" w:hint="eastAsia"/>
          <w:sz w:val="24"/>
          <w:szCs w:val="24"/>
        </w:rPr>
        <w:lastRenderedPageBreak/>
        <w:t>时也显示了轮储可能性的下降。在目前橡胶基本面颓势下，同时面临着09合约交割前期现价差回归压力下，后期行情仍会回归供需基本面属性，低位震荡为主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624698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CA1C01" w:rsidRPr="00CA1C01">
        <w:rPr>
          <w:rFonts w:ascii="楷体" w:eastAsia="楷体" w:hAnsi="楷体" w:hint="eastAsia"/>
          <w:b/>
          <w:color w:val="000000" w:themeColor="text1"/>
          <w:sz w:val="24"/>
          <w:szCs w:val="24"/>
        </w:rPr>
        <w:t>底部支撑稳固，关注近月低多或正套机会</w:t>
      </w:r>
      <w:bookmarkEnd w:id="36"/>
      <w:r>
        <w:rPr>
          <w:rFonts w:ascii="楷体" w:eastAsia="楷体" w:hAnsi="楷体" w:hint="eastAsia"/>
          <w:b/>
          <w:color w:val="000000" w:themeColor="text1"/>
          <w:sz w:val="24"/>
          <w:szCs w:val="24"/>
        </w:rPr>
        <w:t xml:space="preserve"> </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成本端方面，本周为美国债务上限谈判的最后期限及OPEC+6月部长级会议的重要事件节点，一旦宏观风险缓解，油价大概率延续反弹。</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PTA供给方面，恒力4#5月20日开启3周左右检修，新疆中泰5.7起检修，预计7月中重启；福建百宏一套250万吨PTA装置于上周末停车检修，暂定维持20天；华东一套250万吨PTA装置计划本周停车检修，暂定维持两周左右，至5.24 PTA负荷调整至71.9%。</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需求方面，聚酯负荷继续提升，产品涉及长丝、短纤和切片。截至本5.24 初步核算国内大陆地区聚酯负荷90%附近。聚酯在效益改善的情况下，聚酯企业近期负荷稳步提升。</w:t>
      </w:r>
    </w:p>
    <w:p w:rsidR="003F56A5" w:rsidRDefault="00CA1C01" w:rsidP="00CA1C01">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展望后市，PTA近期装置计划检修增多，开工率近期回落明显。5-6月聚酯产品效益改善开工率提升，供需格局尚可维持。随着TA检修执行开工率下滑及聚酯开工的修复持续，PTA的流动性可能略收紧。原油需求仍处季节性旺季，若本周宏观风险企稳，油价大概率延续修复性反弹，且TA供需格局尚可，关注近月正套策略。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624698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6246986"/>
      <w:r>
        <w:rPr>
          <w:rFonts w:ascii="楷体" w:eastAsia="楷体" w:hAnsi="楷体" w:hint="eastAsia"/>
          <w:b/>
          <w:color w:val="000000" w:themeColor="text1"/>
          <w:sz w:val="24"/>
          <w:szCs w:val="24"/>
        </w:rPr>
        <w:t>聚烯烃：</w:t>
      </w:r>
      <w:r w:rsidR="00CA1C01" w:rsidRPr="00CA1C01">
        <w:rPr>
          <w:rFonts w:ascii="楷体" w:eastAsia="楷体" w:hAnsi="楷体" w:hint="eastAsia"/>
          <w:b/>
          <w:color w:val="000000" w:themeColor="text1"/>
          <w:sz w:val="24"/>
          <w:szCs w:val="24"/>
        </w:rPr>
        <w:t>原油利好提振有限 聚烯烃或震荡整理</w:t>
      </w:r>
      <w:bookmarkEnd w:id="38"/>
    </w:p>
    <w:p w:rsidR="003F56A5" w:rsidRDefault="00CA1C01">
      <w:pPr>
        <w:ind w:leftChars="300" w:left="630"/>
        <w:rPr>
          <w:rFonts w:ascii="楷体" w:eastAsia="楷体" w:hAnsi="楷体"/>
          <w:bCs/>
          <w:sz w:val="24"/>
          <w:szCs w:val="24"/>
        </w:rPr>
      </w:pPr>
      <w:r w:rsidRPr="00CA1C01">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似乎接近达成债务上限协议，市场在下周欧佩克及其减产同盟国政策会议之前权衡来自俄罗斯和沙特的矛盾信息，国际油价在美国驾车高峰季节即将来临之前反弹；需求方面，PE下游方面，农膜整体需求平平，工厂生产清淡。棚膜工厂多停机检修；PP下游方面，BOPP市场成交刚需有量，整体量较上一交易日增加，BOPP企业未</w:t>
      </w:r>
      <w:r w:rsidRPr="00CA1C01">
        <w:rPr>
          <w:rFonts w:ascii="楷体" w:eastAsia="楷体" w:hAnsi="楷体" w:hint="eastAsia"/>
          <w:color w:val="000000" w:themeColor="text1"/>
          <w:sz w:val="24"/>
          <w:szCs w:val="24"/>
        </w:rPr>
        <w:lastRenderedPageBreak/>
        <w:t>交付订单多数在一周以内，个别可至5月下旬。综合来看，PE方面，短期来看，虽然部分装置开车，但是供应压力尚可；下游工厂产能利用率维持低位，刚需补库为主，成交难有好转；叠加消息面提振有限，业者对后市担忧情绪仍存，预计本周国内聚乙烯市场价格或小幅调整。PP方面，成本端原油反弹。供应端检修装置陆续重启，新装置投产在即，供应压力增大。下游开工偏弱，需求依然低迷，贸易商去库缓慢，宏观面无利好提振，市场偏空心态继续发酵，预计今日市场或将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6246987"/>
      <w:r>
        <w:rPr>
          <w:rFonts w:ascii="楷体" w:eastAsia="楷体" w:hAnsi="楷体" w:hint="eastAsia"/>
          <w:b/>
          <w:color w:val="000000" w:themeColor="text1"/>
          <w:sz w:val="24"/>
          <w:szCs w:val="24"/>
        </w:rPr>
        <w:t>MEG：</w:t>
      </w:r>
      <w:r w:rsidR="00CA1C01" w:rsidRPr="00CA1C01">
        <w:rPr>
          <w:rFonts w:ascii="楷体" w:eastAsia="楷体" w:hAnsi="楷体" w:hint="eastAsia"/>
          <w:b/>
          <w:color w:val="000000" w:themeColor="text1"/>
          <w:sz w:val="24"/>
          <w:szCs w:val="24"/>
        </w:rPr>
        <w:t>估值偏低及聚酯开工高位  把握阶段性低多机会</w:t>
      </w:r>
      <w:bookmarkEnd w:id="39"/>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供需情况，5.22华东主港地区MEG港口库存约106万吨附近，环比上期累积4.6万吨，中旬之后的到货逐渐恢复。嘉兴一套100万吨的MEG装置已于上周试车，陕西一套30万吨的合成气制乙二醇装置已重启，马来西亚一套75万吨的MEG装置于20日附近重启。后期开工率有望从低点恢复，新增产能三江石化计划开车。</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进口方面来看，本周起随着美国货以及伊朗货陆续抵港，乙二醇主港到货量将逐步增加。</w:t>
      </w:r>
    </w:p>
    <w:p w:rsidR="00CA1C01" w:rsidRPr="00CA1C01" w:rsidRDefault="00CA1C01" w:rsidP="00CA1C01">
      <w:pPr>
        <w:ind w:leftChars="300" w:left="630"/>
        <w:rPr>
          <w:rFonts w:ascii="楷体" w:eastAsia="楷体" w:hAnsi="楷体" w:hint="eastAsia"/>
          <w:color w:val="000000" w:themeColor="text1"/>
          <w:sz w:val="24"/>
          <w:szCs w:val="24"/>
        </w:rPr>
      </w:pPr>
      <w:r w:rsidRPr="00CA1C01">
        <w:rPr>
          <w:rFonts w:ascii="楷体" w:eastAsia="楷体" w:hAnsi="楷体" w:hint="eastAsia"/>
          <w:color w:val="000000" w:themeColor="text1"/>
          <w:sz w:val="24"/>
          <w:szCs w:val="24"/>
        </w:rPr>
        <w:t>聚酯需求端来看，截止5.24， 初步核算国内大陆地区聚酯负荷在90%。终端方面上周江浙终端开工率维持，江浙加弹综合开工率82%(+0%)，江浙织机综合开工率73%(+0%），江浙印染综合开工率78%（+0%）。</w:t>
      </w:r>
    </w:p>
    <w:p w:rsidR="003F56A5" w:rsidRDefault="00CA1C01" w:rsidP="00CA1C01">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展望后市，前期停车装置多以短停检修为主，近期开工率已从低点恢复。但EG估值相对偏低叠加聚酯开工高位维持，短期仍能驱动集中性去库，把握阶段性EG低多机会。仅供参考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624698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CA1C01" w:rsidRPr="00CA1C01">
        <w:rPr>
          <w:rFonts w:ascii="楷体" w:eastAsia="楷体" w:hAnsi="楷体" w:hint="eastAsia"/>
          <w:b/>
          <w:color w:val="000000" w:themeColor="text1"/>
          <w:sz w:val="24"/>
          <w:szCs w:val="24"/>
        </w:rPr>
        <w:t>现货继续下跌，盘面冲高回落</w:t>
      </w:r>
      <w:bookmarkEnd w:id="40"/>
    </w:p>
    <w:p w:rsidR="00A71A7E" w:rsidRDefault="00CA1C01" w:rsidP="0079299D">
      <w:pPr>
        <w:ind w:leftChars="300" w:left="630"/>
        <w:rPr>
          <w:rFonts w:ascii="楷体" w:eastAsia="楷体" w:hAnsi="楷体"/>
          <w:color w:val="000000" w:themeColor="text1"/>
          <w:sz w:val="24"/>
          <w:szCs w:val="24"/>
        </w:rPr>
      </w:pPr>
      <w:r w:rsidRPr="00CA1C01">
        <w:rPr>
          <w:rFonts w:ascii="楷体" w:eastAsia="楷体" w:hAnsi="楷体" w:hint="eastAsia"/>
          <w:color w:val="000000" w:themeColor="text1"/>
          <w:sz w:val="24"/>
          <w:szCs w:val="24"/>
        </w:rPr>
        <w:t>今日浮法玻璃华北和华中分别下调-10，-40元/吨，临近月底产销一般。下游加工厂按需采购。库存上原片厂，贸易商均有累库。盘面冲高回落，需求疲软下上冲动力不足，叠加后续市场仍有现货价格下调预期，预计短期市场震荡偏弱</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624698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CA1C01" w:rsidRPr="00CA1C01">
        <w:rPr>
          <w:rFonts w:ascii="楷体" w:eastAsia="楷体" w:hAnsi="楷体" w:hint="eastAsia"/>
          <w:b/>
          <w:color w:val="000000" w:themeColor="text1"/>
          <w:sz w:val="24"/>
          <w:szCs w:val="24"/>
        </w:rPr>
        <w:t>多空双平，尾部情绪逐渐释放</w:t>
      </w:r>
      <w:bookmarkEnd w:id="41"/>
    </w:p>
    <w:p w:rsidR="00A71A7E" w:rsidRDefault="00CA1C01" w:rsidP="00A71A7E">
      <w:pPr>
        <w:ind w:leftChars="300" w:left="630"/>
        <w:rPr>
          <w:rFonts w:ascii="楷体" w:eastAsia="楷体" w:hAnsi="楷体"/>
          <w:bCs/>
          <w:sz w:val="24"/>
          <w:szCs w:val="24"/>
        </w:rPr>
      </w:pPr>
      <w:r w:rsidRPr="00CA1C01">
        <w:rPr>
          <w:rFonts w:ascii="楷体" w:eastAsia="楷体" w:hAnsi="楷体" w:hint="eastAsia"/>
          <w:color w:val="000000" w:themeColor="text1"/>
          <w:sz w:val="24"/>
          <w:szCs w:val="24"/>
        </w:rPr>
        <w:t>临近月末，市场扰动增多，一是主力合约估值偏低处于成本以下，且基差较大，碱厂有稳价意向；二是随着夏季临近和价格快速下滑，检修动力增多，供给预减；三是需求上下游浮法和光伏玻璃点火预期增多，需求向好，供减需增且低估值情况下，短期纯碱有反弹驱动力；但长期来看，大扩产背景下叠加当前成本不断下移，反弹幅度或将有限</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62469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624699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CA1C01" w:rsidRPr="00CA1C01">
        <w:rPr>
          <w:rFonts w:ascii="楷体" w:eastAsia="楷体" w:hAnsi="楷体" w:hint="eastAsia"/>
          <w:b/>
          <w:sz w:val="24"/>
          <w:szCs w:val="24"/>
        </w:rPr>
        <w:t>现货基差预计承压</w:t>
      </w:r>
      <w:bookmarkEnd w:id="43"/>
    </w:p>
    <w:p w:rsidR="003F56A5" w:rsidRDefault="00CA1C01">
      <w:pPr>
        <w:ind w:leftChars="300" w:left="630"/>
        <w:rPr>
          <w:rFonts w:ascii="楷体" w:eastAsia="楷体" w:hAnsi="楷体"/>
          <w:sz w:val="24"/>
          <w:szCs w:val="24"/>
        </w:rPr>
      </w:pPr>
      <w:r w:rsidRPr="00CA1C01">
        <w:rPr>
          <w:rFonts w:ascii="楷体" w:eastAsia="楷体" w:hAnsi="楷体" w:hint="eastAsia"/>
          <w:sz w:val="24"/>
          <w:szCs w:val="24"/>
        </w:rPr>
        <w:t>国际方面，在当前新作种植进度较快、出口需求疲软及23/24年度新作供应预计宽松下，美豆在1300美分附近震荡。截至5月21日当周，美国大豆种植率为66%，去年同期为47%，五年均值为52%。巴西当前收割进入尾声，巴西大豆升贴水反弹企稳在70美分附近，后续卖压或减弱，当前销售</w:t>
      </w:r>
      <w:r w:rsidRPr="00CA1C01">
        <w:rPr>
          <w:rFonts w:ascii="楷体" w:eastAsia="楷体" w:hAnsi="楷体" w:hint="eastAsia"/>
          <w:sz w:val="24"/>
          <w:szCs w:val="24"/>
        </w:rPr>
        <w:lastRenderedPageBreak/>
        <w:t>进度过半，持续关注出口节奏。国内市场，因5月初国内入关检验问题，大豆到厂时间延长，油厂开机不及预期，当前大豆到港量增加，部分油厂已逐步恢复开机压榨，豆粕现货下调至3820-3950元/吨。大豆4-6月整体供给较宽松，阶段性供应压力仍待释放，关注大豆到厂进度及后续油厂开工情况。下游养殖利润表现仍不佳，且在杂粕替代下饲企和养殖企业等对豆粕饲用需求增量有限，当前价格缺乏性价比抑制需求，现货基差价格面临着下行压力。菜粕当前供给相对偏紧，虽油厂开机及压榨维持较高水平，但菜籽二季度后供给预计减少。而需求方面在近期天气逐步回暖后，华南水产需求启动，同时在价差性价比方面仍在对豆粕进行替代，但随着豆粕价格回落，菜粕也跟随承压。策略方面，虽进口大豆增加是现实，但当前高基差仍对盘面构成支撑，建议豆粕暂看3400支撑，菜粕区间上沿宽幅震荡，暂看2900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6246992"/>
      <w:r>
        <w:rPr>
          <w:rFonts w:ascii="楷体" w:eastAsia="楷体" w:hAnsi="楷体" w:hint="eastAsia"/>
          <w:b/>
          <w:color w:val="000000" w:themeColor="text1"/>
          <w:sz w:val="24"/>
          <w:szCs w:val="24"/>
        </w:rPr>
        <w:t>油脂：</w:t>
      </w:r>
      <w:r w:rsidR="00B066DA" w:rsidRPr="00B066DA">
        <w:rPr>
          <w:rFonts w:ascii="楷体" w:eastAsia="楷体" w:hAnsi="楷体" w:hint="eastAsia"/>
          <w:b/>
          <w:sz w:val="24"/>
          <w:szCs w:val="24"/>
        </w:rPr>
        <w:t>止跌反弹，但偏弱趋势未变</w:t>
      </w:r>
      <w:bookmarkEnd w:id="44"/>
    </w:p>
    <w:p w:rsidR="003F56A5" w:rsidRDefault="00B066DA" w:rsidP="00792D31">
      <w:pPr>
        <w:ind w:leftChars="300" w:left="630"/>
        <w:rPr>
          <w:rFonts w:ascii="楷体" w:eastAsia="楷体" w:hAnsi="楷体"/>
          <w:sz w:val="24"/>
          <w:szCs w:val="24"/>
        </w:rPr>
      </w:pPr>
      <w:r w:rsidRPr="00B066DA">
        <w:rPr>
          <w:rFonts w:ascii="楷体" w:eastAsia="楷体" w:hAnsi="楷体" w:hint="eastAsia"/>
          <w:sz w:val="24"/>
          <w:szCs w:val="24"/>
        </w:rPr>
        <w:t>在市场情绪缓和，空头平仓离场，叠加MPOB预计2024年棕榈油在厄尔尼诺天气下存减产风险，短期支撑油脂止跌反弹。棕榈油，马棕5月在节日影响减弱下，产量将季节性回升，出口因棕榈油价格在国际市场性价比较低而受抑，同时5月印尼出口放开后抑制马来棕榈油出口，也限制了棕榈油上方空间。而印尼于5月1日起将把散油出口比率从1:6收紧至1:4，且将在5月23日正式放开出口。国内棕榈油在需求增加及进口下滑下，去库速度逐步加快，在进口利润持续倒挂下，二季度进口预计偏低，当前并没有新增买船。随着天气逐渐回暖，华南以外其他地区棕榈油餐饮及调和油需求预计逐步增加，关注去库情况。豆油压力仍存，主要在于供应端的增加。虽短期在大豆入关问题下，油厂开机不及预期，豆油供给修复缓慢。但随着后续进口大豆集中供应，豆油供应仍存边际修复预期。需求，近期因豆棕价差收窄，豆油成交好转，但在后续供应增加下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整体走势仍偏空，建议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6246993"/>
      <w:r>
        <w:rPr>
          <w:rFonts w:ascii="楷体" w:eastAsia="楷体" w:hAnsi="楷体" w:hint="eastAsia"/>
          <w:b/>
          <w:bCs/>
          <w:color w:val="000000" w:themeColor="text1"/>
        </w:rPr>
        <w:t>玉米与淀粉：</w:t>
      </w:r>
      <w:r w:rsidR="00CA1C01" w:rsidRPr="00CA1C01">
        <w:rPr>
          <w:rFonts w:ascii="楷体" w:eastAsia="楷体" w:hAnsi="楷体" w:hint="eastAsia"/>
          <w:b/>
        </w:rPr>
        <w:t>周五夜盘期价继续反弹</w:t>
      </w:r>
      <w:bookmarkEnd w:id="45"/>
    </w:p>
    <w:p w:rsidR="00CA1C01" w:rsidRPr="00CA1C01" w:rsidRDefault="00CA1C01" w:rsidP="00CA1C01">
      <w:pPr>
        <w:pStyle w:val="paragraph"/>
        <w:spacing w:before="60" w:after="60"/>
        <w:ind w:leftChars="300" w:left="630"/>
        <w:rPr>
          <w:rFonts w:ascii="楷体" w:eastAsia="楷体" w:hAnsi="楷体" w:hint="eastAsia"/>
        </w:rPr>
      </w:pPr>
      <w:r w:rsidRPr="00CA1C01">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维持谨慎看多观点，接下来继续特别留意新作小麦上市压力。</w:t>
      </w:r>
    </w:p>
    <w:p w:rsidR="003F56A5" w:rsidRDefault="00CA1C01" w:rsidP="00CA1C01">
      <w:pPr>
        <w:pStyle w:val="paragraph"/>
        <w:spacing w:before="60" w:beforeAutospacing="0" w:after="60" w:afterAutospacing="0"/>
        <w:ind w:leftChars="300" w:left="630"/>
        <w:rPr>
          <w:rFonts w:ascii="楷体" w:eastAsia="楷体" w:hAnsi="楷体"/>
        </w:rPr>
      </w:pPr>
      <w:r w:rsidRPr="00CA1C01">
        <w:rPr>
          <w:rFonts w:ascii="楷体" w:eastAsia="楷体" w:hAnsi="楷体" w:hint="eastAsia"/>
        </w:rPr>
        <w:lastRenderedPageBreak/>
        <w:t>对于淀粉而言，5月期间淀粉-玉米价差总体先抑后扬，但波幅受限，主要原因有三，即淀粉基差支撑、行业供需改善和副产品继续下跌预期。淀粉需求端存在潜在利多，一方面源于玉米淀粉对木薯淀粉和淀粉糖对白糖的替代，另一方面源于季节性消费旺季。考虑到基差、供需和副产品三个方面的因素，我们倾向于淀粉-玉米价差有望继续走扩。在这种情况下，我们建议持有前期价差走扩套利，激进投资者可以考虑单边做多淀粉</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6246994"/>
      <w:r>
        <w:rPr>
          <w:rFonts w:ascii="楷体" w:eastAsia="楷体" w:hAnsi="楷体" w:hint="eastAsia"/>
          <w:b/>
          <w:bCs/>
          <w:color w:val="000000" w:themeColor="text1"/>
        </w:rPr>
        <w:t>畜禽养殖：</w:t>
      </w:r>
      <w:r w:rsidR="00CA1C01" w:rsidRPr="00CA1C01">
        <w:rPr>
          <w:rFonts w:ascii="楷体" w:eastAsia="楷体" w:hAnsi="楷体" w:hint="eastAsia"/>
          <w:b/>
          <w:bCs/>
          <w:color w:val="000000" w:themeColor="text1"/>
        </w:rPr>
        <w:t>期价下方空间或有限</w:t>
      </w:r>
      <w:bookmarkEnd w:id="46"/>
    </w:p>
    <w:p w:rsidR="00CA1C01" w:rsidRPr="00CA1C01" w:rsidRDefault="00CA1C01" w:rsidP="00CA1C01">
      <w:pPr>
        <w:pStyle w:val="paragraph"/>
        <w:spacing w:before="60" w:after="60"/>
        <w:ind w:leftChars="300" w:left="630"/>
        <w:rPr>
          <w:rFonts w:ascii="楷体" w:eastAsia="楷体" w:hAnsi="楷体" w:hint="eastAsia"/>
        </w:rPr>
      </w:pPr>
      <w:r w:rsidRPr="00CA1C01">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建议择机入场。</w:t>
      </w:r>
    </w:p>
    <w:p w:rsidR="003F56A5" w:rsidRDefault="00CA1C01" w:rsidP="00CA1C01">
      <w:pPr>
        <w:pStyle w:val="paragraph"/>
        <w:spacing w:before="60" w:beforeAutospacing="0" w:after="60" w:afterAutospacing="0"/>
        <w:ind w:leftChars="300" w:left="630"/>
        <w:rPr>
          <w:rFonts w:ascii="楷体" w:eastAsia="楷体" w:hAnsi="楷体"/>
        </w:rPr>
      </w:pPr>
      <w:r w:rsidRPr="00CA1C01">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5-9价差处于历史同期高位，而1-9价差则处于历史同期低位。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观点由前期的中性转为谨慎看多，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6246995"/>
      <w:r>
        <w:rPr>
          <w:rFonts w:ascii="楷体" w:eastAsia="楷体" w:hAnsi="楷体" w:hint="eastAsia"/>
          <w:b/>
          <w:sz w:val="24"/>
          <w:szCs w:val="24"/>
        </w:rPr>
        <w:t>郑棉：</w:t>
      </w:r>
      <w:r w:rsidR="00CA1C01" w:rsidRPr="00CA1C01">
        <w:rPr>
          <w:rFonts w:ascii="楷体" w:eastAsia="楷体" w:hAnsi="楷体" w:hint="eastAsia"/>
          <w:b/>
          <w:sz w:val="24"/>
          <w:szCs w:val="24"/>
        </w:rPr>
        <w:t>预计09合约震荡整理，观望或空9多1</w:t>
      </w:r>
      <w:bookmarkEnd w:id="47"/>
    </w:p>
    <w:p w:rsidR="003F56A5" w:rsidRDefault="00CA1C01" w:rsidP="007B3290">
      <w:pPr>
        <w:ind w:leftChars="300" w:left="630"/>
        <w:rPr>
          <w:rFonts w:ascii="楷体" w:eastAsia="楷体" w:hAnsi="楷体"/>
          <w:sz w:val="24"/>
          <w:szCs w:val="24"/>
        </w:rPr>
      </w:pPr>
      <w:r w:rsidRPr="00CA1C01">
        <w:rPr>
          <w:rFonts w:ascii="楷体" w:eastAsia="楷体" w:hAnsi="楷体" w:hint="eastAsia"/>
          <w:sz w:val="24"/>
          <w:szCs w:val="24"/>
        </w:rPr>
        <w:t>由于经济增速连续数年保持低迷态势，继银行风险事件爆发之后，美债再度出现问题。尽管上限问题多数能得到解决，但在消费预期衰退，货币紧缩大环境下，美国经济各环节已经表现出一定脆弱性。欧洲方面的表现同样不容乐观。种植天气好转，助推影响力减弱，而下游即将进入淡季。郑棉结束和商品大盘背离走势，大幅回调。预计郑棉高位宽幅震荡，短期内继续回踩20日均线支撑，空9多1或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2D" w:rsidRDefault="004A382D">
      <w:r>
        <w:separator/>
      </w:r>
    </w:p>
  </w:endnote>
  <w:endnote w:type="continuationSeparator" w:id="0">
    <w:p w:rsidR="004A382D" w:rsidRDefault="004A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C4172D1" wp14:editId="15DE6D9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A1C01">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A1C01">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2D" w:rsidRDefault="004A382D">
      <w:r>
        <w:separator/>
      </w:r>
    </w:p>
  </w:footnote>
  <w:footnote w:type="continuationSeparator" w:id="0">
    <w:p w:rsidR="004A382D" w:rsidRDefault="004A38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12C351F2" wp14:editId="6A2B5AA6">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11F9732" wp14:editId="03F8225F">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CA1C01">
      <w:rPr>
        <w:rFonts w:ascii="Times New Roman" w:eastAsia="楷体" w:hAnsi="Times New Roman" w:hint="eastAsia"/>
        <w:b/>
        <w:bCs/>
        <w:noProof/>
        <w:color w:val="833C0B"/>
        <w:sz w:val="21"/>
      </w:rPr>
      <w:t>2023</w:t>
    </w:r>
    <w:r w:rsidR="00CA1C01">
      <w:rPr>
        <w:rFonts w:ascii="Times New Roman" w:eastAsia="楷体" w:hAnsi="Times New Roman" w:hint="eastAsia"/>
        <w:b/>
        <w:bCs/>
        <w:noProof/>
        <w:color w:val="833C0B"/>
        <w:sz w:val="21"/>
      </w:rPr>
      <w:t>年</w:t>
    </w:r>
    <w:r w:rsidR="00CA1C01">
      <w:rPr>
        <w:rFonts w:ascii="Times New Roman" w:eastAsia="楷体" w:hAnsi="Times New Roman" w:hint="eastAsia"/>
        <w:b/>
        <w:bCs/>
        <w:noProof/>
        <w:color w:val="833C0B"/>
        <w:sz w:val="21"/>
      </w:rPr>
      <w:t>5</w:t>
    </w:r>
    <w:r w:rsidR="00CA1C01">
      <w:rPr>
        <w:rFonts w:ascii="Times New Roman" w:eastAsia="楷体" w:hAnsi="Times New Roman" w:hint="eastAsia"/>
        <w:b/>
        <w:bCs/>
        <w:noProof/>
        <w:color w:val="833C0B"/>
        <w:sz w:val="21"/>
      </w:rPr>
      <w:t>月</w:t>
    </w:r>
    <w:r w:rsidR="00CA1C01">
      <w:rPr>
        <w:rFonts w:ascii="Times New Roman" w:eastAsia="楷体" w:hAnsi="Times New Roman" w:hint="eastAsia"/>
        <w:b/>
        <w:bCs/>
        <w:noProof/>
        <w:color w:val="833C0B"/>
        <w:sz w:val="21"/>
      </w:rPr>
      <w:t>29</w:t>
    </w:r>
    <w:r w:rsidR="00CA1C01">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67FFD"/>
    <w:rsid w:val="00282262"/>
    <w:rsid w:val="00285297"/>
    <w:rsid w:val="00291461"/>
    <w:rsid w:val="002951EB"/>
    <w:rsid w:val="002A0670"/>
    <w:rsid w:val="002A6C89"/>
    <w:rsid w:val="002B2257"/>
    <w:rsid w:val="002B32A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82D"/>
    <w:rsid w:val="004A3F85"/>
    <w:rsid w:val="004A65B5"/>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23A1C"/>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7FDAE-AD5D-411B-9FBC-A4EC579F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9</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122</cp:revision>
  <cp:lastPrinted>2023-04-20T02:18:00Z</cp:lastPrinted>
  <dcterms:created xsi:type="dcterms:W3CDTF">2022-11-15T10:06:00Z</dcterms:created>
  <dcterms:modified xsi:type="dcterms:W3CDTF">2023-05-29T02:02:00Z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