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606E2B"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0" w:name="_GoBack"/>
          <w:bookmarkEnd w:id="0"/>
          <w:r w:rsidR="00606E2B" w:rsidRPr="00B418EE">
            <w:rPr>
              <w:rStyle w:val="a7"/>
              <w:noProof/>
            </w:rPr>
            <w:fldChar w:fldCharType="begin"/>
          </w:r>
          <w:r w:rsidR="00606E2B" w:rsidRPr="00B418EE">
            <w:rPr>
              <w:rStyle w:val="a7"/>
              <w:noProof/>
            </w:rPr>
            <w:instrText xml:space="preserve"> </w:instrText>
          </w:r>
          <w:r w:rsidR="00606E2B">
            <w:rPr>
              <w:noProof/>
            </w:rPr>
            <w:instrText>HYPERLINK \l "_Toc135731686"</w:instrText>
          </w:r>
          <w:r w:rsidR="00606E2B" w:rsidRPr="00B418EE">
            <w:rPr>
              <w:rStyle w:val="a7"/>
              <w:noProof/>
            </w:rPr>
            <w:instrText xml:space="preserve"> </w:instrText>
          </w:r>
          <w:r w:rsidR="00606E2B" w:rsidRPr="00B418EE">
            <w:rPr>
              <w:rStyle w:val="a7"/>
              <w:noProof/>
            </w:rPr>
          </w:r>
          <w:r w:rsidR="00606E2B" w:rsidRPr="00B418EE">
            <w:rPr>
              <w:rStyle w:val="a7"/>
              <w:noProof/>
            </w:rPr>
            <w:fldChar w:fldCharType="separate"/>
          </w:r>
          <w:r w:rsidR="00606E2B" w:rsidRPr="00B418EE">
            <w:rPr>
              <w:rStyle w:val="a7"/>
              <w:rFonts w:ascii="Times New Roman" w:eastAsia="楷体" w:hAnsi="Times New Roman"/>
              <w:b/>
              <w:noProof/>
            </w:rPr>
            <w:t>[</w:t>
          </w:r>
          <w:r w:rsidR="00606E2B" w:rsidRPr="00B418EE">
            <w:rPr>
              <w:rStyle w:val="a7"/>
              <w:rFonts w:ascii="Times New Roman" w:eastAsia="楷体" w:hAnsi="Times New Roman"/>
              <w:b/>
              <w:noProof/>
            </w:rPr>
            <w:t>金融</w:t>
          </w:r>
          <w:r w:rsidR="00606E2B" w:rsidRPr="00B418EE">
            <w:rPr>
              <w:rStyle w:val="a7"/>
              <w:rFonts w:ascii="Times New Roman" w:eastAsia="楷体" w:hAnsi="Times New Roman"/>
              <w:b/>
              <w:noProof/>
            </w:rPr>
            <w:t>]</w:t>
          </w:r>
          <w:r w:rsidR="00606E2B" w:rsidRPr="00B418EE">
            <w:rPr>
              <w:rStyle w:val="a7"/>
              <w:noProof/>
            </w:rPr>
            <w:fldChar w:fldCharType="end"/>
          </w:r>
        </w:p>
        <w:p w:rsidR="00606E2B" w:rsidRDefault="00606E2B">
          <w:pPr>
            <w:pStyle w:val="2"/>
            <w:tabs>
              <w:tab w:val="right" w:leader="dot" w:pos="8296"/>
            </w:tabs>
            <w:rPr>
              <w:rFonts w:eastAsiaTheme="minorEastAsia"/>
              <w:noProof/>
              <w:szCs w:val="22"/>
            </w:rPr>
          </w:pPr>
          <w:hyperlink w:anchor="_Toc135731687" w:history="1">
            <w:r w:rsidRPr="00B418EE">
              <w:rPr>
                <w:rStyle w:val="a7"/>
                <w:rFonts w:ascii="Times New Roman" w:eastAsia="楷体" w:hAnsi="Times New Roman"/>
                <w:b/>
                <w:noProof/>
              </w:rPr>
              <w:t>股指：关注</w:t>
            </w:r>
            <w:r w:rsidRPr="00B418EE">
              <w:rPr>
                <w:rStyle w:val="a7"/>
                <w:rFonts w:ascii="Times New Roman" w:eastAsia="楷体" w:hAnsi="Times New Roman"/>
                <w:b/>
                <w:noProof/>
              </w:rPr>
              <w:t>IM</w:t>
            </w:r>
            <w:r w:rsidRPr="00B418EE">
              <w:rPr>
                <w:rStyle w:val="a7"/>
                <w:rFonts w:ascii="Times New Roman" w:eastAsia="楷体" w:hAnsi="Times New Roman"/>
                <w:b/>
                <w:noProof/>
              </w:rPr>
              <w:t>低多机会</w:t>
            </w:r>
          </w:hyperlink>
        </w:p>
        <w:p w:rsidR="00606E2B" w:rsidRDefault="00606E2B">
          <w:pPr>
            <w:pStyle w:val="11"/>
            <w:tabs>
              <w:tab w:val="right" w:leader="dot" w:pos="8296"/>
            </w:tabs>
            <w:rPr>
              <w:rFonts w:eastAsiaTheme="minorEastAsia"/>
              <w:noProof/>
              <w:szCs w:val="22"/>
            </w:rPr>
          </w:pPr>
          <w:hyperlink w:anchor="_Toc135731688" w:history="1">
            <w:r w:rsidRPr="00B418EE">
              <w:rPr>
                <w:rStyle w:val="a7"/>
                <w:rFonts w:ascii="Times New Roman" w:eastAsia="楷体" w:hAnsi="Times New Roman"/>
                <w:b/>
                <w:noProof/>
              </w:rPr>
              <w:t>[</w:t>
            </w:r>
            <w:r w:rsidRPr="00B418EE">
              <w:rPr>
                <w:rStyle w:val="a7"/>
                <w:rFonts w:ascii="Times New Roman" w:eastAsia="楷体" w:hAnsi="Times New Roman"/>
                <w:b/>
                <w:noProof/>
              </w:rPr>
              <w:t>贵金属</w:t>
            </w:r>
            <w:r w:rsidRPr="00B418EE">
              <w:rPr>
                <w:rStyle w:val="a7"/>
                <w:rFonts w:ascii="Times New Roman" w:eastAsia="楷体" w:hAnsi="Times New Roman"/>
                <w:b/>
                <w:noProof/>
              </w:rPr>
              <w:t>]</w:t>
            </w:r>
          </w:hyperlink>
        </w:p>
        <w:p w:rsidR="00606E2B" w:rsidRDefault="00606E2B">
          <w:pPr>
            <w:pStyle w:val="2"/>
            <w:tabs>
              <w:tab w:val="right" w:leader="dot" w:pos="8296"/>
            </w:tabs>
            <w:rPr>
              <w:rFonts w:eastAsiaTheme="minorEastAsia"/>
              <w:noProof/>
              <w:szCs w:val="22"/>
            </w:rPr>
          </w:pPr>
          <w:hyperlink w:anchor="_Toc135731689" w:history="1">
            <w:r w:rsidRPr="00B418EE">
              <w:rPr>
                <w:rStyle w:val="a7"/>
                <w:rFonts w:ascii="Times New Roman" w:eastAsia="楷体" w:hAnsi="Times New Roman"/>
                <w:b/>
                <w:noProof/>
              </w:rPr>
              <w:t>贵金属：关注美国债务上限谈判进展，贵金属价格窄幅震荡</w:t>
            </w:r>
          </w:hyperlink>
        </w:p>
        <w:p w:rsidR="00606E2B" w:rsidRDefault="00606E2B">
          <w:pPr>
            <w:pStyle w:val="11"/>
            <w:tabs>
              <w:tab w:val="right" w:leader="dot" w:pos="8296"/>
            </w:tabs>
            <w:rPr>
              <w:rFonts w:eastAsiaTheme="minorEastAsia"/>
              <w:noProof/>
              <w:szCs w:val="22"/>
            </w:rPr>
          </w:pPr>
          <w:hyperlink w:anchor="_Toc135731690" w:history="1">
            <w:r w:rsidRPr="00B418EE">
              <w:rPr>
                <w:rStyle w:val="a7"/>
                <w:rFonts w:ascii="Times New Roman" w:eastAsia="楷体" w:hAnsi="Times New Roman"/>
                <w:b/>
                <w:noProof/>
              </w:rPr>
              <w:t>[</w:t>
            </w:r>
            <w:r w:rsidRPr="00B418EE">
              <w:rPr>
                <w:rStyle w:val="a7"/>
                <w:rFonts w:ascii="Times New Roman" w:eastAsia="楷体" w:hAnsi="Times New Roman"/>
                <w:b/>
                <w:noProof/>
              </w:rPr>
              <w:t>金属</w:t>
            </w:r>
            <w:r w:rsidRPr="00B418EE">
              <w:rPr>
                <w:rStyle w:val="a7"/>
                <w:rFonts w:ascii="Times New Roman" w:eastAsia="楷体" w:hAnsi="Times New Roman"/>
                <w:b/>
                <w:noProof/>
              </w:rPr>
              <w:t>]</w:t>
            </w:r>
          </w:hyperlink>
        </w:p>
        <w:p w:rsidR="00606E2B" w:rsidRDefault="00606E2B">
          <w:pPr>
            <w:pStyle w:val="2"/>
            <w:tabs>
              <w:tab w:val="right" w:leader="dot" w:pos="8296"/>
            </w:tabs>
            <w:rPr>
              <w:rFonts w:eastAsiaTheme="minorEastAsia"/>
              <w:noProof/>
              <w:szCs w:val="22"/>
            </w:rPr>
          </w:pPr>
          <w:hyperlink w:anchor="_Toc135731691" w:history="1">
            <w:r w:rsidRPr="00B418EE">
              <w:rPr>
                <w:rStyle w:val="a7"/>
                <w:rFonts w:ascii="楷体" w:eastAsia="楷体" w:hAnsi="楷体"/>
                <w:b/>
                <w:noProof/>
              </w:rPr>
              <w:t>螺纹钢：现货情绪较差，负反馈情绪升温</w:t>
            </w:r>
          </w:hyperlink>
        </w:p>
        <w:p w:rsidR="00606E2B" w:rsidRDefault="00606E2B">
          <w:pPr>
            <w:pStyle w:val="2"/>
            <w:tabs>
              <w:tab w:val="right" w:leader="dot" w:pos="8296"/>
            </w:tabs>
            <w:rPr>
              <w:rFonts w:eastAsiaTheme="minorEastAsia"/>
              <w:noProof/>
              <w:szCs w:val="22"/>
            </w:rPr>
          </w:pPr>
          <w:hyperlink w:anchor="_Toc135731692" w:history="1">
            <w:r w:rsidRPr="00B418EE">
              <w:rPr>
                <w:rStyle w:val="a7"/>
                <w:rFonts w:ascii="楷体" w:eastAsia="楷体" w:hAnsi="楷体"/>
                <w:b/>
                <w:noProof/>
              </w:rPr>
              <w:t>焦炭：现货及情绪走弱，震荡下行，关注前底支撑</w:t>
            </w:r>
          </w:hyperlink>
        </w:p>
        <w:p w:rsidR="00606E2B" w:rsidRDefault="00606E2B">
          <w:pPr>
            <w:pStyle w:val="2"/>
            <w:tabs>
              <w:tab w:val="right" w:leader="dot" w:pos="8296"/>
            </w:tabs>
            <w:rPr>
              <w:rFonts w:eastAsiaTheme="minorEastAsia"/>
              <w:noProof/>
              <w:szCs w:val="22"/>
            </w:rPr>
          </w:pPr>
          <w:hyperlink w:anchor="_Toc135731693" w:history="1">
            <w:r w:rsidRPr="00B418EE">
              <w:rPr>
                <w:rStyle w:val="a7"/>
                <w:rFonts w:ascii="楷体" w:eastAsia="楷体" w:hAnsi="楷体"/>
                <w:b/>
                <w:noProof/>
              </w:rPr>
              <w:t>焦煤：基本面有所好转，但动力煤存在下行风险</w:t>
            </w:r>
          </w:hyperlink>
        </w:p>
        <w:p w:rsidR="00606E2B" w:rsidRDefault="00606E2B">
          <w:pPr>
            <w:pStyle w:val="2"/>
            <w:tabs>
              <w:tab w:val="right" w:leader="dot" w:pos="8296"/>
            </w:tabs>
            <w:rPr>
              <w:rFonts w:eastAsiaTheme="minorEastAsia"/>
              <w:noProof/>
              <w:szCs w:val="22"/>
            </w:rPr>
          </w:pPr>
          <w:hyperlink w:anchor="_Toc135731694" w:history="1">
            <w:r w:rsidRPr="00B418EE">
              <w:rPr>
                <w:rStyle w:val="a7"/>
                <w:rFonts w:ascii="楷体" w:eastAsia="楷体" w:hAnsi="楷体"/>
                <w:b/>
                <w:noProof/>
              </w:rPr>
              <w:t>铜：铜价下跌释放部分消费需求，宏观压力制约反弹空间</w:t>
            </w:r>
          </w:hyperlink>
        </w:p>
        <w:p w:rsidR="00606E2B" w:rsidRDefault="00606E2B">
          <w:pPr>
            <w:pStyle w:val="2"/>
            <w:tabs>
              <w:tab w:val="right" w:leader="dot" w:pos="8296"/>
            </w:tabs>
            <w:rPr>
              <w:rFonts w:eastAsiaTheme="minorEastAsia"/>
              <w:noProof/>
              <w:szCs w:val="22"/>
            </w:rPr>
          </w:pPr>
          <w:hyperlink w:anchor="_Toc135731695" w:history="1">
            <w:r w:rsidRPr="00B418EE">
              <w:rPr>
                <w:rStyle w:val="a7"/>
                <w:rFonts w:ascii="楷体" w:eastAsia="楷体" w:hAnsi="楷体"/>
                <w:b/>
                <w:noProof/>
              </w:rPr>
              <w:t>铝：铝价下探万八支撑，价格仍有下行压力</w:t>
            </w:r>
          </w:hyperlink>
        </w:p>
        <w:p w:rsidR="00606E2B" w:rsidRDefault="00606E2B">
          <w:pPr>
            <w:pStyle w:val="2"/>
            <w:tabs>
              <w:tab w:val="right" w:leader="dot" w:pos="8296"/>
            </w:tabs>
            <w:rPr>
              <w:rFonts w:eastAsiaTheme="minorEastAsia"/>
              <w:noProof/>
              <w:szCs w:val="22"/>
            </w:rPr>
          </w:pPr>
          <w:hyperlink w:anchor="_Toc135731696" w:history="1">
            <w:r w:rsidRPr="00B418EE">
              <w:rPr>
                <w:rStyle w:val="a7"/>
                <w:rFonts w:ascii="楷体" w:eastAsia="楷体" w:hAnsi="楷体"/>
                <w:b/>
                <w:noProof/>
              </w:rPr>
              <w:t>锌：供强需弱基本面维持，价格偏弱运行</w:t>
            </w:r>
          </w:hyperlink>
        </w:p>
        <w:p w:rsidR="00606E2B" w:rsidRDefault="00606E2B">
          <w:pPr>
            <w:pStyle w:val="2"/>
            <w:tabs>
              <w:tab w:val="right" w:leader="dot" w:pos="8296"/>
            </w:tabs>
            <w:rPr>
              <w:rFonts w:eastAsiaTheme="minorEastAsia"/>
              <w:noProof/>
              <w:szCs w:val="22"/>
            </w:rPr>
          </w:pPr>
          <w:hyperlink w:anchor="_Toc135731697" w:history="1">
            <w:r w:rsidRPr="00B418EE">
              <w:rPr>
                <w:rStyle w:val="a7"/>
                <w:rFonts w:ascii="楷体" w:eastAsia="楷体" w:hAnsi="楷体"/>
                <w:b/>
                <w:noProof/>
              </w:rPr>
              <w:t>镍：宏观偏空助推价格大跌，低库存或仍提供支撑</w:t>
            </w:r>
          </w:hyperlink>
        </w:p>
        <w:p w:rsidR="00606E2B" w:rsidRDefault="00606E2B">
          <w:pPr>
            <w:pStyle w:val="2"/>
            <w:tabs>
              <w:tab w:val="right" w:leader="dot" w:pos="8296"/>
            </w:tabs>
            <w:rPr>
              <w:rFonts w:eastAsiaTheme="minorEastAsia"/>
              <w:noProof/>
              <w:szCs w:val="22"/>
            </w:rPr>
          </w:pPr>
          <w:hyperlink w:anchor="_Toc135731698" w:history="1">
            <w:r w:rsidRPr="00B418EE">
              <w:rPr>
                <w:rStyle w:val="a7"/>
                <w:rFonts w:ascii="楷体" w:eastAsia="楷体" w:hAnsi="楷体"/>
                <w:b/>
                <w:noProof/>
              </w:rPr>
              <w:t>铅：铅价维持震荡，走势偏弱看待</w:t>
            </w:r>
          </w:hyperlink>
        </w:p>
        <w:p w:rsidR="00606E2B" w:rsidRDefault="00606E2B">
          <w:pPr>
            <w:pStyle w:val="2"/>
            <w:tabs>
              <w:tab w:val="right" w:leader="dot" w:pos="8296"/>
            </w:tabs>
            <w:rPr>
              <w:rFonts w:eastAsiaTheme="minorEastAsia"/>
              <w:noProof/>
              <w:szCs w:val="22"/>
            </w:rPr>
          </w:pPr>
          <w:hyperlink w:anchor="_Toc135731699" w:history="1">
            <w:r w:rsidRPr="00B418EE">
              <w:rPr>
                <w:rStyle w:val="a7"/>
                <w:rFonts w:ascii="楷体" w:eastAsia="楷体" w:hAnsi="楷体"/>
                <w:b/>
                <w:noProof/>
              </w:rPr>
              <w:t>不锈钢：维持弱势震荡</w:t>
            </w:r>
          </w:hyperlink>
        </w:p>
        <w:p w:rsidR="00606E2B" w:rsidRDefault="00606E2B">
          <w:pPr>
            <w:pStyle w:val="2"/>
            <w:tabs>
              <w:tab w:val="right" w:leader="dot" w:pos="8296"/>
            </w:tabs>
            <w:rPr>
              <w:rFonts w:eastAsiaTheme="minorEastAsia"/>
              <w:noProof/>
              <w:szCs w:val="22"/>
            </w:rPr>
          </w:pPr>
          <w:hyperlink w:anchor="_Toc135731700" w:history="1">
            <w:r w:rsidRPr="00B418EE">
              <w:rPr>
                <w:rStyle w:val="a7"/>
                <w:rFonts w:ascii="楷体" w:eastAsia="楷体" w:hAnsi="楷体"/>
                <w:b/>
                <w:noProof/>
              </w:rPr>
              <w:t>工业硅：海外需求萎缩明显，市场或仍将偏弱运行</w:t>
            </w:r>
          </w:hyperlink>
        </w:p>
        <w:p w:rsidR="00606E2B" w:rsidRDefault="00606E2B">
          <w:pPr>
            <w:pStyle w:val="11"/>
            <w:tabs>
              <w:tab w:val="right" w:leader="dot" w:pos="8296"/>
            </w:tabs>
            <w:rPr>
              <w:rFonts w:eastAsiaTheme="minorEastAsia"/>
              <w:noProof/>
              <w:szCs w:val="22"/>
            </w:rPr>
          </w:pPr>
          <w:hyperlink w:anchor="_Toc135731701" w:history="1">
            <w:r w:rsidRPr="00B418EE">
              <w:rPr>
                <w:rStyle w:val="a7"/>
                <w:rFonts w:ascii="Times New Roman" w:eastAsia="楷体" w:hAnsi="Times New Roman"/>
                <w:b/>
                <w:noProof/>
              </w:rPr>
              <w:t>[</w:t>
            </w:r>
            <w:r w:rsidRPr="00B418EE">
              <w:rPr>
                <w:rStyle w:val="a7"/>
                <w:rFonts w:ascii="Times New Roman" w:eastAsia="楷体" w:hAnsi="Times New Roman"/>
                <w:b/>
                <w:noProof/>
              </w:rPr>
              <w:t>化工</w:t>
            </w:r>
            <w:r w:rsidRPr="00B418EE">
              <w:rPr>
                <w:rStyle w:val="a7"/>
                <w:rFonts w:ascii="Times New Roman" w:eastAsia="楷体" w:hAnsi="Times New Roman"/>
                <w:b/>
                <w:noProof/>
              </w:rPr>
              <w:t>]</w:t>
            </w:r>
          </w:hyperlink>
        </w:p>
        <w:p w:rsidR="00606E2B" w:rsidRDefault="00606E2B">
          <w:pPr>
            <w:pStyle w:val="2"/>
            <w:tabs>
              <w:tab w:val="right" w:leader="dot" w:pos="8296"/>
            </w:tabs>
            <w:rPr>
              <w:rFonts w:eastAsiaTheme="minorEastAsia"/>
              <w:noProof/>
              <w:szCs w:val="22"/>
            </w:rPr>
          </w:pPr>
          <w:hyperlink w:anchor="_Toc135731702" w:history="1">
            <w:r w:rsidRPr="00B418EE">
              <w:rPr>
                <w:rStyle w:val="a7"/>
                <w:rFonts w:ascii="Times New Roman" w:eastAsia="楷体" w:hAnsi="Times New Roman"/>
                <w:b/>
                <w:noProof/>
              </w:rPr>
              <w:t>天然橡胶</w:t>
            </w:r>
            <w:r w:rsidRPr="00B418EE">
              <w:rPr>
                <w:rStyle w:val="a7"/>
                <w:rFonts w:ascii="Times New Roman" w:eastAsia="楷体" w:hAnsi="Times New Roman"/>
                <w:b/>
                <w:noProof/>
              </w:rPr>
              <w:t>:</w:t>
            </w:r>
            <w:r w:rsidRPr="00B418EE">
              <w:rPr>
                <w:rStyle w:val="a7"/>
                <w:rFonts w:ascii="楷体" w:eastAsia="楷体" w:hAnsi="楷体"/>
                <w:b/>
                <w:noProof/>
              </w:rPr>
              <w:t xml:space="preserve"> 供应端利好较多 RU或小幅反弹</w:t>
            </w:r>
          </w:hyperlink>
        </w:p>
        <w:p w:rsidR="00606E2B" w:rsidRDefault="00606E2B">
          <w:pPr>
            <w:pStyle w:val="2"/>
            <w:tabs>
              <w:tab w:val="right" w:leader="dot" w:pos="8296"/>
            </w:tabs>
            <w:rPr>
              <w:rFonts w:eastAsiaTheme="minorEastAsia"/>
              <w:noProof/>
              <w:szCs w:val="22"/>
            </w:rPr>
          </w:pPr>
          <w:hyperlink w:anchor="_Toc135731703" w:history="1">
            <w:r w:rsidRPr="00B418EE">
              <w:rPr>
                <w:rStyle w:val="a7"/>
                <w:rFonts w:ascii="楷体" w:eastAsia="楷体" w:hAnsi="楷体"/>
                <w:b/>
                <w:noProof/>
              </w:rPr>
              <w:t>PTA：底部支撑稳固，关注低多机会</w:t>
            </w:r>
          </w:hyperlink>
        </w:p>
        <w:p w:rsidR="00606E2B" w:rsidRDefault="00606E2B">
          <w:pPr>
            <w:pStyle w:val="2"/>
            <w:tabs>
              <w:tab w:val="right" w:leader="dot" w:pos="8296"/>
            </w:tabs>
            <w:rPr>
              <w:rFonts w:eastAsiaTheme="minorEastAsia"/>
              <w:noProof/>
              <w:szCs w:val="22"/>
            </w:rPr>
          </w:pPr>
          <w:hyperlink w:anchor="_Toc135731704" w:history="1">
            <w:r w:rsidRPr="00B418EE">
              <w:rPr>
                <w:rStyle w:val="a7"/>
                <w:rFonts w:ascii="楷体" w:eastAsia="楷体" w:hAnsi="楷体"/>
                <w:b/>
                <w:noProof/>
              </w:rPr>
              <w:t>PVC：高库存+弱复苏 驱动不足</w:t>
            </w:r>
          </w:hyperlink>
        </w:p>
        <w:p w:rsidR="00606E2B" w:rsidRDefault="00606E2B">
          <w:pPr>
            <w:pStyle w:val="2"/>
            <w:tabs>
              <w:tab w:val="right" w:leader="dot" w:pos="8296"/>
            </w:tabs>
            <w:rPr>
              <w:rFonts w:eastAsiaTheme="minorEastAsia"/>
              <w:noProof/>
              <w:szCs w:val="22"/>
            </w:rPr>
          </w:pPr>
          <w:hyperlink w:anchor="_Toc135731705" w:history="1">
            <w:r w:rsidRPr="00B418EE">
              <w:rPr>
                <w:rStyle w:val="a7"/>
                <w:rFonts w:ascii="楷体" w:eastAsia="楷体" w:hAnsi="楷体"/>
                <w:b/>
                <w:noProof/>
              </w:rPr>
              <w:t>聚烯烃：下游需求疲弱 聚烯烃或延续弱势</w:t>
            </w:r>
          </w:hyperlink>
        </w:p>
        <w:p w:rsidR="00606E2B" w:rsidRDefault="00606E2B">
          <w:pPr>
            <w:pStyle w:val="2"/>
            <w:tabs>
              <w:tab w:val="right" w:leader="dot" w:pos="8296"/>
            </w:tabs>
            <w:rPr>
              <w:rFonts w:eastAsiaTheme="minorEastAsia"/>
              <w:noProof/>
              <w:szCs w:val="22"/>
            </w:rPr>
          </w:pPr>
          <w:hyperlink w:anchor="_Toc135731706" w:history="1">
            <w:r w:rsidRPr="00B418EE">
              <w:rPr>
                <w:rStyle w:val="a7"/>
                <w:rFonts w:ascii="楷体" w:eastAsia="楷体" w:hAnsi="楷体"/>
                <w:b/>
                <w:noProof/>
              </w:rPr>
              <w:t>MEG：供给端增量预期及进口到港增加  暂时观望</w:t>
            </w:r>
          </w:hyperlink>
        </w:p>
        <w:p w:rsidR="00606E2B" w:rsidRDefault="00606E2B">
          <w:pPr>
            <w:pStyle w:val="2"/>
            <w:tabs>
              <w:tab w:val="right" w:leader="dot" w:pos="8296"/>
            </w:tabs>
            <w:rPr>
              <w:rFonts w:eastAsiaTheme="minorEastAsia"/>
              <w:noProof/>
              <w:szCs w:val="22"/>
            </w:rPr>
          </w:pPr>
          <w:hyperlink w:anchor="_Toc135731707" w:history="1">
            <w:r w:rsidRPr="00B418EE">
              <w:rPr>
                <w:rStyle w:val="a7"/>
                <w:rFonts w:ascii="楷体" w:eastAsia="楷体" w:hAnsi="楷体"/>
                <w:b/>
                <w:noProof/>
              </w:rPr>
              <w:t>玻璃：期现同跌，维持负反馈</w:t>
            </w:r>
          </w:hyperlink>
        </w:p>
        <w:p w:rsidR="00606E2B" w:rsidRDefault="00606E2B">
          <w:pPr>
            <w:pStyle w:val="2"/>
            <w:tabs>
              <w:tab w:val="right" w:leader="dot" w:pos="8296"/>
            </w:tabs>
            <w:rPr>
              <w:rFonts w:eastAsiaTheme="minorEastAsia"/>
              <w:noProof/>
              <w:szCs w:val="22"/>
            </w:rPr>
          </w:pPr>
          <w:hyperlink w:anchor="_Toc135731708" w:history="1">
            <w:r w:rsidRPr="00B418EE">
              <w:rPr>
                <w:rStyle w:val="a7"/>
                <w:rFonts w:ascii="楷体" w:eastAsia="楷体" w:hAnsi="楷体"/>
                <w:b/>
                <w:noProof/>
              </w:rPr>
              <w:t>纯碱：空单大幅增仓，现货价格持续下行</w:t>
            </w:r>
          </w:hyperlink>
        </w:p>
        <w:p w:rsidR="00606E2B" w:rsidRDefault="00606E2B">
          <w:pPr>
            <w:pStyle w:val="11"/>
            <w:tabs>
              <w:tab w:val="right" w:leader="dot" w:pos="8296"/>
            </w:tabs>
            <w:rPr>
              <w:rFonts w:eastAsiaTheme="minorEastAsia"/>
              <w:noProof/>
              <w:szCs w:val="22"/>
            </w:rPr>
          </w:pPr>
          <w:hyperlink w:anchor="_Toc135731709" w:history="1">
            <w:r w:rsidRPr="00B418EE">
              <w:rPr>
                <w:rStyle w:val="a7"/>
                <w:rFonts w:ascii="Times New Roman" w:eastAsia="楷体" w:hAnsi="Times New Roman"/>
                <w:b/>
                <w:noProof/>
              </w:rPr>
              <w:t>[</w:t>
            </w:r>
            <w:r w:rsidRPr="00B418EE">
              <w:rPr>
                <w:rStyle w:val="a7"/>
                <w:rFonts w:ascii="Times New Roman" w:eastAsia="楷体" w:hAnsi="Times New Roman"/>
                <w:b/>
                <w:noProof/>
              </w:rPr>
              <w:t>农产品</w:t>
            </w:r>
            <w:r w:rsidRPr="00B418EE">
              <w:rPr>
                <w:rStyle w:val="a7"/>
                <w:rFonts w:ascii="Times New Roman" w:eastAsia="楷体" w:hAnsi="Times New Roman"/>
                <w:b/>
                <w:noProof/>
              </w:rPr>
              <w:t>]</w:t>
            </w:r>
          </w:hyperlink>
        </w:p>
        <w:p w:rsidR="00606E2B" w:rsidRDefault="00606E2B">
          <w:pPr>
            <w:pStyle w:val="2"/>
            <w:tabs>
              <w:tab w:val="right" w:leader="dot" w:pos="8296"/>
            </w:tabs>
            <w:rPr>
              <w:rFonts w:eastAsiaTheme="minorEastAsia"/>
              <w:noProof/>
              <w:szCs w:val="22"/>
            </w:rPr>
          </w:pPr>
          <w:hyperlink w:anchor="_Toc135731710" w:history="1">
            <w:r w:rsidRPr="00B418EE">
              <w:rPr>
                <w:rStyle w:val="a7"/>
                <w:rFonts w:ascii="楷体" w:eastAsia="楷体" w:hAnsi="楷体"/>
                <w:b/>
                <w:noProof/>
              </w:rPr>
              <w:t>豆粕/菜粕：延续区间震荡，豆菜粕价差继续收窄</w:t>
            </w:r>
          </w:hyperlink>
        </w:p>
        <w:p w:rsidR="00606E2B" w:rsidRDefault="00606E2B">
          <w:pPr>
            <w:pStyle w:val="2"/>
            <w:tabs>
              <w:tab w:val="right" w:leader="dot" w:pos="8296"/>
            </w:tabs>
            <w:rPr>
              <w:rFonts w:eastAsiaTheme="minorEastAsia"/>
              <w:noProof/>
              <w:szCs w:val="22"/>
            </w:rPr>
          </w:pPr>
          <w:hyperlink w:anchor="_Toc135731711" w:history="1">
            <w:r w:rsidRPr="00B418EE">
              <w:rPr>
                <w:rStyle w:val="a7"/>
                <w:rFonts w:ascii="楷体" w:eastAsia="楷体" w:hAnsi="楷体"/>
                <w:b/>
                <w:noProof/>
              </w:rPr>
              <w:t>油脂：延续弱势</w:t>
            </w:r>
          </w:hyperlink>
        </w:p>
        <w:p w:rsidR="00606E2B" w:rsidRDefault="00606E2B">
          <w:pPr>
            <w:pStyle w:val="2"/>
            <w:tabs>
              <w:tab w:val="right" w:leader="dot" w:pos="8296"/>
            </w:tabs>
            <w:rPr>
              <w:rFonts w:eastAsiaTheme="minorEastAsia"/>
              <w:noProof/>
              <w:szCs w:val="22"/>
            </w:rPr>
          </w:pPr>
          <w:hyperlink w:anchor="_Toc135731712" w:history="1">
            <w:r w:rsidRPr="00B418EE">
              <w:rPr>
                <w:rStyle w:val="a7"/>
                <w:rFonts w:ascii="楷体" w:eastAsia="楷体" w:hAnsi="楷体"/>
                <w:b/>
                <w:bCs/>
                <w:noProof/>
              </w:rPr>
              <w:t>玉米与淀粉：</w:t>
            </w:r>
            <w:r w:rsidRPr="00B418EE">
              <w:rPr>
                <w:rStyle w:val="a7"/>
                <w:rFonts w:ascii="楷体" w:eastAsia="楷体" w:hAnsi="楷体"/>
                <w:b/>
                <w:noProof/>
              </w:rPr>
              <w:t>期价震荡反弹</w:t>
            </w:r>
          </w:hyperlink>
        </w:p>
        <w:p w:rsidR="00606E2B" w:rsidRDefault="00606E2B">
          <w:pPr>
            <w:pStyle w:val="2"/>
            <w:tabs>
              <w:tab w:val="right" w:leader="dot" w:pos="8296"/>
            </w:tabs>
            <w:rPr>
              <w:rFonts w:eastAsiaTheme="minorEastAsia"/>
              <w:noProof/>
              <w:szCs w:val="22"/>
            </w:rPr>
          </w:pPr>
          <w:hyperlink w:anchor="_Toc135731713" w:history="1">
            <w:r w:rsidRPr="00B418EE">
              <w:rPr>
                <w:rStyle w:val="a7"/>
                <w:rFonts w:ascii="楷体" w:eastAsia="楷体" w:hAnsi="楷体"/>
                <w:b/>
                <w:bCs/>
                <w:noProof/>
              </w:rPr>
              <w:t>畜禽养殖：期价多创出新低</w:t>
            </w:r>
          </w:hyperlink>
        </w:p>
        <w:p w:rsidR="00606E2B" w:rsidRDefault="00606E2B">
          <w:pPr>
            <w:pStyle w:val="2"/>
            <w:tabs>
              <w:tab w:val="right" w:leader="dot" w:pos="8296"/>
            </w:tabs>
            <w:rPr>
              <w:rFonts w:eastAsiaTheme="minorEastAsia"/>
              <w:noProof/>
              <w:szCs w:val="22"/>
            </w:rPr>
          </w:pPr>
          <w:hyperlink w:anchor="_Toc135731714" w:history="1">
            <w:r w:rsidRPr="00B418EE">
              <w:rPr>
                <w:rStyle w:val="a7"/>
                <w:rFonts w:ascii="楷体" w:eastAsia="楷体" w:hAnsi="楷体"/>
                <w:b/>
                <w:noProof/>
              </w:rPr>
              <w:t>郑棉：预计09合约偏弱震荡，观望</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573168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5731687"/>
      <w:bookmarkEnd w:id="3"/>
      <w:r>
        <w:rPr>
          <w:rFonts w:ascii="Times New Roman" w:eastAsia="楷体" w:hAnsi="Times New Roman" w:hint="eastAsia"/>
          <w:b/>
          <w:color w:val="000000" w:themeColor="text1"/>
          <w:sz w:val="24"/>
          <w:szCs w:val="24"/>
        </w:rPr>
        <w:t>股指：</w:t>
      </w:r>
      <w:bookmarkEnd w:id="5"/>
      <w:bookmarkEnd w:id="6"/>
      <w:r w:rsidR="00DF1796" w:rsidRPr="00DF1796">
        <w:rPr>
          <w:rFonts w:ascii="Times New Roman" w:eastAsia="楷体" w:hAnsi="Times New Roman" w:hint="eastAsia"/>
          <w:b/>
          <w:color w:val="000000" w:themeColor="text1"/>
          <w:sz w:val="24"/>
          <w:szCs w:val="24"/>
        </w:rPr>
        <w:t>关注</w:t>
      </w:r>
      <w:r w:rsidR="00DF1796" w:rsidRPr="00DF1796">
        <w:rPr>
          <w:rFonts w:ascii="Times New Roman" w:eastAsia="楷体" w:hAnsi="Times New Roman" w:hint="eastAsia"/>
          <w:b/>
          <w:color w:val="000000" w:themeColor="text1"/>
          <w:sz w:val="24"/>
          <w:szCs w:val="24"/>
        </w:rPr>
        <w:t>IM</w:t>
      </w:r>
      <w:r w:rsidR="00DF1796" w:rsidRPr="00DF1796">
        <w:rPr>
          <w:rFonts w:ascii="Times New Roman" w:eastAsia="楷体" w:hAnsi="Times New Roman" w:hint="eastAsia"/>
          <w:b/>
          <w:color w:val="000000" w:themeColor="text1"/>
          <w:sz w:val="24"/>
          <w:szCs w:val="24"/>
        </w:rPr>
        <w:t>低多机会</w:t>
      </w:r>
      <w:bookmarkEnd w:id="7"/>
    </w:p>
    <w:p w:rsidR="003F56A5" w:rsidRDefault="00DF1796">
      <w:pPr>
        <w:ind w:leftChars="300" w:left="630"/>
        <w:rPr>
          <w:rFonts w:ascii="Times New Roman" w:eastAsia="楷体" w:hAnsi="Times New Roman"/>
          <w:color w:val="000000" w:themeColor="text1"/>
          <w:sz w:val="24"/>
          <w:szCs w:val="24"/>
        </w:rPr>
      </w:pPr>
      <w:r w:rsidRPr="00DF1796">
        <w:rPr>
          <w:rFonts w:ascii="Times New Roman" w:eastAsia="楷体" w:hAnsi="Times New Roman" w:hint="eastAsia"/>
          <w:color w:val="000000" w:themeColor="text1"/>
          <w:sz w:val="24"/>
          <w:szCs w:val="24"/>
        </w:rPr>
        <w:t>经济预期转弱而海外风险犹存，增量资金入场意愿不足，风偏降低下，存量资金仍以轮动博弈为主，外资重仓的大盘股受海外债务上限谈判和通胀担忧，波动或较大。在资金面仍宽松，行业基本面有政策支撑，交易热度、性价比改善情况下，市场风格在</w:t>
      </w:r>
      <w:r w:rsidRPr="00DF1796">
        <w:rPr>
          <w:rFonts w:ascii="Times New Roman" w:eastAsia="楷体" w:hAnsi="Times New Roman" w:hint="eastAsia"/>
          <w:color w:val="000000" w:themeColor="text1"/>
          <w:sz w:val="24"/>
          <w:szCs w:val="24"/>
        </w:rPr>
        <w:t>AI</w:t>
      </w:r>
      <w:r w:rsidRPr="00DF1796">
        <w:rPr>
          <w:rFonts w:ascii="Times New Roman" w:eastAsia="楷体" w:hAnsi="Times New Roman" w:hint="eastAsia"/>
          <w:color w:val="000000" w:themeColor="text1"/>
          <w:sz w:val="24"/>
          <w:szCs w:val="24"/>
        </w:rPr>
        <w:t>主线带动下或转向小盘成长，低位布局</w:t>
      </w:r>
      <w:r w:rsidRPr="00DF1796">
        <w:rPr>
          <w:rFonts w:ascii="Times New Roman" w:eastAsia="楷体" w:hAnsi="Times New Roman" w:hint="eastAsia"/>
          <w:color w:val="000000" w:themeColor="text1"/>
          <w:sz w:val="24"/>
          <w:szCs w:val="24"/>
        </w:rPr>
        <w:t>IM</w:t>
      </w:r>
      <w:r w:rsidRPr="00DF1796">
        <w:rPr>
          <w:rFonts w:ascii="Times New Roman" w:eastAsia="楷体" w:hAnsi="Times New Roman" w:hint="eastAsia"/>
          <w:color w:val="000000" w:themeColor="text1"/>
          <w:sz w:val="24"/>
          <w:szCs w:val="24"/>
        </w:rPr>
        <w:t>多单</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573168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5731689"/>
      <w:r>
        <w:rPr>
          <w:rFonts w:ascii="Times New Roman" w:eastAsia="楷体" w:hAnsi="Times New Roman" w:hint="eastAsia"/>
          <w:b/>
          <w:color w:val="000000" w:themeColor="text1"/>
          <w:sz w:val="24"/>
          <w:szCs w:val="24"/>
        </w:rPr>
        <w:t>贵金属：</w:t>
      </w:r>
      <w:r w:rsidR="00DF1796" w:rsidRPr="00DF1796">
        <w:rPr>
          <w:rFonts w:ascii="Times New Roman" w:eastAsia="楷体" w:hAnsi="Times New Roman" w:hint="eastAsia"/>
          <w:b/>
          <w:color w:val="000000" w:themeColor="text1"/>
          <w:sz w:val="24"/>
          <w:szCs w:val="24"/>
        </w:rPr>
        <w:t>关注美国债务上限谈判进展，贵金属价格窄幅震荡</w:t>
      </w:r>
      <w:bookmarkEnd w:id="9"/>
    </w:p>
    <w:p w:rsidR="003F56A5" w:rsidRDefault="00DF1796">
      <w:pPr>
        <w:ind w:leftChars="300" w:left="630"/>
        <w:rPr>
          <w:rFonts w:ascii="Times New Roman" w:eastAsia="楷体" w:hAnsi="Times New Roman"/>
          <w:sz w:val="24"/>
          <w:szCs w:val="24"/>
        </w:rPr>
      </w:pPr>
      <w:r w:rsidRPr="00DF1796">
        <w:rPr>
          <w:rFonts w:ascii="Times New Roman" w:eastAsia="楷体" w:hAnsi="Times New Roman" w:hint="eastAsia"/>
          <w:color w:val="000000" w:themeColor="text1"/>
          <w:sz w:val="24"/>
          <w:szCs w:val="24"/>
        </w:rPr>
        <w:t>世界银行《大宗商品市场展望》报告评估认为全球大宗商品价格将呈现出下行趋势，预计会以新冠疫情暴发以来最快的速度下跌。拜登表示与众议长麦卡锡关于债务上限的会谈“富有成效”，近期重点留意美国债务上限谈判进展。美联储布拉德维持一贯以来的鹰派立场，称今年还需要加息两次以对抗通胀。美联储戴利则表示，目前无法对</w:t>
      </w:r>
      <w:r w:rsidRPr="00DF1796">
        <w:rPr>
          <w:rFonts w:ascii="Times New Roman" w:eastAsia="楷体" w:hAnsi="Times New Roman" w:hint="eastAsia"/>
          <w:color w:val="000000" w:themeColor="text1"/>
          <w:sz w:val="24"/>
          <w:szCs w:val="24"/>
        </w:rPr>
        <w:t>6</w:t>
      </w:r>
      <w:r w:rsidRPr="00DF1796">
        <w:rPr>
          <w:rFonts w:ascii="Times New Roman" w:eastAsia="楷体" w:hAnsi="Times New Roman" w:hint="eastAsia"/>
          <w:color w:val="000000" w:themeColor="text1"/>
          <w:sz w:val="24"/>
          <w:szCs w:val="24"/>
        </w:rPr>
        <w:t>月的货币政策操作下定论，需要进一步观察近期经济数据表现。美联储卡什卡利称，对下个月暂停加息持开放态度，但不意味着加息周期就此结束。隔夜沪金、沪银窄幅震荡，目前而言联储</w:t>
      </w:r>
      <w:r w:rsidRPr="00DF1796">
        <w:rPr>
          <w:rFonts w:ascii="Times New Roman" w:eastAsia="楷体" w:hAnsi="Times New Roman" w:hint="eastAsia"/>
          <w:color w:val="000000" w:themeColor="text1"/>
          <w:sz w:val="24"/>
          <w:szCs w:val="24"/>
        </w:rPr>
        <w:t>6</w:t>
      </w:r>
      <w:r w:rsidRPr="00DF1796">
        <w:rPr>
          <w:rFonts w:ascii="Times New Roman" w:eastAsia="楷体" w:hAnsi="Times New Roman" w:hint="eastAsia"/>
          <w:color w:val="000000" w:themeColor="text1"/>
          <w:sz w:val="24"/>
          <w:szCs w:val="24"/>
        </w:rPr>
        <w:t>月停止加息概率较高，债务上限问题未解决，后续鸽派预期及避险情绪或持续支撑贵金属价格表现，建议沪金、沪银逢低做多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573169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5731691"/>
      <w:r>
        <w:rPr>
          <w:rFonts w:ascii="楷体" w:eastAsia="楷体" w:hAnsi="楷体" w:hint="eastAsia"/>
          <w:b/>
          <w:color w:val="000000" w:themeColor="text1"/>
          <w:sz w:val="24"/>
          <w:szCs w:val="24"/>
        </w:rPr>
        <w:t>螺纹钢：</w:t>
      </w:r>
      <w:bookmarkEnd w:id="15"/>
      <w:bookmarkEnd w:id="16"/>
      <w:r w:rsidR="00DF1796" w:rsidRPr="00DF1796">
        <w:rPr>
          <w:rFonts w:ascii="楷体" w:eastAsia="楷体" w:hAnsi="楷体" w:hint="eastAsia"/>
          <w:b/>
          <w:color w:val="000000" w:themeColor="text1"/>
          <w:sz w:val="24"/>
          <w:szCs w:val="24"/>
        </w:rPr>
        <w:t>现货情绪较差，负反馈情绪升温</w:t>
      </w:r>
      <w:bookmarkEnd w:id="17"/>
    </w:p>
    <w:p w:rsidR="003F56A5" w:rsidRDefault="00DF1796">
      <w:pPr>
        <w:ind w:leftChars="300" w:left="630"/>
        <w:rPr>
          <w:rFonts w:ascii="楷体" w:eastAsia="楷体" w:hAnsi="楷体"/>
          <w:color w:val="000000" w:themeColor="text1"/>
          <w:sz w:val="24"/>
          <w:szCs w:val="24"/>
        </w:rPr>
      </w:pPr>
      <w:r w:rsidRPr="00DF1796">
        <w:rPr>
          <w:rFonts w:ascii="楷体" w:eastAsia="楷体" w:hAnsi="楷体" w:hint="eastAsia"/>
          <w:color w:val="000000" w:themeColor="text1"/>
          <w:sz w:val="24"/>
          <w:szCs w:val="24"/>
        </w:rPr>
        <w:t>整体基本面偏中性，但供应弹性高压制上涨空间、海外煤价或引发成本下移，债务问题压制风险偏好。今日建材成交量缩价跌，原料大幅度回落，盘面利润低位下，负反馈情绪或继续升温，成本端下行压力明显，预计盘面或在（3500,3620）区间震荡</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5731692"/>
      <w:r>
        <w:rPr>
          <w:rFonts w:ascii="楷体" w:eastAsia="楷体" w:hAnsi="楷体" w:hint="eastAsia"/>
          <w:b/>
          <w:color w:val="000000" w:themeColor="text1"/>
          <w:sz w:val="24"/>
          <w:szCs w:val="24"/>
        </w:rPr>
        <w:t>焦炭：</w:t>
      </w:r>
      <w:bookmarkEnd w:id="18"/>
      <w:bookmarkEnd w:id="19"/>
      <w:r w:rsidR="00DF1796" w:rsidRPr="00DF1796">
        <w:rPr>
          <w:rFonts w:ascii="楷体" w:eastAsia="楷体" w:hAnsi="楷体" w:hint="eastAsia"/>
          <w:b/>
          <w:color w:val="000000" w:themeColor="text1"/>
          <w:sz w:val="24"/>
          <w:szCs w:val="24"/>
        </w:rPr>
        <w:t>现货及情绪走弱，震荡下行，关注前底支撑</w:t>
      </w:r>
      <w:bookmarkEnd w:id="20"/>
    </w:p>
    <w:p w:rsidR="003F56A5" w:rsidRDefault="00DF1796">
      <w:pPr>
        <w:ind w:leftChars="300" w:left="630"/>
        <w:rPr>
          <w:rFonts w:ascii="楷体" w:eastAsia="楷体" w:hAnsi="楷体"/>
          <w:color w:val="000000" w:themeColor="text1"/>
          <w:sz w:val="24"/>
          <w:szCs w:val="24"/>
        </w:rPr>
      </w:pPr>
      <w:r w:rsidRPr="00DF1796">
        <w:rPr>
          <w:rFonts w:ascii="楷体" w:eastAsia="楷体" w:hAnsi="楷体" w:hint="eastAsia"/>
          <w:color w:val="000000" w:themeColor="text1"/>
          <w:sz w:val="24"/>
          <w:szCs w:val="24"/>
        </w:rPr>
        <w:t>焦煤现货价格持稳，动力煤价格继续阴跌，焦炭现货价格下行，煤化工情绪崩溃，盘面继续承压运行，预计震荡区间（2000,2130）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5731693"/>
      <w:r>
        <w:rPr>
          <w:rFonts w:ascii="楷体" w:eastAsia="楷体" w:hAnsi="楷体" w:hint="eastAsia"/>
          <w:b/>
          <w:color w:val="000000" w:themeColor="text1"/>
          <w:sz w:val="24"/>
          <w:szCs w:val="24"/>
        </w:rPr>
        <w:t>焦煤：</w:t>
      </w:r>
      <w:r w:rsidR="00DF1796" w:rsidRPr="00DF1796">
        <w:rPr>
          <w:rFonts w:ascii="楷体" w:eastAsia="楷体" w:hAnsi="楷体" w:hint="eastAsia"/>
          <w:b/>
          <w:sz w:val="24"/>
          <w:szCs w:val="24"/>
        </w:rPr>
        <w:t>基本面有所好转，但动力煤存在下行风险</w:t>
      </w:r>
      <w:bookmarkEnd w:id="21"/>
    </w:p>
    <w:p w:rsidR="003F56A5" w:rsidRDefault="00DF1796">
      <w:pPr>
        <w:ind w:leftChars="300" w:left="630"/>
        <w:rPr>
          <w:rFonts w:ascii="楷体" w:eastAsia="楷体" w:hAnsi="楷体"/>
          <w:bCs/>
          <w:sz w:val="24"/>
          <w:szCs w:val="24"/>
        </w:rPr>
      </w:pPr>
      <w:r w:rsidRPr="00DF1796">
        <w:rPr>
          <w:rFonts w:ascii="楷体" w:eastAsia="楷体" w:hAnsi="楷体" w:hint="eastAsia"/>
          <w:sz w:val="24"/>
          <w:szCs w:val="24"/>
        </w:rPr>
        <w:t>内生性驱动不足，短期现货减量止跌后，上下游矛盾不突出，下游采购意愿弱，现货涨跌两难。当前海外煤价及国内动力煤下行力度有待观察，但上方压力明显，关注前底支撑，预计在（1200,1360）区间震荡</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5731694"/>
      <w:r>
        <w:rPr>
          <w:rFonts w:ascii="楷体" w:eastAsia="楷体" w:hAnsi="楷体" w:hint="eastAsia"/>
          <w:b/>
          <w:color w:val="000000" w:themeColor="text1"/>
          <w:sz w:val="24"/>
          <w:szCs w:val="24"/>
        </w:rPr>
        <w:t>铜：</w:t>
      </w:r>
      <w:bookmarkEnd w:id="22"/>
      <w:bookmarkEnd w:id="23"/>
      <w:r w:rsidR="00DF1796" w:rsidRPr="00DF1796">
        <w:rPr>
          <w:rFonts w:ascii="楷体" w:eastAsia="楷体" w:hAnsi="楷体" w:hint="eastAsia"/>
          <w:b/>
          <w:color w:val="000000" w:themeColor="text1"/>
          <w:sz w:val="24"/>
          <w:szCs w:val="24"/>
        </w:rPr>
        <w:t>铜价下跌释放部分消费需求，宏观压力制约反弹空间</w:t>
      </w:r>
      <w:bookmarkEnd w:id="24"/>
    </w:p>
    <w:p w:rsidR="00DF1796" w:rsidRPr="00DF1796" w:rsidRDefault="00DF1796" w:rsidP="00DF1796">
      <w:pPr>
        <w:ind w:leftChars="300" w:left="630"/>
        <w:rPr>
          <w:rFonts w:ascii="楷体" w:eastAsia="楷体" w:hAnsi="楷体" w:hint="eastAsia"/>
          <w:color w:val="000000" w:themeColor="text1"/>
          <w:sz w:val="24"/>
          <w:szCs w:val="24"/>
        </w:rPr>
      </w:pPr>
      <w:r w:rsidRPr="00DF1796">
        <w:rPr>
          <w:rFonts w:ascii="楷体" w:eastAsia="楷体" w:hAnsi="楷体" w:hint="eastAsia"/>
          <w:color w:val="000000" w:themeColor="text1"/>
          <w:sz w:val="24"/>
          <w:szCs w:val="24"/>
        </w:rPr>
        <w:t>(1)库存：5月22日，SHFE仓单库存45958吨，减5391吨。LME仓单库存</w:t>
      </w:r>
      <w:r w:rsidRPr="00DF1796">
        <w:rPr>
          <w:rFonts w:ascii="楷体" w:eastAsia="楷体" w:hAnsi="楷体" w:hint="eastAsia"/>
          <w:color w:val="000000" w:themeColor="text1"/>
          <w:sz w:val="24"/>
          <w:szCs w:val="24"/>
        </w:rPr>
        <w:lastRenderedPageBreak/>
        <w:t>92250吨，增275吨。</w:t>
      </w:r>
    </w:p>
    <w:p w:rsidR="00DF1796" w:rsidRPr="00DF1796" w:rsidRDefault="00DF1796" w:rsidP="00DF1796">
      <w:pPr>
        <w:ind w:leftChars="300" w:left="630"/>
        <w:rPr>
          <w:rFonts w:ascii="楷体" w:eastAsia="楷体" w:hAnsi="楷体" w:hint="eastAsia"/>
          <w:color w:val="000000" w:themeColor="text1"/>
          <w:sz w:val="24"/>
          <w:szCs w:val="24"/>
        </w:rPr>
      </w:pPr>
      <w:r w:rsidRPr="00DF1796">
        <w:rPr>
          <w:rFonts w:ascii="楷体" w:eastAsia="楷体" w:hAnsi="楷体" w:hint="eastAsia"/>
          <w:color w:val="000000" w:themeColor="text1"/>
          <w:sz w:val="24"/>
          <w:szCs w:val="24"/>
        </w:rPr>
        <w:t>(2)精废价差：5月22日，Mysteel精废价差1108，扩张46。目前价差在合理价差1355之下。</w:t>
      </w:r>
    </w:p>
    <w:p w:rsidR="00DF1796" w:rsidRPr="00DF1796" w:rsidRDefault="00DF1796" w:rsidP="00DF1796">
      <w:pPr>
        <w:ind w:leftChars="300" w:left="630"/>
        <w:rPr>
          <w:rFonts w:ascii="楷体" w:eastAsia="楷体" w:hAnsi="楷体"/>
          <w:color w:val="000000" w:themeColor="text1"/>
          <w:sz w:val="24"/>
          <w:szCs w:val="24"/>
        </w:rPr>
      </w:pPr>
    </w:p>
    <w:p w:rsidR="00A71A7E" w:rsidRPr="00A71A7E" w:rsidRDefault="00DF1796" w:rsidP="00DF1796">
      <w:pPr>
        <w:ind w:leftChars="300" w:left="630"/>
        <w:rPr>
          <w:rFonts w:ascii="楷体" w:eastAsia="楷体" w:hAnsi="楷体"/>
          <w:color w:val="000000" w:themeColor="text1"/>
          <w:sz w:val="24"/>
          <w:szCs w:val="24"/>
        </w:rPr>
      </w:pPr>
      <w:r w:rsidRPr="00DF1796">
        <w:rPr>
          <w:rFonts w:ascii="楷体" w:eastAsia="楷体" w:hAnsi="楷体" w:hint="eastAsia"/>
          <w:color w:val="000000" w:themeColor="text1"/>
          <w:sz w:val="24"/>
          <w:szCs w:val="24"/>
        </w:rPr>
        <w:t>综述：短期铜价下行释放部分消费需求，库存低位下现货升水相对坚挺，为期价提供支撑。但海外宏观压力仍存，衰退预期未交易充分，且精铜供应增长明显，仍将压制铜价反弹空间，当前市场仍关注美债务上限谈判进展，宏观情绪跟随摆动，铜价保持在震荡区间6.4-6.6万内承压运行，维持反弹沽空思路，或逢高卖出虚值看涨期权</w:t>
      </w:r>
      <w:r w:rsidR="00A71A7E" w:rsidRPr="00A71A7E">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5731695"/>
      <w:r>
        <w:rPr>
          <w:rFonts w:ascii="楷体" w:eastAsia="楷体" w:hAnsi="楷体" w:hint="eastAsia"/>
          <w:b/>
          <w:color w:val="000000" w:themeColor="text1"/>
          <w:sz w:val="24"/>
          <w:szCs w:val="24"/>
        </w:rPr>
        <w:t>铝：</w:t>
      </w:r>
      <w:bookmarkEnd w:id="25"/>
      <w:bookmarkEnd w:id="26"/>
      <w:r w:rsidR="00DF1796" w:rsidRPr="00DF1796">
        <w:rPr>
          <w:rFonts w:ascii="楷体" w:eastAsia="楷体" w:hAnsi="楷体" w:hint="eastAsia"/>
          <w:b/>
          <w:color w:val="000000" w:themeColor="text1"/>
          <w:sz w:val="24"/>
          <w:szCs w:val="24"/>
        </w:rPr>
        <w:t>铝价下探万八支撑，价格仍有下行压力</w:t>
      </w:r>
      <w:bookmarkEnd w:id="27"/>
    </w:p>
    <w:p w:rsidR="003F56A5" w:rsidRDefault="00DF1796" w:rsidP="00CF7A9A">
      <w:pPr>
        <w:ind w:leftChars="300" w:left="630"/>
        <w:rPr>
          <w:rFonts w:ascii="楷体" w:eastAsia="楷体" w:hAnsi="楷体"/>
          <w:color w:val="000000" w:themeColor="text1"/>
          <w:sz w:val="24"/>
          <w:szCs w:val="24"/>
        </w:rPr>
      </w:pPr>
      <w:r w:rsidRPr="00DF1796">
        <w:rPr>
          <w:rFonts w:ascii="楷体" w:eastAsia="楷体" w:hAnsi="楷体" w:hint="eastAsia"/>
          <w:color w:val="000000" w:themeColor="text1"/>
          <w:sz w:val="24"/>
          <w:szCs w:val="24"/>
        </w:rPr>
        <w:t>海外宏观存在较大不确定性，美国债务危机仍未得到妥善解决，市场情绪持续发酵，全球经济高通胀叠加银行信任危机，美联储加息走向充满不确定，国内央行发布一季度货币报告，降准降息仍可期，国内经济稳中向好。周内电解铝维持稳定生产，产能有增有减，5月电解铝供应增量有限，云南逐步进入丰水期，后期当地供应或有复产，消息面传出云南前期减产产能或部分维持停产。周内铝下游开工方面小幅下降，铝水比例走增，铸锭存量承压，支撑铝锭价格。海外库存小幅去库，国内交易所库存及社会库存维持强去库，铝棒去库不畅一定程度上抑制铝棒加工费反弹，海外需求受大环境影响实际国内铝消费疲软，内需消费维持但表现不及市场预期。铝价前期破万八支撑下行后反弹向上，铸锭存量偏少维持强去库支撑价格，整体来看，供应有走强预期，需求实际偏弱，价格仍以偏空看待，建议逢高做空</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5731696"/>
      <w:r>
        <w:rPr>
          <w:rFonts w:ascii="楷体" w:eastAsia="楷体" w:hAnsi="楷体" w:hint="eastAsia"/>
          <w:b/>
          <w:color w:val="000000" w:themeColor="text1"/>
          <w:sz w:val="24"/>
          <w:szCs w:val="24"/>
        </w:rPr>
        <w:t>锌：</w:t>
      </w:r>
      <w:r w:rsidR="00DF1796" w:rsidRPr="00DF1796">
        <w:rPr>
          <w:rFonts w:ascii="楷体" w:eastAsia="楷体" w:hAnsi="楷体" w:hint="eastAsia"/>
          <w:b/>
          <w:color w:val="000000" w:themeColor="text1"/>
          <w:sz w:val="24"/>
          <w:szCs w:val="24"/>
        </w:rPr>
        <w:t>供强需弱基本面维持，价格偏弱运行</w:t>
      </w:r>
      <w:bookmarkEnd w:id="28"/>
    </w:p>
    <w:p w:rsidR="003F56A5" w:rsidRDefault="00DF1796" w:rsidP="000B0648">
      <w:pPr>
        <w:ind w:leftChars="300" w:left="630"/>
        <w:rPr>
          <w:rFonts w:ascii="楷体" w:eastAsia="楷体" w:hAnsi="楷体"/>
          <w:color w:val="000000" w:themeColor="text1"/>
          <w:sz w:val="24"/>
          <w:szCs w:val="24"/>
        </w:rPr>
      </w:pPr>
      <w:r w:rsidRPr="00DF1796">
        <w:rPr>
          <w:rFonts w:ascii="楷体" w:eastAsia="楷体" w:hAnsi="楷体" w:hint="eastAsia"/>
          <w:color w:val="000000" w:themeColor="text1"/>
          <w:sz w:val="24"/>
          <w:szCs w:val="24"/>
        </w:rPr>
        <w:t>美国5月消费者信心指数再度向下，美国4月零售销售数据低于市场预期；联邦政府债务上限仍未有妥善解决方案，引发市场担忧情绪，国内经济政策面维持宽松。海外能源价格回落，欧洲炼厂部分锌冶炼产能宣布有复产计划，国内前期检修的炼厂进度进入尾声，云南地区进入丰水期期后当地限电影响或有减弱，供应预期走增。周度镀锌开工率录增，下游逢低补库，海内外库存仍旧维持低位，随着下游淡季采购偏弱及部分进口锌锭到货，库存或有累库，终端需求维持但无明显超预期表现，整体来看锌价仍有下行压力</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5731697"/>
      <w:r>
        <w:rPr>
          <w:rFonts w:ascii="楷体" w:eastAsia="楷体" w:hAnsi="楷体" w:hint="eastAsia"/>
          <w:b/>
          <w:color w:val="000000" w:themeColor="text1"/>
          <w:sz w:val="24"/>
          <w:szCs w:val="24"/>
        </w:rPr>
        <w:t>镍：</w:t>
      </w:r>
      <w:r w:rsidR="00EC2B12" w:rsidRPr="00EC2B12">
        <w:rPr>
          <w:rFonts w:ascii="楷体" w:eastAsia="楷体" w:hAnsi="楷体" w:hint="eastAsia"/>
          <w:b/>
          <w:color w:val="000000" w:themeColor="text1"/>
          <w:sz w:val="24"/>
          <w:szCs w:val="24"/>
        </w:rPr>
        <w:t>宏观偏空助推价格大跌，低库存或仍提供支撑</w:t>
      </w:r>
      <w:bookmarkEnd w:id="29"/>
    </w:p>
    <w:p w:rsidR="003F56A5" w:rsidRDefault="00EC2B12">
      <w:pPr>
        <w:ind w:leftChars="300" w:left="630"/>
        <w:rPr>
          <w:rFonts w:ascii="楷体" w:eastAsia="楷体" w:hAnsi="楷体"/>
          <w:color w:val="000000" w:themeColor="text1"/>
          <w:sz w:val="24"/>
          <w:szCs w:val="24"/>
        </w:rPr>
      </w:pPr>
      <w:r w:rsidRPr="00EC2B12">
        <w:rPr>
          <w:rFonts w:ascii="楷体" w:eastAsia="楷体" w:hAnsi="楷体" w:hint="eastAsia"/>
          <w:color w:val="000000" w:themeColor="text1"/>
          <w:sz w:val="24"/>
          <w:szCs w:val="24"/>
        </w:rPr>
        <w:t>宏观市场情绪遇冷是近期价格大幅下跌的主因，海外衰退风险并未解除，国内经济复苏不及预期，人民币汇率近期持续走弱，整体有色维持偏弱运行。纯镍中期有较多的供应增量预期持续给价格带来压力，但现实低库存及大back结构使得继续追空存在风险。盘面看，沪镍下跌至16万附近后，受到支撑而强势反弹，技术信号有所增强；暂对镍价持震荡预判，区间16-17.7万。操作上，基于估值角度逢高沽空</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0" w:name="_Toc135731698"/>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DF1796" w:rsidRPr="00DF1796">
        <w:rPr>
          <w:rFonts w:ascii="楷体" w:eastAsia="楷体" w:hAnsi="楷体" w:hint="eastAsia"/>
          <w:b/>
          <w:color w:val="000000" w:themeColor="text1"/>
          <w:sz w:val="24"/>
          <w:szCs w:val="24"/>
        </w:rPr>
        <w:t>铅价维持震荡，走势偏弱看待</w:t>
      </w:r>
      <w:bookmarkEnd w:id="30"/>
    </w:p>
    <w:p w:rsidR="008B13D2" w:rsidRPr="008B13D2" w:rsidRDefault="00DF1796" w:rsidP="008B13D2">
      <w:pPr>
        <w:ind w:leftChars="300" w:left="630"/>
        <w:rPr>
          <w:rFonts w:ascii="楷体" w:eastAsia="楷体" w:hAnsi="楷体"/>
          <w:color w:val="000000" w:themeColor="text1"/>
          <w:sz w:val="24"/>
          <w:szCs w:val="24"/>
        </w:rPr>
      </w:pPr>
      <w:r w:rsidRPr="00DF1796">
        <w:rPr>
          <w:rFonts w:ascii="楷体" w:eastAsia="楷体" w:hAnsi="楷体" w:hint="eastAsia"/>
          <w:color w:val="000000" w:themeColor="text1"/>
          <w:sz w:val="24"/>
          <w:szCs w:val="24"/>
        </w:rPr>
        <w:t>美国债务上限谈判仍未又结论，美国通胀粘性偏高，联储加息方向不明朗，</w:t>
      </w:r>
      <w:r w:rsidRPr="00DF1796">
        <w:rPr>
          <w:rFonts w:ascii="楷体" w:eastAsia="楷体" w:hAnsi="楷体" w:hint="eastAsia"/>
          <w:color w:val="000000" w:themeColor="text1"/>
          <w:sz w:val="24"/>
          <w:szCs w:val="24"/>
        </w:rPr>
        <w:lastRenderedPageBreak/>
        <w:t>国内央行发布一季度货币报告，降准降息仍可期，国内经济稳中向好。铅精矿及废电瓶成本偏高，铅炼厂检修步入尾声，加工企业开工率预期上行，供应预期走增；铅蓄电池方面时值更换市场消费淡季，消费新增订单欠佳，企业产品库存累库。从库存来看，海内外库存维持低位，下游电池厂询价积极，接货情绪较好，终端消费实际依然偏弱。宏观情绪外弱内强，伴随炼厂检修逐步走入尾声，供应预期走强，需求淡季之下偏弱表现，库存低位支撑价格，铅价震荡为主，波动区间15000-15500，价格走势偏弱看待</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5731699"/>
      <w:r>
        <w:rPr>
          <w:rFonts w:ascii="楷体" w:eastAsia="楷体" w:hAnsi="楷体" w:hint="eastAsia"/>
          <w:b/>
          <w:color w:val="000000" w:themeColor="text1"/>
          <w:sz w:val="24"/>
          <w:szCs w:val="24"/>
        </w:rPr>
        <w:t>不锈钢：</w:t>
      </w:r>
      <w:r w:rsidR="00DF1796" w:rsidRPr="00DF1796">
        <w:rPr>
          <w:rFonts w:ascii="楷体" w:eastAsia="楷体" w:hAnsi="楷体" w:hint="eastAsia"/>
          <w:b/>
          <w:color w:val="000000" w:themeColor="text1"/>
          <w:sz w:val="24"/>
          <w:szCs w:val="24"/>
        </w:rPr>
        <w:t>维持弱势震荡</w:t>
      </w:r>
      <w:bookmarkEnd w:id="31"/>
    </w:p>
    <w:p w:rsidR="003F56A5" w:rsidRDefault="00DF1796">
      <w:pPr>
        <w:ind w:leftChars="300" w:left="630"/>
        <w:rPr>
          <w:rFonts w:ascii="楷体" w:eastAsia="楷体" w:hAnsi="楷体"/>
          <w:color w:val="000000" w:themeColor="text1"/>
          <w:sz w:val="24"/>
          <w:szCs w:val="24"/>
        </w:rPr>
      </w:pPr>
      <w:r w:rsidRPr="00DF1796">
        <w:rPr>
          <w:rFonts w:ascii="楷体" w:eastAsia="楷体" w:hAnsi="楷体" w:hint="eastAsia"/>
          <w:color w:val="000000" w:themeColor="text1"/>
          <w:sz w:val="24"/>
          <w:szCs w:val="24"/>
        </w:rPr>
        <w:t>宏观情绪带来价格反复波动，上周社会库存降幅收窄，后期需要去观测钢厂实际增产情况及累库预期的兑现，整体行业供应弹性较大，叠加近日原料镍铁价格稳中趋弱，价格持续反弹动力不足。短期SS2307价格波动参考14500-15200元，暂时观望</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5731700"/>
      <w:r>
        <w:rPr>
          <w:rFonts w:ascii="楷体" w:eastAsia="楷体" w:hAnsi="楷体" w:hint="eastAsia"/>
          <w:b/>
          <w:color w:val="000000" w:themeColor="text1"/>
          <w:sz w:val="24"/>
          <w:szCs w:val="24"/>
        </w:rPr>
        <w:t>工业硅：</w:t>
      </w:r>
      <w:r w:rsidR="00DF1796" w:rsidRPr="00DF1796">
        <w:rPr>
          <w:rFonts w:ascii="楷体" w:eastAsia="楷体" w:hAnsi="楷体" w:hint="eastAsia"/>
          <w:b/>
          <w:sz w:val="24"/>
          <w:szCs w:val="24"/>
        </w:rPr>
        <w:t>海外需求萎缩明显，市场或仍将偏弱运行</w:t>
      </w:r>
      <w:bookmarkEnd w:id="32"/>
    </w:p>
    <w:p w:rsidR="003F56A5" w:rsidRDefault="00DF1796" w:rsidP="007103A5">
      <w:pPr>
        <w:ind w:leftChars="300" w:left="630"/>
        <w:rPr>
          <w:rFonts w:ascii="楷体" w:eastAsia="楷体" w:hAnsi="楷体"/>
          <w:sz w:val="24"/>
          <w:szCs w:val="24"/>
        </w:rPr>
      </w:pPr>
      <w:r w:rsidRPr="00DF1796">
        <w:rPr>
          <w:rFonts w:ascii="楷体" w:eastAsia="楷体" w:hAnsi="楷体" w:hint="eastAsia"/>
          <w:sz w:val="24"/>
          <w:szCs w:val="24"/>
        </w:rPr>
        <w:t>5月22日，Si2308主力合约维持大幅下行走势，盘中继续创新低，收盘价12880元/吨，较上一收盘价涨跌幅-2.79%。据海关统计数据，4月工业硅出口总量4.45万吨，同比下降18.09%，环比下降7.27%，继3月无出现季节性补库，出口数据继续走弱，反映海外需求萎缩较为明显。在需求持续低迷背景下，供应存在恢复预期，预计市场仍将偏弱运行</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573170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5B790A" w:rsidRDefault="00CC3FFA" w:rsidP="005B790A">
      <w:pPr>
        <w:ind w:firstLineChars="200" w:firstLine="482"/>
        <w:outlineLvl w:val="1"/>
        <w:rPr>
          <w:rFonts w:ascii="楷体" w:eastAsia="楷体" w:hAnsi="楷体"/>
          <w:b/>
          <w:sz w:val="24"/>
          <w:szCs w:val="24"/>
        </w:rPr>
      </w:pPr>
      <w:bookmarkStart w:id="35" w:name="_Toc135731702"/>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DF1796" w:rsidRPr="00DF1796">
        <w:rPr>
          <w:rFonts w:ascii="楷体" w:eastAsia="楷体" w:hAnsi="楷体" w:hint="eastAsia"/>
          <w:b/>
          <w:sz w:val="24"/>
          <w:szCs w:val="24"/>
        </w:rPr>
        <w:t>供应端利好较多 RU或小幅反弹</w:t>
      </w:r>
      <w:bookmarkEnd w:id="35"/>
    </w:p>
    <w:p w:rsidR="003F56A5" w:rsidRDefault="00DF1796">
      <w:pPr>
        <w:ind w:leftChars="300" w:left="630"/>
        <w:rPr>
          <w:rFonts w:ascii="楷体" w:eastAsia="楷体" w:hAnsi="楷体"/>
          <w:sz w:val="24"/>
          <w:szCs w:val="24"/>
        </w:rPr>
      </w:pPr>
      <w:r w:rsidRPr="00DF1796">
        <w:rPr>
          <w:rFonts w:ascii="楷体" w:eastAsia="楷体" w:hAnsi="楷体" w:hint="eastAsia"/>
          <w:sz w:val="24"/>
          <w:szCs w:val="24"/>
        </w:rPr>
        <w:t>点评：橡胶昨日窄幅波动。预计短期收储传闻未落地之前，胶价或继续偏强震荡。当前制约RU价格上行的主要矛盾还是屡创新高的港口库存。但近期美元汇率涨势强劲，进口货源或随之减量，天胶显性库存有下降预期。橡胶其余基本面来看，供应端，近期国内外产区干旱受降雨增多有所缓解，云南地区白粉病问题炒作热度减弱，但短时全球供增量有限。泰国宋卡原料价格基本与当前胶价持平，成本端支撑尚可。橡胶下游轮胎方面，5月下旬山东广饶地区个别轮胎企业存锅炉检修计划，对全钢胎样本企业产能利用率形成一定拖拽，而半钢胎样本企业产能利用率多延续稳定，整体波动不大，半钢胎外贸订单量充足。终端汽车方面，3月以来多数车企化身“价格屠夫”，4月汽车产销同比大幅好转，但主要与去年同期低基数有关，环比下滑证明汽车购买需求在优惠政策出尽下仍然低迷；重卡销量4月环比出现下滑，主因房地产和基建开工下滑导致非完整车辆销售不佳所致。目前橡胶终端需求支撑不强，但也并未对橡胶形成太大的不利因素。出口方面，Q1轮胎累计出口量同比微幅回升，前期对海外市场经济衰退和轮胎消费疲软的预期被证实过度悲观。综合来看，短期内橡胶收储发酵缺乏基本面支撑，持续好转预期仍弱。目前橡胶除了港口库存累库这一“地狱级”利空外，其实橡胶下游的需求并不悲观。待后期港口库存得到抑制，同时下游需求持续回暖下，胶价都会探底回升。往后看，5月在进口货源减少下，港口库存累库问题或得到缓解，届时建议逢低做多</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5731703"/>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DF1796" w:rsidRPr="00DF1796">
        <w:rPr>
          <w:rFonts w:ascii="楷体" w:eastAsia="楷体" w:hAnsi="楷体" w:hint="eastAsia"/>
          <w:b/>
          <w:color w:val="000000" w:themeColor="text1"/>
          <w:sz w:val="24"/>
          <w:szCs w:val="24"/>
        </w:rPr>
        <w:t>底部支撑稳固，关注低多机会</w:t>
      </w:r>
      <w:bookmarkEnd w:id="36"/>
      <w:r>
        <w:rPr>
          <w:rFonts w:ascii="楷体" w:eastAsia="楷体" w:hAnsi="楷体" w:hint="eastAsia"/>
          <w:b/>
          <w:color w:val="000000" w:themeColor="text1"/>
          <w:sz w:val="24"/>
          <w:szCs w:val="24"/>
        </w:rPr>
        <w:t xml:space="preserve"> </w:t>
      </w:r>
    </w:p>
    <w:p w:rsidR="00DF1796" w:rsidRPr="00DF1796" w:rsidRDefault="00DF1796" w:rsidP="00DF1796">
      <w:pPr>
        <w:ind w:leftChars="300" w:left="630"/>
        <w:rPr>
          <w:rFonts w:ascii="楷体" w:eastAsia="楷体" w:hAnsi="楷体" w:hint="eastAsia"/>
          <w:color w:val="000000" w:themeColor="text1"/>
          <w:sz w:val="24"/>
          <w:szCs w:val="24"/>
        </w:rPr>
      </w:pPr>
      <w:r w:rsidRPr="00DF1796">
        <w:rPr>
          <w:rFonts w:ascii="楷体" w:eastAsia="楷体" w:hAnsi="楷体" w:hint="eastAsia"/>
          <w:color w:val="000000" w:themeColor="text1"/>
          <w:sz w:val="24"/>
          <w:szCs w:val="24"/>
        </w:rPr>
        <w:t>成本端方面，等待债务风险谈判结果以及原油基本面高频指标仍有支撑背景下，继续关注谈判进展，本周将是关键的一周。若短线宏观情绪压力解除，原油仍然具备上行的动能。</w:t>
      </w:r>
    </w:p>
    <w:p w:rsidR="00DF1796" w:rsidRPr="00DF1796" w:rsidRDefault="00DF1796" w:rsidP="00DF1796">
      <w:pPr>
        <w:ind w:leftChars="300" w:left="630"/>
        <w:rPr>
          <w:rFonts w:ascii="楷体" w:eastAsia="楷体" w:hAnsi="楷体" w:hint="eastAsia"/>
          <w:color w:val="000000" w:themeColor="text1"/>
          <w:sz w:val="24"/>
          <w:szCs w:val="24"/>
        </w:rPr>
      </w:pPr>
      <w:r w:rsidRPr="00DF1796">
        <w:rPr>
          <w:rFonts w:ascii="楷体" w:eastAsia="楷体" w:hAnsi="楷体" w:hint="eastAsia"/>
          <w:color w:val="000000" w:themeColor="text1"/>
          <w:sz w:val="24"/>
          <w:szCs w:val="24"/>
        </w:rPr>
        <w:t>PTA供给方面，逸盛大化600万提负荷，蓬威90万吨停车，独山能源检修一条250万吨装置，至5.18 PTA负荷调整至79.7%（-0.5%）。恒力4#5月20日开启3周左右检修，新疆中泰5.7起检修，预计7月中重启；福建百宏一套250万吨PTA装置于上周末停车检修，暂定维持20天；华东一套250万吨PTA装置计划本周停车检修，暂定维持两周左右。</w:t>
      </w:r>
    </w:p>
    <w:p w:rsidR="00DF1796" w:rsidRPr="00DF1796" w:rsidRDefault="00DF1796" w:rsidP="00DF1796">
      <w:pPr>
        <w:ind w:leftChars="300" w:left="630"/>
        <w:rPr>
          <w:rFonts w:ascii="楷体" w:eastAsia="楷体" w:hAnsi="楷体" w:hint="eastAsia"/>
          <w:color w:val="000000" w:themeColor="text1"/>
          <w:sz w:val="24"/>
          <w:szCs w:val="24"/>
        </w:rPr>
      </w:pPr>
      <w:r w:rsidRPr="00DF1796">
        <w:rPr>
          <w:rFonts w:ascii="楷体" w:eastAsia="楷体" w:hAnsi="楷体" w:hint="eastAsia"/>
          <w:color w:val="000000" w:themeColor="text1"/>
          <w:sz w:val="24"/>
          <w:szCs w:val="24"/>
        </w:rPr>
        <w:t>需求方面，聚酯负荷继续提升，产品涉及长丝、短纤和切片。截至本5.18 初步核算国内大陆地区聚酯负荷在88.8%附近（+1.3%）。聚酯在效益改善的情况下，聚酯企业近期负荷稳步提升。终端需求方面，近期订单属于是淡季阶段性的小修复，后期开工率继续提升空间不大。</w:t>
      </w:r>
    </w:p>
    <w:p w:rsidR="003F56A5" w:rsidRDefault="00DF1796" w:rsidP="00DF1796">
      <w:pPr>
        <w:ind w:leftChars="300" w:left="630"/>
        <w:rPr>
          <w:rFonts w:ascii="楷体" w:eastAsia="楷体" w:hAnsi="楷体"/>
          <w:color w:val="000000" w:themeColor="text1"/>
          <w:sz w:val="24"/>
          <w:szCs w:val="24"/>
        </w:rPr>
      </w:pPr>
      <w:r w:rsidRPr="00DF1796">
        <w:rPr>
          <w:rFonts w:ascii="楷体" w:eastAsia="楷体" w:hAnsi="楷体" w:hint="eastAsia"/>
          <w:color w:val="000000" w:themeColor="text1"/>
          <w:sz w:val="24"/>
          <w:szCs w:val="24"/>
        </w:rPr>
        <w:t>展望后市，PTA存量及新产能有望继续释放预期，但同时也面临装置计划检修，开工率近期回落明显。5-6月聚酯产品效益改善开工率提升，供需格局尚可维持。随着TA检修执行开工率下滑及聚酯开工的修复持续，PTA的流动性可能略收紧，预计PTA策略上短线5150-5200附近底部支撑稳固。原油基本面高频指标转强，一旦宏观风险暂时解除，成本端走强及供需格局尚可，TA09仍有低多机会。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5731704"/>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7"/>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8" w:name="_Toc135731705"/>
      <w:r>
        <w:rPr>
          <w:rFonts w:ascii="楷体" w:eastAsia="楷体" w:hAnsi="楷体" w:hint="eastAsia"/>
          <w:b/>
          <w:color w:val="000000" w:themeColor="text1"/>
          <w:sz w:val="24"/>
          <w:szCs w:val="24"/>
        </w:rPr>
        <w:t>聚烯烃：</w:t>
      </w:r>
      <w:r w:rsidR="00DF1796" w:rsidRPr="00DF1796">
        <w:rPr>
          <w:rFonts w:ascii="楷体" w:eastAsia="楷体" w:hAnsi="楷体" w:hint="eastAsia"/>
          <w:b/>
          <w:color w:val="000000" w:themeColor="text1"/>
          <w:sz w:val="24"/>
          <w:szCs w:val="24"/>
        </w:rPr>
        <w:t>下游需求疲弱 聚烯烃或延续弱势</w:t>
      </w:r>
      <w:bookmarkEnd w:id="38"/>
    </w:p>
    <w:p w:rsidR="003F56A5" w:rsidRDefault="00DF1796">
      <w:pPr>
        <w:ind w:leftChars="300" w:left="630"/>
        <w:rPr>
          <w:rFonts w:ascii="楷体" w:eastAsia="楷体" w:hAnsi="楷体"/>
          <w:bCs/>
          <w:sz w:val="24"/>
          <w:szCs w:val="24"/>
        </w:rPr>
      </w:pPr>
      <w:r w:rsidRPr="00DF1796">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夏季美国汽油需求高峰季节将来临，有预测说下半年全球石油需求将增长，加拿大和欧佩克及其减产同盟国供应在最近几周有所减少，周一国际油价适度上涨；需求方面，PE下游方面，农膜整体需求平平，工厂生产清淡。棚膜工厂多停机检修；PP下游方面，BOPP</w:t>
      </w:r>
      <w:r w:rsidRPr="00DF1796">
        <w:rPr>
          <w:rFonts w:ascii="楷体" w:eastAsia="楷体" w:hAnsi="楷体" w:hint="eastAsia"/>
          <w:color w:val="000000" w:themeColor="text1"/>
          <w:sz w:val="24"/>
          <w:szCs w:val="24"/>
        </w:rPr>
        <w:lastRenderedPageBreak/>
        <w:t>市场成交刚需有量，整体量较上一交易日增加，BOPP企业未交付订单多数在一周以内，个别可至5月下旬。综合来看，PE方面，虽近期检修增多，供应压力有所缓解，但下游工厂产能利用率维持小幅下滑趋势，偏空预期未有改观，供需双弱下，市场心态难有好转，现货价格依旧难迎来明显提振。PP方面，前期停车装置陆续重启，供应面压力增加，成本方面昨日原油小幅上涨，然盘面快速下行，打压场内心态，且宏观方面暂无提振，下游工厂需求疲软，按需随采随用，整体成交一般，预计今日市场或将延续跌势</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5731706"/>
      <w:r>
        <w:rPr>
          <w:rFonts w:ascii="楷体" w:eastAsia="楷体" w:hAnsi="楷体" w:hint="eastAsia"/>
          <w:b/>
          <w:color w:val="000000" w:themeColor="text1"/>
          <w:sz w:val="24"/>
          <w:szCs w:val="24"/>
        </w:rPr>
        <w:t>MEG：</w:t>
      </w:r>
      <w:r w:rsidR="00DF1796" w:rsidRPr="00DF1796">
        <w:rPr>
          <w:rFonts w:ascii="楷体" w:eastAsia="楷体" w:hAnsi="楷体" w:hint="eastAsia"/>
          <w:b/>
          <w:color w:val="000000" w:themeColor="text1"/>
          <w:sz w:val="24"/>
          <w:szCs w:val="24"/>
        </w:rPr>
        <w:t>供给端增量预期及进口到港增加  暂时观望</w:t>
      </w:r>
      <w:bookmarkEnd w:id="39"/>
    </w:p>
    <w:p w:rsidR="00DF1796" w:rsidRPr="00DF1796" w:rsidRDefault="00DF1796" w:rsidP="00DF1796">
      <w:pPr>
        <w:ind w:leftChars="300" w:left="630"/>
        <w:rPr>
          <w:rFonts w:ascii="楷体" w:eastAsia="楷体" w:hAnsi="楷体" w:hint="eastAsia"/>
          <w:color w:val="000000" w:themeColor="text1"/>
          <w:sz w:val="24"/>
          <w:szCs w:val="24"/>
        </w:rPr>
      </w:pPr>
      <w:r w:rsidRPr="00DF1796">
        <w:rPr>
          <w:rFonts w:ascii="楷体" w:eastAsia="楷体" w:hAnsi="楷体" w:hint="eastAsia"/>
          <w:color w:val="000000" w:themeColor="text1"/>
          <w:sz w:val="24"/>
          <w:szCs w:val="24"/>
        </w:rPr>
        <w:t>供需情况，5.22华东主港地区MEG港口库存约106万吨附近，环比上期累积4.6万吨。中旬之后的到货逐渐恢复，预计港口去化进入尾声。截至5月18日，中国大陆地区乙二醇整体开工负荷在50.31%（-6.35%），其中煤制乙二醇开工负荷在42.94%（-11.61%），嘉兴一套100万吨的MEG装置已于上周试车，陕西一套30万吨的合成气制乙二醇装置已重启，马来西亚一套75万吨的MEG装置于20日附近重启。后期开工率有望从低点恢复，新增产能三江石化计划开车。</w:t>
      </w:r>
    </w:p>
    <w:p w:rsidR="00DF1796" w:rsidRPr="00DF1796" w:rsidRDefault="00DF1796" w:rsidP="00DF1796">
      <w:pPr>
        <w:ind w:leftChars="300" w:left="630"/>
        <w:rPr>
          <w:rFonts w:ascii="楷体" w:eastAsia="楷体" w:hAnsi="楷体" w:hint="eastAsia"/>
          <w:color w:val="000000" w:themeColor="text1"/>
          <w:sz w:val="24"/>
          <w:szCs w:val="24"/>
        </w:rPr>
      </w:pPr>
      <w:r w:rsidRPr="00DF1796">
        <w:rPr>
          <w:rFonts w:ascii="楷体" w:eastAsia="楷体" w:hAnsi="楷体" w:hint="eastAsia"/>
          <w:color w:val="000000" w:themeColor="text1"/>
          <w:sz w:val="24"/>
          <w:szCs w:val="24"/>
        </w:rPr>
        <w:t>进口方面来看，本周起随着美国货以及伊朗货陆续抵港，乙二醇主港到货量将逐步增加。</w:t>
      </w:r>
    </w:p>
    <w:p w:rsidR="00DF1796" w:rsidRPr="00DF1796" w:rsidRDefault="00DF1796" w:rsidP="00DF1796">
      <w:pPr>
        <w:ind w:leftChars="300" w:left="630"/>
        <w:rPr>
          <w:rFonts w:ascii="楷体" w:eastAsia="楷体" w:hAnsi="楷体" w:hint="eastAsia"/>
          <w:color w:val="000000" w:themeColor="text1"/>
          <w:sz w:val="24"/>
          <w:szCs w:val="24"/>
        </w:rPr>
      </w:pPr>
      <w:r w:rsidRPr="00DF1796">
        <w:rPr>
          <w:rFonts w:ascii="楷体" w:eastAsia="楷体" w:hAnsi="楷体" w:hint="eastAsia"/>
          <w:color w:val="000000" w:themeColor="text1"/>
          <w:sz w:val="24"/>
          <w:szCs w:val="24"/>
        </w:rPr>
        <w:t>聚酯需求端来看，截止5.18， 初步核算国内大陆地区聚酯负荷在88.8%（+1.3%）。终端方面上周江浙终端开工率继续修复，江浙加弹综合开工率82%(+13%)，江浙织机综合开工率73%(+3%），江浙印染综合开工率78%（+0%）。江浙终端开机继续回升，但下单氛围偏弱，总体处于淡季阶段性的小修复。</w:t>
      </w:r>
    </w:p>
    <w:p w:rsidR="003F56A5" w:rsidRDefault="00DF1796" w:rsidP="00DF1796">
      <w:pPr>
        <w:ind w:leftChars="300" w:left="630"/>
        <w:rPr>
          <w:rFonts w:ascii="楷体" w:eastAsia="楷体" w:hAnsi="楷体"/>
          <w:color w:val="000000" w:themeColor="text1"/>
          <w:sz w:val="24"/>
          <w:szCs w:val="24"/>
        </w:rPr>
      </w:pPr>
      <w:r w:rsidRPr="00DF1796">
        <w:rPr>
          <w:rFonts w:ascii="楷体" w:eastAsia="楷体" w:hAnsi="楷体" w:hint="eastAsia"/>
          <w:color w:val="000000" w:themeColor="text1"/>
          <w:sz w:val="24"/>
          <w:szCs w:val="24"/>
        </w:rPr>
        <w:t>展望后市，近期停车装置多以短停检修为主，后期开工率有望从低点恢复。终端季节性淡季，负反馈仍有向上传导的可能，5月下外轮到港增多，港口去化接近尾声，前期多单止盈，暂时观望。仅供参考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0" w:name="_Toc135731707"/>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DF1796" w:rsidRPr="00DF1796">
        <w:rPr>
          <w:rFonts w:ascii="楷体" w:eastAsia="楷体" w:hAnsi="楷体" w:hint="eastAsia"/>
          <w:b/>
          <w:color w:val="000000" w:themeColor="text1"/>
          <w:sz w:val="24"/>
          <w:szCs w:val="24"/>
        </w:rPr>
        <w:t>期现同跌，维持负反馈</w:t>
      </w:r>
      <w:bookmarkEnd w:id="40"/>
    </w:p>
    <w:p w:rsidR="00A71A7E" w:rsidRDefault="00DF1796" w:rsidP="0079299D">
      <w:pPr>
        <w:ind w:leftChars="300" w:left="630"/>
        <w:rPr>
          <w:rFonts w:ascii="楷体" w:eastAsia="楷体" w:hAnsi="楷体"/>
          <w:color w:val="000000" w:themeColor="text1"/>
          <w:sz w:val="24"/>
          <w:szCs w:val="24"/>
        </w:rPr>
      </w:pPr>
      <w:r w:rsidRPr="00DF1796">
        <w:rPr>
          <w:rFonts w:ascii="楷体" w:eastAsia="楷体" w:hAnsi="楷体" w:hint="eastAsia"/>
          <w:color w:val="000000" w:themeColor="text1"/>
          <w:sz w:val="24"/>
          <w:szCs w:val="24"/>
        </w:rPr>
        <w:t>隆众资讯5月22日报道：今日浮法玻璃现货价格2196，较上一交易-17。各地价格均有下降，沙河地区周末对贸易商保价，日内降幅扩大。加工厂观望情绪浓厚，期待价格继续下行。供给端5月底仍有点火预期，需求端下游保持观望态度，前一轮集中补库告一段落。总体来看，供需压力持续加大，叠加价格加速下移，预计09合约维持弱势。建议空单继续持有，多头保持观望</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5731708"/>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DF1796" w:rsidRPr="00DF1796">
        <w:rPr>
          <w:rFonts w:ascii="楷体" w:eastAsia="楷体" w:hAnsi="楷体" w:hint="eastAsia"/>
          <w:b/>
          <w:color w:val="000000" w:themeColor="text1"/>
          <w:sz w:val="24"/>
          <w:szCs w:val="24"/>
        </w:rPr>
        <w:t>空单大幅增仓，现货价格持续下行</w:t>
      </w:r>
      <w:bookmarkEnd w:id="41"/>
    </w:p>
    <w:p w:rsidR="00A71A7E" w:rsidRDefault="00DF1796" w:rsidP="00A71A7E">
      <w:pPr>
        <w:ind w:leftChars="300" w:left="630"/>
        <w:rPr>
          <w:rFonts w:ascii="楷体" w:eastAsia="楷体" w:hAnsi="楷体"/>
          <w:bCs/>
          <w:sz w:val="24"/>
          <w:szCs w:val="24"/>
        </w:rPr>
      </w:pPr>
      <w:r w:rsidRPr="00DF1796">
        <w:rPr>
          <w:rFonts w:ascii="楷体" w:eastAsia="楷体" w:hAnsi="楷体" w:hint="eastAsia"/>
          <w:color w:val="000000" w:themeColor="text1"/>
          <w:sz w:val="24"/>
          <w:szCs w:val="24"/>
        </w:rPr>
        <w:t>今日国内纯碱价格继续下行，跌幅较上周走扩，华南重碱周末下调200，报价2250元/吨。徐州丰城装置恢复生产，开工上行。下游采购谨慎，需求弱势。供给恢复情况下，需求疲弱，在市场不缺货前提下，下游安全库存压制极低位置。09合约已跌破氨碱法成本线，但悲观情绪下，各方持货意愿极低，盘面延续弱势</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2" w:name="_Toc13573170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2"/>
    </w:p>
    <w:p w:rsidR="003F56A5" w:rsidRDefault="00147B03">
      <w:pPr>
        <w:ind w:leftChars="200" w:left="420"/>
        <w:outlineLvl w:val="1"/>
        <w:rPr>
          <w:rFonts w:ascii="楷体" w:eastAsia="楷体" w:hAnsi="楷体"/>
          <w:b/>
          <w:sz w:val="24"/>
          <w:szCs w:val="24"/>
        </w:rPr>
      </w:pPr>
      <w:bookmarkStart w:id="43" w:name="_Toc135731710"/>
      <w:r w:rsidRPr="00147B03">
        <w:rPr>
          <w:rFonts w:ascii="楷体" w:eastAsia="楷体" w:hAnsi="楷体" w:hint="eastAsia"/>
          <w:b/>
          <w:color w:val="000000" w:themeColor="text1"/>
          <w:sz w:val="24"/>
          <w:szCs w:val="24"/>
        </w:rPr>
        <w:lastRenderedPageBreak/>
        <w:t>豆粕/菜粕</w:t>
      </w:r>
      <w:r w:rsidR="00CC3FFA">
        <w:rPr>
          <w:rFonts w:ascii="楷体" w:eastAsia="楷体" w:hAnsi="楷体" w:hint="eastAsia"/>
          <w:b/>
          <w:color w:val="000000" w:themeColor="text1"/>
          <w:sz w:val="24"/>
          <w:szCs w:val="24"/>
        </w:rPr>
        <w:t>：</w:t>
      </w:r>
      <w:r w:rsidR="00DF1796" w:rsidRPr="00DF1796">
        <w:rPr>
          <w:rFonts w:ascii="楷体" w:eastAsia="楷体" w:hAnsi="楷体" w:hint="eastAsia"/>
          <w:b/>
          <w:sz w:val="24"/>
          <w:szCs w:val="24"/>
        </w:rPr>
        <w:t>延续区间震荡，豆菜粕价差继续收窄</w:t>
      </w:r>
      <w:bookmarkEnd w:id="43"/>
    </w:p>
    <w:p w:rsidR="003F56A5" w:rsidRDefault="00DF1796">
      <w:pPr>
        <w:ind w:leftChars="300" w:left="630"/>
        <w:rPr>
          <w:rFonts w:ascii="楷体" w:eastAsia="楷体" w:hAnsi="楷体"/>
          <w:sz w:val="24"/>
          <w:szCs w:val="24"/>
        </w:rPr>
      </w:pPr>
      <w:r w:rsidRPr="00DF1796">
        <w:rPr>
          <w:rFonts w:ascii="楷体" w:eastAsia="楷体" w:hAnsi="楷体" w:hint="eastAsia"/>
          <w:sz w:val="24"/>
          <w:szCs w:val="24"/>
        </w:rPr>
        <w:t>国际方面，在连续下跌四个交易日后，美大豆因空头回补反弹而上涨，但在当前新作种植进度较快及23/24年度新作供应预计宽松下，走势偏弱。截至5月21日当周，美国大豆种植率为66%，去年同期为47%，五年均值为52%。同时预计23/24年度南美大豆产量将会有修复性增加。巴西当前收割进度达98%，仍面临卖压，但巴西大豆升贴水反弹企稳，后续卖压或减弱，当前销售进度过半，持续关注出口节奏。国内市场，短期国内因入关检验问题，大豆到厂时间延长，部分油厂因断豆存停机计划，预计5月下旬会陆续恢复，短期开机压榨下滑支撑豆粕现货报价坚挺，在较严的入关程序下4月国内仅到港726万吨。大豆4-6月整体供给较宽松，阶段性供应压力仍存，但需要关注大豆到厂进度及后续油厂开工情况。下游养殖利润表现仍不佳，且在杂粕替代下饲企和养殖企业等对豆粕饲用需求增量有限，当前价格缺乏性价比抑制需求，现货价格后续仍面临下行压力。菜粕供应端在进口菜籽持续增加下逐步修复，油厂开机及压榨维持较高水平，但菜籽二季度后供给预计减少。而需求方面在近期天气逐步回暖后，华南水产需求启动，同时在价差性价比方面仍在对豆粕进行替代，因此供弱需强下方较豆粕支撑更强。策略方面，虽进口大豆增加是现实，但当前高基差仍对盘面构成支撑，建议波段操作，豆粕3400-3550区间操作，菜粕区间上沿宽幅震荡</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4" w:name="_Toc135731711"/>
      <w:r>
        <w:rPr>
          <w:rFonts w:ascii="楷体" w:eastAsia="楷体" w:hAnsi="楷体" w:hint="eastAsia"/>
          <w:b/>
          <w:color w:val="000000" w:themeColor="text1"/>
          <w:sz w:val="24"/>
          <w:szCs w:val="24"/>
        </w:rPr>
        <w:t>油脂：</w:t>
      </w:r>
      <w:r w:rsidR="00DF1796" w:rsidRPr="00DF1796">
        <w:rPr>
          <w:rFonts w:ascii="楷体" w:eastAsia="楷体" w:hAnsi="楷体" w:hint="eastAsia"/>
          <w:b/>
          <w:sz w:val="24"/>
          <w:szCs w:val="24"/>
        </w:rPr>
        <w:t>延续弱势</w:t>
      </w:r>
      <w:bookmarkEnd w:id="44"/>
    </w:p>
    <w:p w:rsidR="003F56A5" w:rsidRDefault="00DF1796" w:rsidP="00792D31">
      <w:pPr>
        <w:ind w:leftChars="300" w:left="630"/>
        <w:rPr>
          <w:rFonts w:ascii="楷体" w:eastAsia="楷体" w:hAnsi="楷体"/>
          <w:sz w:val="24"/>
          <w:szCs w:val="24"/>
        </w:rPr>
      </w:pPr>
      <w:r w:rsidRPr="00DF1796">
        <w:rPr>
          <w:rFonts w:ascii="楷体" w:eastAsia="楷体" w:hAnsi="楷体" w:hint="eastAsia"/>
          <w:sz w:val="24"/>
          <w:szCs w:val="24"/>
        </w:rPr>
        <w:t>国际市场，宏观风险担忧叠加全球菜籽和大豆供应预期增加，当前产地天气情况良好，对油脂油料端构成压力。棕榈油，马棕5月在节日影响减弱，将进入增产周期，出口因棕榈油价格在国际市场性价比较低而受抑，同时5月印尼出口放开后抑制马来棕榈油出口，也限制了棕榈油上方空间。而印尼于5月1日起将棕榈油国内市场义务(DMO)下调至每月30万吨。把散油出口比率从1:6收紧至1:4，但贸易商手中仍有充足出口配额，因此政策影响有限。国内棕榈油在需求增加及进口下滑下，去库速度逐步加快，在进口利润持续倒挂下，二季度进口预计下滑。随着天气逐渐回暖，华南以外其他地区棕榈油餐饮及调和油需求预计逐步增加，并对价格构成支撑。豆油压力仍存，随着天气回暖，且在价格利好下提振棕榈油替代需求，豆油下游需求预计被逐步挤占。虽短期在大豆入关问题下，油厂开机不及预期，豆油供给修复缓慢。但随着后续进口大豆集中供应，豆油供应仍存边际修复预期。菜油在供应宽松下，上方压力仍存。随着进口加籽到港量维持高位，菜籽供应较稳定，4月菜籽进口60万吨，菜油进口31万吨，环比同比均增。当前油厂开工较稳定，叠加进口菜油供给增加，菜油供应较为宽松。需求方面，在地域饮食偏好下整体增量有限，而替代需求仍需具有明显价格优势。油脂整体走势仍偏空，建议短线逢高空，可逢高做缩豆棕09价差</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5" w:name="_Toc135731712"/>
      <w:r>
        <w:rPr>
          <w:rFonts w:ascii="楷体" w:eastAsia="楷体" w:hAnsi="楷体" w:hint="eastAsia"/>
          <w:b/>
          <w:bCs/>
          <w:color w:val="000000" w:themeColor="text1"/>
        </w:rPr>
        <w:t>玉米与淀粉：</w:t>
      </w:r>
      <w:r w:rsidR="00DF1796" w:rsidRPr="00DF1796">
        <w:rPr>
          <w:rFonts w:ascii="楷体" w:eastAsia="楷体" w:hAnsi="楷体" w:hint="eastAsia"/>
          <w:b/>
        </w:rPr>
        <w:t>期价震荡反弹</w:t>
      </w:r>
      <w:bookmarkEnd w:id="45"/>
    </w:p>
    <w:p w:rsidR="00DF1796" w:rsidRPr="00DF1796" w:rsidRDefault="00DF1796" w:rsidP="00DF1796">
      <w:pPr>
        <w:pStyle w:val="paragraph"/>
        <w:spacing w:before="60" w:after="60"/>
        <w:ind w:leftChars="300" w:left="630"/>
        <w:rPr>
          <w:rFonts w:ascii="楷体" w:eastAsia="楷体" w:hAnsi="楷体" w:hint="eastAsia"/>
        </w:rPr>
      </w:pPr>
      <w:r w:rsidRPr="00DF1796">
        <w:rPr>
          <w:rFonts w:ascii="楷体" w:eastAsia="楷体" w:hAnsi="楷体" w:hint="eastAsia"/>
        </w:rPr>
        <w:t>对于玉米而言，虽然外盘带动进口成本继续下滑，但考虑到进口整体受配额限制，国内产需缺口更多依赖小麦饲用替代，而近期小麦止跌反</w:t>
      </w:r>
      <w:r w:rsidRPr="00DF1796">
        <w:rPr>
          <w:rFonts w:ascii="楷体" w:eastAsia="楷体" w:hAnsi="楷体" w:hint="eastAsia"/>
        </w:rPr>
        <w:lastRenderedPageBreak/>
        <w:t>弹，或表明新作上市压力释放临近尾声，这意味着玉米下跌或告一段落，后期市场或转向年度产需缺口的补充问题。在我们看来，后期潜在上涨驱动有二，其一是新作单产前景的变数，其二是旧作被动补库存，因当前下游需求企业如饲料养殖企业与华北深加工企业原料库存偏低，而产销区倒挂大概率带动渠道库存去化。在这种情况下，观点由前期中性转为谨慎看多，接下来继续特别留意新作小麦上市压力。</w:t>
      </w:r>
    </w:p>
    <w:p w:rsidR="003F56A5" w:rsidRDefault="00DF1796" w:rsidP="00DF1796">
      <w:pPr>
        <w:pStyle w:val="paragraph"/>
        <w:spacing w:before="60" w:beforeAutospacing="0" w:after="60" w:afterAutospacing="0"/>
        <w:ind w:leftChars="300" w:left="630"/>
        <w:rPr>
          <w:rFonts w:ascii="楷体" w:eastAsia="楷体" w:hAnsi="楷体"/>
        </w:rPr>
      </w:pPr>
      <w:r w:rsidRPr="00DF1796">
        <w:rPr>
          <w:rFonts w:ascii="楷体" w:eastAsia="楷体" w:hAnsi="楷体" w:hint="eastAsia"/>
        </w:rPr>
        <w:t>对于淀粉而言，近月合约到期之后，换月原因导致基差走强，这表明前期远月下跌更多源于成本端的拖累，这意味着成本端即玉米期价止跌后，淀粉大概率转向产区定价。当然，玉米原料端亦可能存在从销区转向产区定价的可能性，但在我们看来，由于行业供需和基差支撑因素，淀粉-玉米价差更可能先行走扩。在这种情况下，我们建议持有前期价差走扩套利</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6" w:name="_Toc135731713"/>
      <w:r>
        <w:rPr>
          <w:rFonts w:ascii="楷体" w:eastAsia="楷体" w:hAnsi="楷体" w:hint="eastAsia"/>
          <w:b/>
          <w:bCs/>
          <w:color w:val="000000" w:themeColor="text1"/>
        </w:rPr>
        <w:t>畜禽养殖：</w:t>
      </w:r>
      <w:r w:rsidR="00DF1796" w:rsidRPr="00DF1796">
        <w:rPr>
          <w:rFonts w:ascii="楷体" w:eastAsia="楷体" w:hAnsi="楷体" w:hint="eastAsia"/>
          <w:b/>
          <w:bCs/>
          <w:color w:val="000000" w:themeColor="text1"/>
        </w:rPr>
        <w:t>期价多创出新低</w:t>
      </w:r>
      <w:bookmarkEnd w:id="46"/>
    </w:p>
    <w:p w:rsidR="00DF1796" w:rsidRPr="00DF1796" w:rsidRDefault="00DF1796" w:rsidP="00DF1796">
      <w:pPr>
        <w:pStyle w:val="paragraph"/>
        <w:spacing w:before="60" w:after="60"/>
        <w:ind w:leftChars="300" w:left="630"/>
        <w:rPr>
          <w:rFonts w:ascii="楷体" w:eastAsia="楷体" w:hAnsi="楷体" w:hint="eastAsia"/>
        </w:rPr>
      </w:pPr>
      <w:r w:rsidRPr="00DF1796">
        <w:rPr>
          <w:rFonts w:ascii="楷体" w:eastAsia="楷体" w:hAnsi="楷体" w:hint="eastAsia"/>
        </w:rPr>
        <w:t>对于生猪而言，3月以来现货表现不及我们之前预期，问题出在供应量，除了节后非瘟疫情对供应的阶段性影响之外，还集中在两个方面，其一是春节前堆积的供应量，其二是节前仔猪带来的生猪出栏量。近期猪价延续低位震荡，期价持续下跌来修复基差，期价升水持续下降，表明市场预期趋于弱化。但考虑到春节后生猪供应持续去化，4月中生猪现货价格有二次探底迹象，至少表明下方空间受限，且有迹象表明需求有所改善，再加上春节前后疫情和养殖利润状况或影响接下来的供应。在这种情况下，我们倾向于认为生猪供应压力释放或临近尾声，后期或逐步震荡回升。在这种情况下，我们倾向于认为生猪供应压力释放或临近尾声，后期或逐步震荡回升，维持谨慎看多观点。</w:t>
      </w:r>
    </w:p>
    <w:p w:rsidR="003F56A5" w:rsidRDefault="00DF1796" w:rsidP="00DF1796">
      <w:pPr>
        <w:pStyle w:val="paragraph"/>
        <w:spacing w:before="60" w:beforeAutospacing="0" w:after="60" w:afterAutospacing="0"/>
        <w:ind w:leftChars="300" w:left="630"/>
        <w:rPr>
          <w:rFonts w:ascii="楷体" w:eastAsia="楷体" w:hAnsi="楷体"/>
        </w:rPr>
      </w:pPr>
      <w:r w:rsidRPr="00DF1796">
        <w:rPr>
          <w:rFonts w:ascii="楷体" w:eastAsia="楷体" w:hAnsi="楷体" w:hint="eastAsia"/>
        </w:rPr>
        <w:t>对于鸡蛋而言，目前的尴尬之处在于，春节以来的现货表现符合预期，但市场转而反映远期供需改善的预期，这体现在远月合约的持续弱势上。这一预期存在一定的合理性，即养殖利润改善带动养殖户延迟淘汰，叠加补栏积极性上升，鸡苗价格上涨和2-3月鸡苗销量环比大幅增长，使得市场预计接下来供应趋于增加，现货高价难以持续。在整个市场强现实弱预期的大背景下，考虑到之前近月合约基差处于历史同期高位，仍未能带动期价上涨来实现基差修复，远月悲观预期目前更难以证伪，接下来建议重点关注养殖户蛋鸡补栏和淘汰情况。持中性观点，等待旺季合约跌至成本线，具备一定安全边际再行入场，在此之前，建议投资者观望为宜</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7" w:name="_Toc135731714"/>
      <w:r>
        <w:rPr>
          <w:rFonts w:ascii="楷体" w:eastAsia="楷体" w:hAnsi="楷体" w:hint="eastAsia"/>
          <w:b/>
          <w:sz w:val="24"/>
          <w:szCs w:val="24"/>
        </w:rPr>
        <w:t>郑棉：</w:t>
      </w:r>
      <w:r w:rsidR="00DF1796" w:rsidRPr="00DF1796">
        <w:rPr>
          <w:rFonts w:ascii="楷体" w:eastAsia="楷体" w:hAnsi="楷体" w:hint="eastAsia"/>
          <w:b/>
          <w:sz w:val="24"/>
          <w:szCs w:val="24"/>
        </w:rPr>
        <w:t>预计09合约偏弱震荡，观望</w:t>
      </w:r>
      <w:bookmarkEnd w:id="47"/>
    </w:p>
    <w:p w:rsidR="003F56A5" w:rsidRDefault="00DF1796" w:rsidP="007B3290">
      <w:pPr>
        <w:ind w:leftChars="300" w:left="630"/>
        <w:rPr>
          <w:rFonts w:ascii="楷体" w:eastAsia="楷体" w:hAnsi="楷体"/>
          <w:sz w:val="24"/>
          <w:szCs w:val="24"/>
        </w:rPr>
      </w:pPr>
      <w:r w:rsidRPr="00DF1796">
        <w:rPr>
          <w:rFonts w:ascii="楷体" w:eastAsia="楷体" w:hAnsi="楷体" w:hint="eastAsia"/>
          <w:sz w:val="24"/>
          <w:szCs w:val="24"/>
        </w:rPr>
        <w:t>在资金和情绪推动下，郑棉继续走高，盘中最高升至16340元/吨。价格冲高回落，上方阻力仍存。虽然种植面积或有较意向进一步减少可能，但根据新疆气象台报道，5月下旬的种植天气较为有利。近期新疆有多只调研团队，建议密切关注各方调研报告结果。 美国国债违约危机发酵，市场忧虑下商品普跌。当前郑棉已升至历史价格相对偏高水平，和其他商品普跌</w:t>
      </w:r>
      <w:r w:rsidRPr="00DF1796">
        <w:rPr>
          <w:rFonts w:ascii="楷体" w:eastAsia="楷体" w:hAnsi="楷体" w:hint="eastAsia"/>
          <w:sz w:val="24"/>
          <w:szCs w:val="24"/>
        </w:rPr>
        <w:lastRenderedPageBreak/>
        <w:t>的走势比起来相对估值也已被修复。下游对高价原料十分谨慎，随用随采。各方因素暂不支持郑棉继续大涨，建议谨慎观望，不宜追多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8" w:name="_Toc71212556"/>
      <w:bookmarkStart w:id="49" w:name="_Toc19667"/>
      <w:bookmarkStart w:id="50" w:name="_Toc98426751"/>
      <w:bookmarkStart w:id="51" w:name="_Toc12779"/>
      <w:bookmarkStart w:id="52" w:name="_Toc72481108"/>
      <w:r>
        <w:rPr>
          <w:rFonts w:ascii="Times New Roman" w:eastAsia="楷体" w:hAnsi="Times New Roman"/>
          <w:b/>
          <w:color w:val="411D05"/>
          <w:sz w:val="30"/>
          <w:szCs w:val="30"/>
        </w:rPr>
        <w:lastRenderedPageBreak/>
        <w:t>免责声明</w:t>
      </w:r>
      <w:bookmarkEnd w:id="48"/>
      <w:bookmarkEnd w:id="49"/>
      <w:bookmarkEnd w:id="50"/>
      <w:bookmarkEnd w:id="51"/>
      <w:bookmarkEnd w:id="52"/>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CCD" w:rsidRDefault="00EA0CCD">
      <w:r>
        <w:separator/>
      </w:r>
    </w:p>
  </w:endnote>
  <w:endnote w:type="continuationSeparator" w:id="0">
    <w:p w:rsidR="00EA0CCD" w:rsidRDefault="00EA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5947E134" wp14:editId="35975CDC">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606E2B">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606E2B">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CCD" w:rsidRDefault="00EA0CCD">
      <w:r>
        <w:separator/>
      </w:r>
    </w:p>
  </w:footnote>
  <w:footnote w:type="continuationSeparator" w:id="0">
    <w:p w:rsidR="00EA0CCD" w:rsidRDefault="00EA0C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62C80745" wp14:editId="2ECBBE14">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0AD23D04" wp14:editId="3E7B74CE">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DF1796">
      <w:rPr>
        <w:rFonts w:ascii="Times New Roman" w:eastAsia="楷体" w:hAnsi="Times New Roman" w:hint="eastAsia"/>
        <w:b/>
        <w:bCs/>
        <w:noProof/>
        <w:color w:val="833C0B"/>
        <w:sz w:val="21"/>
      </w:rPr>
      <w:t>2023</w:t>
    </w:r>
    <w:r w:rsidR="00DF1796">
      <w:rPr>
        <w:rFonts w:ascii="Times New Roman" w:eastAsia="楷体" w:hAnsi="Times New Roman" w:hint="eastAsia"/>
        <w:b/>
        <w:bCs/>
        <w:noProof/>
        <w:color w:val="833C0B"/>
        <w:sz w:val="21"/>
      </w:rPr>
      <w:t>年</w:t>
    </w:r>
    <w:r w:rsidR="00DF1796">
      <w:rPr>
        <w:rFonts w:ascii="Times New Roman" w:eastAsia="楷体" w:hAnsi="Times New Roman" w:hint="eastAsia"/>
        <w:b/>
        <w:bCs/>
        <w:noProof/>
        <w:color w:val="833C0B"/>
        <w:sz w:val="21"/>
      </w:rPr>
      <w:t>5</w:t>
    </w:r>
    <w:r w:rsidR="00DF1796">
      <w:rPr>
        <w:rFonts w:ascii="Times New Roman" w:eastAsia="楷体" w:hAnsi="Times New Roman" w:hint="eastAsia"/>
        <w:b/>
        <w:bCs/>
        <w:noProof/>
        <w:color w:val="833C0B"/>
        <w:sz w:val="21"/>
      </w:rPr>
      <w:t>月</w:t>
    </w:r>
    <w:r w:rsidR="00DF1796">
      <w:rPr>
        <w:rFonts w:ascii="Times New Roman" w:eastAsia="楷体" w:hAnsi="Times New Roman" w:hint="eastAsia"/>
        <w:b/>
        <w:bCs/>
        <w:noProof/>
        <w:color w:val="833C0B"/>
        <w:sz w:val="21"/>
      </w:rPr>
      <w:t>23</w:t>
    </w:r>
    <w:r w:rsidR="00DF1796">
      <w:rPr>
        <w:rFonts w:ascii="Times New Roman" w:eastAsia="楷体" w:hAnsi="Times New Roman" w:hint="eastAsia"/>
        <w:b/>
        <w:bCs/>
        <w:noProof/>
        <w:color w:val="833C0B"/>
        <w:sz w:val="21"/>
      </w:rPr>
      <w:t>日星期二</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2EAA"/>
    <w:rsid w:val="00076420"/>
    <w:rsid w:val="000820C6"/>
    <w:rsid w:val="00096258"/>
    <w:rsid w:val="000A413E"/>
    <w:rsid w:val="000B0648"/>
    <w:rsid w:val="000B4E70"/>
    <w:rsid w:val="000D36DC"/>
    <w:rsid w:val="000D42E2"/>
    <w:rsid w:val="000D7CF0"/>
    <w:rsid w:val="000E03FC"/>
    <w:rsid w:val="000E0C15"/>
    <w:rsid w:val="000E4EEB"/>
    <w:rsid w:val="00117470"/>
    <w:rsid w:val="00120B1F"/>
    <w:rsid w:val="00147668"/>
    <w:rsid w:val="00147B03"/>
    <w:rsid w:val="0015047B"/>
    <w:rsid w:val="001801C4"/>
    <w:rsid w:val="001942CB"/>
    <w:rsid w:val="001A3E49"/>
    <w:rsid w:val="001B179D"/>
    <w:rsid w:val="001B1904"/>
    <w:rsid w:val="001B25C9"/>
    <w:rsid w:val="001B2D4C"/>
    <w:rsid w:val="001B6043"/>
    <w:rsid w:val="001B6394"/>
    <w:rsid w:val="001C2E87"/>
    <w:rsid w:val="001C77D0"/>
    <w:rsid w:val="001D1F0A"/>
    <w:rsid w:val="001D40EA"/>
    <w:rsid w:val="001D4474"/>
    <w:rsid w:val="001F5438"/>
    <w:rsid w:val="002074A1"/>
    <w:rsid w:val="00216C1E"/>
    <w:rsid w:val="00226406"/>
    <w:rsid w:val="00235529"/>
    <w:rsid w:val="00244CA3"/>
    <w:rsid w:val="0025590B"/>
    <w:rsid w:val="00282262"/>
    <w:rsid w:val="00285297"/>
    <w:rsid w:val="00291461"/>
    <w:rsid w:val="002951EB"/>
    <w:rsid w:val="002A0670"/>
    <w:rsid w:val="002A6C89"/>
    <w:rsid w:val="002B2257"/>
    <w:rsid w:val="002B32AE"/>
    <w:rsid w:val="002F075C"/>
    <w:rsid w:val="002F545E"/>
    <w:rsid w:val="002F6AD1"/>
    <w:rsid w:val="002F781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C54F5"/>
    <w:rsid w:val="003C5F91"/>
    <w:rsid w:val="003D3A9E"/>
    <w:rsid w:val="003F2424"/>
    <w:rsid w:val="003F56A5"/>
    <w:rsid w:val="004201F5"/>
    <w:rsid w:val="004230AC"/>
    <w:rsid w:val="00426AB5"/>
    <w:rsid w:val="00433C64"/>
    <w:rsid w:val="00440FBE"/>
    <w:rsid w:val="004427D1"/>
    <w:rsid w:val="004567BD"/>
    <w:rsid w:val="00461147"/>
    <w:rsid w:val="00485A3F"/>
    <w:rsid w:val="00487F77"/>
    <w:rsid w:val="004977A9"/>
    <w:rsid w:val="004A3F85"/>
    <w:rsid w:val="004A65B5"/>
    <w:rsid w:val="004C11A7"/>
    <w:rsid w:val="004C5F3F"/>
    <w:rsid w:val="004E58A5"/>
    <w:rsid w:val="004E6093"/>
    <w:rsid w:val="005145ED"/>
    <w:rsid w:val="00533D1C"/>
    <w:rsid w:val="00535DC9"/>
    <w:rsid w:val="00540298"/>
    <w:rsid w:val="00541F3F"/>
    <w:rsid w:val="00547DD7"/>
    <w:rsid w:val="005523A5"/>
    <w:rsid w:val="00553DEC"/>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606E2B"/>
    <w:rsid w:val="00610C41"/>
    <w:rsid w:val="0061390B"/>
    <w:rsid w:val="00615F78"/>
    <w:rsid w:val="00637F19"/>
    <w:rsid w:val="00641752"/>
    <w:rsid w:val="0065454E"/>
    <w:rsid w:val="00657B01"/>
    <w:rsid w:val="00661BB3"/>
    <w:rsid w:val="00666DE4"/>
    <w:rsid w:val="006911F3"/>
    <w:rsid w:val="006A135D"/>
    <w:rsid w:val="006A5214"/>
    <w:rsid w:val="006A7A79"/>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B3290"/>
    <w:rsid w:val="007D29EC"/>
    <w:rsid w:val="007D4BBD"/>
    <w:rsid w:val="007F09BE"/>
    <w:rsid w:val="007F1327"/>
    <w:rsid w:val="007F140C"/>
    <w:rsid w:val="007F186E"/>
    <w:rsid w:val="0080612D"/>
    <w:rsid w:val="00806354"/>
    <w:rsid w:val="0080692E"/>
    <w:rsid w:val="00806F4A"/>
    <w:rsid w:val="00815011"/>
    <w:rsid w:val="00815817"/>
    <w:rsid w:val="00820D28"/>
    <w:rsid w:val="00822591"/>
    <w:rsid w:val="0083605E"/>
    <w:rsid w:val="00840F4E"/>
    <w:rsid w:val="00856132"/>
    <w:rsid w:val="008649BB"/>
    <w:rsid w:val="00867CA5"/>
    <w:rsid w:val="00873ECE"/>
    <w:rsid w:val="008740D4"/>
    <w:rsid w:val="0087785E"/>
    <w:rsid w:val="00892203"/>
    <w:rsid w:val="0089393F"/>
    <w:rsid w:val="008A0893"/>
    <w:rsid w:val="008A11C6"/>
    <w:rsid w:val="008A1D22"/>
    <w:rsid w:val="008B13D2"/>
    <w:rsid w:val="008B361D"/>
    <w:rsid w:val="008C1554"/>
    <w:rsid w:val="008C3F42"/>
    <w:rsid w:val="008E2B15"/>
    <w:rsid w:val="008E33F3"/>
    <w:rsid w:val="008E3B84"/>
    <w:rsid w:val="008F229B"/>
    <w:rsid w:val="008F2A6E"/>
    <w:rsid w:val="00906E0C"/>
    <w:rsid w:val="00907943"/>
    <w:rsid w:val="00916E97"/>
    <w:rsid w:val="00920372"/>
    <w:rsid w:val="009316EC"/>
    <w:rsid w:val="009317CD"/>
    <w:rsid w:val="00934728"/>
    <w:rsid w:val="009644D9"/>
    <w:rsid w:val="0097131C"/>
    <w:rsid w:val="009870E4"/>
    <w:rsid w:val="009A12FA"/>
    <w:rsid w:val="009A564D"/>
    <w:rsid w:val="009B3801"/>
    <w:rsid w:val="009B534D"/>
    <w:rsid w:val="009B591A"/>
    <w:rsid w:val="009C3E56"/>
    <w:rsid w:val="009C483C"/>
    <w:rsid w:val="009D2477"/>
    <w:rsid w:val="009D4A74"/>
    <w:rsid w:val="009D5253"/>
    <w:rsid w:val="009D5D79"/>
    <w:rsid w:val="009D64FE"/>
    <w:rsid w:val="009E0994"/>
    <w:rsid w:val="009E4452"/>
    <w:rsid w:val="009E7578"/>
    <w:rsid w:val="009F5C7B"/>
    <w:rsid w:val="00A031CE"/>
    <w:rsid w:val="00A11A0D"/>
    <w:rsid w:val="00A22080"/>
    <w:rsid w:val="00A42079"/>
    <w:rsid w:val="00A63022"/>
    <w:rsid w:val="00A71A7E"/>
    <w:rsid w:val="00A776D7"/>
    <w:rsid w:val="00A96E37"/>
    <w:rsid w:val="00A97444"/>
    <w:rsid w:val="00AA29E5"/>
    <w:rsid w:val="00AB0678"/>
    <w:rsid w:val="00AC00CF"/>
    <w:rsid w:val="00AC52CB"/>
    <w:rsid w:val="00AC7794"/>
    <w:rsid w:val="00AC7ECD"/>
    <w:rsid w:val="00AD009F"/>
    <w:rsid w:val="00AF5EA0"/>
    <w:rsid w:val="00B072C0"/>
    <w:rsid w:val="00B10135"/>
    <w:rsid w:val="00B118A2"/>
    <w:rsid w:val="00B133D0"/>
    <w:rsid w:val="00B15418"/>
    <w:rsid w:val="00B17165"/>
    <w:rsid w:val="00B1737C"/>
    <w:rsid w:val="00B1758C"/>
    <w:rsid w:val="00B17639"/>
    <w:rsid w:val="00B443CE"/>
    <w:rsid w:val="00B4555A"/>
    <w:rsid w:val="00B53C56"/>
    <w:rsid w:val="00B60464"/>
    <w:rsid w:val="00B606EF"/>
    <w:rsid w:val="00B618F8"/>
    <w:rsid w:val="00B72E2D"/>
    <w:rsid w:val="00B805BD"/>
    <w:rsid w:val="00B91D3D"/>
    <w:rsid w:val="00BA4663"/>
    <w:rsid w:val="00BA696B"/>
    <w:rsid w:val="00BC5F45"/>
    <w:rsid w:val="00BC71D6"/>
    <w:rsid w:val="00BD4C85"/>
    <w:rsid w:val="00BE456E"/>
    <w:rsid w:val="00BF3137"/>
    <w:rsid w:val="00C02ECE"/>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93E36"/>
    <w:rsid w:val="00CB0962"/>
    <w:rsid w:val="00CB1AC3"/>
    <w:rsid w:val="00CB1F18"/>
    <w:rsid w:val="00CB2FD2"/>
    <w:rsid w:val="00CB3015"/>
    <w:rsid w:val="00CC03C4"/>
    <w:rsid w:val="00CC3E40"/>
    <w:rsid w:val="00CC3FFA"/>
    <w:rsid w:val="00CD5884"/>
    <w:rsid w:val="00CD5DE8"/>
    <w:rsid w:val="00CD70A0"/>
    <w:rsid w:val="00CE7903"/>
    <w:rsid w:val="00CF6C71"/>
    <w:rsid w:val="00CF7A9A"/>
    <w:rsid w:val="00D00D60"/>
    <w:rsid w:val="00D017E5"/>
    <w:rsid w:val="00D01A19"/>
    <w:rsid w:val="00D04FF1"/>
    <w:rsid w:val="00D1582A"/>
    <w:rsid w:val="00D309C4"/>
    <w:rsid w:val="00D45E53"/>
    <w:rsid w:val="00D47039"/>
    <w:rsid w:val="00D55EAF"/>
    <w:rsid w:val="00D63655"/>
    <w:rsid w:val="00D75630"/>
    <w:rsid w:val="00D842AA"/>
    <w:rsid w:val="00D86D76"/>
    <w:rsid w:val="00D87130"/>
    <w:rsid w:val="00D93E0B"/>
    <w:rsid w:val="00DA7546"/>
    <w:rsid w:val="00DE02C4"/>
    <w:rsid w:val="00DF1796"/>
    <w:rsid w:val="00DF270D"/>
    <w:rsid w:val="00DF3B28"/>
    <w:rsid w:val="00DF56EC"/>
    <w:rsid w:val="00E020F2"/>
    <w:rsid w:val="00E12059"/>
    <w:rsid w:val="00E25D21"/>
    <w:rsid w:val="00E31716"/>
    <w:rsid w:val="00E34551"/>
    <w:rsid w:val="00E34EAB"/>
    <w:rsid w:val="00E373B2"/>
    <w:rsid w:val="00E40036"/>
    <w:rsid w:val="00E45000"/>
    <w:rsid w:val="00E451FD"/>
    <w:rsid w:val="00E556EC"/>
    <w:rsid w:val="00E55B22"/>
    <w:rsid w:val="00E60D44"/>
    <w:rsid w:val="00E64502"/>
    <w:rsid w:val="00E771D2"/>
    <w:rsid w:val="00E80EDB"/>
    <w:rsid w:val="00E84794"/>
    <w:rsid w:val="00E847DF"/>
    <w:rsid w:val="00E90013"/>
    <w:rsid w:val="00E928BB"/>
    <w:rsid w:val="00EA0CCD"/>
    <w:rsid w:val="00EA28CA"/>
    <w:rsid w:val="00EB56F2"/>
    <w:rsid w:val="00EC2B12"/>
    <w:rsid w:val="00ED06A6"/>
    <w:rsid w:val="00ED451D"/>
    <w:rsid w:val="00ED7C55"/>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E8149D-3EB2-43F1-B3B9-553009C3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2229</TotalTime>
  <Pages>10</Pages>
  <Words>1554</Words>
  <Characters>8863</Characters>
  <Application>Microsoft Office Word</Application>
  <DocSecurity>0</DocSecurity>
  <Lines>73</Lines>
  <Paragraphs>20</Paragraphs>
  <ScaleCrop>false</ScaleCrop>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116</cp:revision>
  <cp:lastPrinted>2023-04-20T02:18:00Z</cp:lastPrinted>
  <dcterms:created xsi:type="dcterms:W3CDTF">2022-11-15T10:06:00Z</dcterms:created>
  <dcterms:modified xsi:type="dcterms:W3CDTF">2023-05-23T02:54:00Z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