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AC779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AC7794" w:rsidRPr="009F6E30">
            <w:rPr>
              <w:rStyle w:val="a7"/>
              <w:noProof/>
            </w:rPr>
            <w:fldChar w:fldCharType="begin"/>
          </w:r>
          <w:r w:rsidR="00AC7794" w:rsidRPr="009F6E30">
            <w:rPr>
              <w:rStyle w:val="a7"/>
              <w:noProof/>
            </w:rPr>
            <w:instrText xml:space="preserve"> </w:instrText>
          </w:r>
          <w:r w:rsidR="00AC7794">
            <w:rPr>
              <w:noProof/>
            </w:rPr>
            <w:instrText>HYPERLINK \l "_Toc134432479"</w:instrText>
          </w:r>
          <w:r w:rsidR="00AC7794" w:rsidRPr="009F6E30">
            <w:rPr>
              <w:rStyle w:val="a7"/>
              <w:noProof/>
            </w:rPr>
            <w:instrText xml:space="preserve"> </w:instrText>
          </w:r>
          <w:r w:rsidR="00AC7794" w:rsidRPr="009F6E30">
            <w:rPr>
              <w:rStyle w:val="a7"/>
              <w:noProof/>
            </w:rPr>
          </w:r>
          <w:r w:rsidR="00AC7794" w:rsidRPr="009F6E30">
            <w:rPr>
              <w:rStyle w:val="a7"/>
              <w:noProof/>
            </w:rPr>
            <w:fldChar w:fldCharType="separate"/>
          </w:r>
          <w:r w:rsidR="00AC7794" w:rsidRPr="009F6E30">
            <w:rPr>
              <w:rStyle w:val="a7"/>
              <w:rFonts w:ascii="Times New Roman" w:eastAsia="楷体" w:hAnsi="Times New Roman"/>
              <w:b/>
              <w:noProof/>
            </w:rPr>
            <w:t>[</w:t>
          </w:r>
          <w:r w:rsidR="00AC7794" w:rsidRPr="009F6E30">
            <w:rPr>
              <w:rStyle w:val="a7"/>
              <w:rFonts w:ascii="Times New Roman" w:eastAsia="楷体" w:hAnsi="Times New Roman"/>
              <w:b/>
              <w:noProof/>
            </w:rPr>
            <w:t>金融</w:t>
          </w:r>
          <w:r w:rsidR="00AC7794" w:rsidRPr="009F6E30">
            <w:rPr>
              <w:rStyle w:val="a7"/>
              <w:rFonts w:ascii="Times New Roman" w:eastAsia="楷体" w:hAnsi="Times New Roman"/>
              <w:b/>
              <w:noProof/>
            </w:rPr>
            <w:t>]</w:t>
          </w:r>
          <w:r w:rsidR="00AC7794" w:rsidRPr="009F6E30">
            <w:rPr>
              <w:rStyle w:val="a7"/>
              <w:noProof/>
            </w:rPr>
            <w:fldChar w:fldCharType="end"/>
          </w:r>
        </w:p>
        <w:p w:rsidR="00AC7794" w:rsidRDefault="00AC7794">
          <w:pPr>
            <w:pStyle w:val="2"/>
            <w:tabs>
              <w:tab w:val="right" w:leader="dot" w:pos="8296"/>
            </w:tabs>
            <w:rPr>
              <w:rFonts w:eastAsiaTheme="minorEastAsia"/>
              <w:noProof/>
              <w:szCs w:val="22"/>
            </w:rPr>
          </w:pPr>
          <w:hyperlink w:anchor="_Toc134432480" w:history="1">
            <w:r w:rsidRPr="009F6E30">
              <w:rPr>
                <w:rStyle w:val="a7"/>
                <w:rFonts w:ascii="Times New Roman" w:eastAsia="楷体" w:hAnsi="Times New Roman"/>
                <w:b/>
                <w:noProof/>
              </w:rPr>
              <w:t>股指：关注指数低多机会</w:t>
            </w:r>
          </w:hyperlink>
        </w:p>
        <w:p w:rsidR="00AC7794" w:rsidRDefault="00AC7794">
          <w:pPr>
            <w:pStyle w:val="11"/>
            <w:tabs>
              <w:tab w:val="right" w:leader="dot" w:pos="8296"/>
            </w:tabs>
            <w:rPr>
              <w:rFonts w:eastAsiaTheme="minorEastAsia"/>
              <w:noProof/>
              <w:szCs w:val="22"/>
            </w:rPr>
          </w:pPr>
          <w:hyperlink w:anchor="_Toc134432481" w:history="1">
            <w:r w:rsidRPr="009F6E30">
              <w:rPr>
                <w:rStyle w:val="a7"/>
                <w:rFonts w:ascii="Times New Roman" w:eastAsia="楷体" w:hAnsi="Times New Roman"/>
                <w:b/>
                <w:noProof/>
              </w:rPr>
              <w:t>[</w:t>
            </w:r>
            <w:r w:rsidRPr="009F6E30">
              <w:rPr>
                <w:rStyle w:val="a7"/>
                <w:rFonts w:ascii="Times New Roman" w:eastAsia="楷体" w:hAnsi="Times New Roman"/>
                <w:b/>
                <w:noProof/>
              </w:rPr>
              <w:t>贵金属</w:t>
            </w:r>
            <w:r w:rsidRPr="009F6E30">
              <w:rPr>
                <w:rStyle w:val="a7"/>
                <w:rFonts w:ascii="Times New Roman" w:eastAsia="楷体" w:hAnsi="Times New Roman"/>
                <w:b/>
                <w:noProof/>
              </w:rPr>
              <w:t>]</w:t>
            </w:r>
          </w:hyperlink>
        </w:p>
        <w:p w:rsidR="00AC7794" w:rsidRDefault="00AC7794">
          <w:pPr>
            <w:pStyle w:val="2"/>
            <w:tabs>
              <w:tab w:val="right" w:leader="dot" w:pos="8296"/>
            </w:tabs>
            <w:rPr>
              <w:rFonts w:eastAsiaTheme="minorEastAsia"/>
              <w:noProof/>
              <w:szCs w:val="22"/>
            </w:rPr>
          </w:pPr>
          <w:hyperlink w:anchor="_Toc134432482" w:history="1">
            <w:r w:rsidRPr="009F6E30">
              <w:rPr>
                <w:rStyle w:val="a7"/>
                <w:rFonts w:ascii="Times New Roman" w:eastAsia="楷体" w:hAnsi="Times New Roman"/>
                <w:b/>
                <w:noProof/>
              </w:rPr>
              <w:t>贵金属：美国非农就业超预期，贵金属价格高位小幅回落</w:t>
            </w:r>
          </w:hyperlink>
        </w:p>
        <w:p w:rsidR="00AC7794" w:rsidRDefault="00AC7794">
          <w:pPr>
            <w:pStyle w:val="11"/>
            <w:tabs>
              <w:tab w:val="right" w:leader="dot" w:pos="8296"/>
            </w:tabs>
            <w:rPr>
              <w:rFonts w:eastAsiaTheme="minorEastAsia"/>
              <w:noProof/>
              <w:szCs w:val="22"/>
            </w:rPr>
          </w:pPr>
          <w:hyperlink w:anchor="_Toc134432483" w:history="1">
            <w:r w:rsidRPr="009F6E30">
              <w:rPr>
                <w:rStyle w:val="a7"/>
                <w:rFonts w:ascii="Times New Roman" w:eastAsia="楷体" w:hAnsi="Times New Roman"/>
                <w:b/>
                <w:noProof/>
              </w:rPr>
              <w:t>[</w:t>
            </w:r>
            <w:r w:rsidRPr="009F6E30">
              <w:rPr>
                <w:rStyle w:val="a7"/>
                <w:rFonts w:ascii="Times New Roman" w:eastAsia="楷体" w:hAnsi="Times New Roman"/>
                <w:b/>
                <w:noProof/>
              </w:rPr>
              <w:t>金属</w:t>
            </w:r>
            <w:r w:rsidRPr="009F6E30">
              <w:rPr>
                <w:rStyle w:val="a7"/>
                <w:rFonts w:ascii="Times New Roman" w:eastAsia="楷体" w:hAnsi="Times New Roman"/>
                <w:b/>
                <w:noProof/>
              </w:rPr>
              <w:t>]</w:t>
            </w:r>
          </w:hyperlink>
        </w:p>
        <w:p w:rsidR="00AC7794" w:rsidRDefault="00AC7794">
          <w:pPr>
            <w:pStyle w:val="2"/>
            <w:tabs>
              <w:tab w:val="right" w:leader="dot" w:pos="8296"/>
            </w:tabs>
            <w:rPr>
              <w:rFonts w:eastAsiaTheme="minorEastAsia"/>
              <w:noProof/>
              <w:szCs w:val="22"/>
            </w:rPr>
          </w:pPr>
          <w:hyperlink w:anchor="_Toc134432484" w:history="1">
            <w:r w:rsidRPr="009F6E30">
              <w:rPr>
                <w:rStyle w:val="a7"/>
                <w:rFonts w:ascii="楷体" w:eastAsia="楷体" w:hAnsi="楷体"/>
                <w:b/>
                <w:noProof/>
              </w:rPr>
              <w:t>螺纹钢：情绪好转驱动反弹，震荡运行</w:t>
            </w:r>
          </w:hyperlink>
        </w:p>
        <w:p w:rsidR="00AC7794" w:rsidRDefault="00AC7794">
          <w:pPr>
            <w:pStyle w:val="2"/>
            <w:tabs>
              <w:tab w:val="right" w:leader="dot" w:pos="8296"/>
            </w:tabs>
            <w:rPr>
              <w:rFonts w:eastAsiaTheme="minorEastAsia"/>
              <w:noProof/>
              <w:szCs w:val="22"/>
            </w:rPr>
          </w:pPr>
          <w:hyperlink w:anchor="_Toc134432485" w:history="1">
            <w:r w:rsidRPr="009F6E30">
              <w:rPr>
                <w:rStyle w:val="a7"/>
                <w:rFonts w:ascii="楷体" w:eastAsia="楷体" w:hAnsi="楷体"/>
                <w:b/>
                <w:noProof/>
              </w:rPr>
              <w:t>焦炭：补跌压力较大，短期情绪较好出现分歧</w:t>
            </w:r>
          </w:hyperlink>
        </w:p>
        <w:p w:rsidR="00AC7794" w:rsidRDefault="00AC7794">
          <w:pPr>
            <w:pStyle w:val="2"/>
            <w:tabs>
              <w:tab w:val="right" w:leader="dot" w:pos="8296"/>
            </w:tabs>
            <w:rPr>
              <w:rFonts w:eastAsiaTheme="minorEastAsia"/>
              <w:noProof/>
              <w:szCs w:val="22"/>
            </w:rPr>
          </w:pPr>
          <w:hyperlink w:anchor="_Toc134432486" w:history="1">
            <w:r w:rsidRPr="009F6E30">
              <w:rPr>
                <w:rStyle w:val="a7"/>
                <w:rFonts w:ascii="楷体" w:eastAsia="楷体" w:hAnsi="楷体"/>
                <w:b/>
                <w:noProof/>
              </w:rPr>
              <w:t>焦煤：现货仍承压，估值较低偏弱</w:t>
            </w:r>
          </w:hyperlink>
        </w:p>
        <w:p w:rsidR="00AC7794" w:rsidRDefault="00AC7794">
          <w:pPr>
            <w:pStyle w:val="2"/>
            <w:tabs>
              <w:tab w:val="right" w:leader="dot" w:pos="8296"/>
            </w:tabs>
            <w:rPr>
              <w:rFonts w:eastAsiaTheme="minorEastAsia"/>
              <w:noProof/>
              <w:szCs w:val="22"/>
            </w:rPr>
          </w:pPr>
          <w:hyperlink w:anchor="_Toc134432487" w:history="1">
            <w:r w:rsidRPr="009F6E30">
              <w:rPr>
                <w:rStyle w:val="a7"/>
                <w:rFonts w:ascii="楷体" w:eastAsia="楷体" w:hAnsi="楷体"/>
                <w:b/>
                <w:noProof/>
              </w:rPr>
              <w:t>铜：精废价差明显收窄，短期价格或震荡为主</w:t>
            </w:r>
          </w:hyperlink>
        </w:p>
        <w:p w:rsidR="00AC7794" w:rsidRDefault="00AC7794">
          <w:pPr>
            <w:pStyle w:val="2"/>
            <w:tabs>
              <w:tab w:val="right" w:leader="dot" w:pos="8296"/>
            </w:tabs>
            <w:rPr>
              <w:rFonts w:eastAsiaTheme="minorEastAsia"/>
              <w:noProof/>
              <w:szCs w:val="22"/>
            </w:rPr>
          </w:pPr>
          <w:hyperlink w:anchor="_Toc134432488" w:history="1">
            <w:r w:rsidRPr="009F6E30">
              <w:rPr>
                <w:rStyle w:val="a7"/>
                <w:rFonts w:ascii="楷体" w:eastAsia="楷体" w:hAnsi="楷体"/>
                <w:b/>
                <w:noProof/>
              </w:rPr>
              <w:t>铝：铝市利多逐步释放，价格有下行压力</w:t>
            </w:r>
          </w:hyperlink>
        </w:p>
        <w:p w:rsidR="00AC7794" w:rsidRDefault="00AC7794">
          <w:pPr>
            <w:pStyle w:val="2"/>
            <w:tabs>
              <w:tab w:val="right" w:leader="dot" w:pos="8296"/>
            </w:tabs>
            <w:rPr>
              <w:rFonts w:eastAsiaTheme="minorEastAsia"/>
              <w:noProof/>
              <w:szCs w:val="22"/>
            </w:rPr>
          </w:pPr>
          <w:hyperlink w:anchor="_Toc134432489" w:history="1">
            <w:r w:rsidRPr="009F6E30">
              <w:rPr>
                <w:rStyle w:val="a7"/>
                <w:rFonts w:ascii="楷体" w:eastAsia="楷体" w:hAnsi="楷体"/>
                <w:b/>
                <w:noProof/>
              </w:rPr>
              <w:t>锌：锌价超跌反弹，整体仍以偏空看待</w:t>
            </w:r>
          </w:hyperlink>
        </w:p>
        <w:p w:rsidR="00AC7794" w:rsidRDefault="00AC7794">
          <w:pPr>
            <w:pStyle w:val="2"/>
            <w:tabs>
              <w:tab w:val="right" w:leader="dot" w:pos="8296"/>
            </w:tabs>
            <w:rPr>
              <w:rFonts w:eastAsiaTheme="minorEastAsia"/>
              <w:noProof/>
              <w:szCs w:val="22"/>
            </w:rPr>
          </w:pPr>
          <w:hyperlink w:anchor="_Toc134432490" w:history="1">
            <w:r w:rsidRPr="009F6E30">
              <w:rPr>
                <w:rStyle w:val="a7"/>
                <w:rFonts w:ascii="楷体" w:eastAsia="楷体" w:hAnsi="楷体"/>
                <w:b/>
                <w:noProof/>
              </w:rPr>
              <w:t>镍：供应预期持续施压，逢高空思路不变</w:t>
            </w:r>
          </w:hyperlink>
        </w:p>
        <w:p w:rsidR="00AC7794" w:rsidRDefault="00AC7794">
          <w:pPr>
            <w:pStyle w:val="2"/>
            <w:tabs>
              <w:tab w:val="right" w:leader="dot" w:pos="8296"/>
            </w:tabs>
            <w:rPr>
              <w:rFonts w:eastAsiaTheme="minorEastAsia"/>
              <w:noProof/>
              <w:szCs w:val="22"/>
            </w:rPr>
          </w:pPr>
          <w:hyperlink w:anchor="_Toc134432491" w:history="1">
            <w:r w:rsidRPr="009F6E30">
              <w:rPr>
                <w:rStyle w:val="a7"/>
                <w:rFonts w:ascii="楷体" w:eastAsia="楷体" w:hAnsi="楷体"/>
                <w:b/>
                <w:noProof/>
              </w:rPr>
              <w:t>铅：淡季之下铅价震荡为主</w:t>
            </w:r>
          </w:hyperlink>
        </w:p>
        <w:p w:rsidR="00AC7794" w:rsidRDefault="00AC7794">
          <w:pPr>
            <w:pStyle w:val="2"/>
            <w:tabs>
              <w:tab w:val="right" w:leader="dot" w:pos="8296"/>
            </w:tabs>
            <w:rPr>
              <w:rFonts w:eastAsiaTheme="minorEastAsia"/>
              <w:noProof/>
              <w:szCs w:val="22"/>
            </w:rPr>
          </w:pPr>
          <w:hyperlink w:anchor="_Toc134432492" w:history="1">
            <w:r w:rsidRPr="009F6E30">
              <w:rPr>
                <w:rStyle w:val="a7"/>
                <w:rFonts w:ascii="楷体" w:eastAsia="楷体" w:hAnsi="楷体"/>
                <w:b/>
                <w:noProof/>
              </w:rPr>
              <w:t>不锈钢：反弹动能难以持续，短期震荡为主</w:t>
            </w:r>
          </w:hyperlink>
        </w:p>
        <w:p w:rsidR="00AC7794" w:rsidRDefault="00AC7794">
          <w:pPr>
            <w:pStyle w:val="2"/>
            <w:tabs>
              <w:tab w:val="right" w:leader="dot" w:pos="8296"/>
            </w:tabs>
            <w:rPr>
              <w:rFonts w:eastAsiaTheme="minorEastAsia"/>
              <w:noProof/>
              <w:szCs w:val="22"/>
            </w:rPr>
          </w:pPr>
          <w:hyperlink w:anchor="_Toc134432493" w:history="1">
            <w:r w:rsidRPr="009F6E30">
              <w:rPr>
                <w:rStyle w:val="a7"/>
                <w:rFonts w:ascii="楷体" w:eastAsia="楷体" w:hAnsi="楷体"/>
                <w:b/>
                <w:noProof/>
              </w:rPr>
              <w:t>工业硅：供应未见明显恢复，预计短期下行空间有限</w:t>
            </w:r>
          </w:hyperlink>
        </w:p>
        <w:p w:rsidR="00AC7794" w:rsidRDefault="00AC7794">
          <w:pPr>
            <w:pStyle w:val="11"/>
            <w:tabs>
              <w:tab w:val="right" w:leader="dot" w:pos="8296"/>
            </w:tabs>
            <w:rPr>
              <w:rFonts w:eastAsiaTheme="minorEastAsia"/>
              <w:noProof/>
              <w:szCs w:val="22"/>
            </w:rPr>
          </w:pPr>
          <w:hyperlink w:anchor="_Toc134432494" w:history="1">
            <w:r w:rsidRPr="009F6E30">
              <w:rPr>
                <w:rStyle w:val="a7"/>
                <w:rFonts w:ascii="Times New Roman" w:eastAsia="楷体" w:hAnsi="Times New Roman"/>
                <w:b/>
                <w:noProof/>
              </w:rPr>
              <w:t>[</w:t>
            </w:r>
            <w:r w:rsidRPr="009F6E30">
              <w:rPr>
                <w:rStyle w:val="a7"/>
                <w:rFonts w:ascii="Times New Roman" w:eastAsia="楷体" w:hAnsi="Times New Roman"/>
                <w:b/>
                <w:noProof/>
              </w:rPr>
              <w:t>化工</w:t>
            </w:r>
            <w:r w:rsidRPr="009F6E30">
              <w:rPr>
                <w:rStyle w:val="a7"/>
                <w:rFonts w:ascii="Times New Roman" w:eastAsia="楷体" w:hAnsi="Times New Roman"/>
                <w:b/>
                <w:noProof/>
              </w:rPr>
              <w:t>]</w:t>
            </w:r>
          </w:hyperlink>
        </w:p>
        <w:p w:rsidR="00AC7794" w:rsidRDefault="00AC7794">
          <w:pPr>
            <w:pStyle w:val="2"/>
            <w:tabs>
              <w:tab w:val="right" w:leader="dot" w:pos="8296"/>
            </w:tabs>
            <w:rPr>
              <w:rFonts w:eastAsiaTheme="minorEastAsia"/>
              <w:noProof/>
              <w:szCs w:val="22"/>
            </w:rPr>
          </w:pPr>
          <w:hyperlink w:anchor="_Toc134432495" w:history="1">
            <w:r w:rsidRPr="009F6E30">
              <w:rPr>
                <w:rStyle w:val="a7"/>
                <w:rFonts w:ascii="Times New Roman" w:eastAsia="楷体" w:hAnsi="Times New Roman"/>
                <w:b/>
                <w:noProof/>
              </w:rPr>
              <w:t>天然橡胶</w:t>
            </w:r>
            <w:r w:rsidRPr="009F6E30">
              <w:rPr>
                <w:rStyle w:val="a7"/>
                <w:rFonts w:ascii="Times New Roman" w:eastAsia="楷体" w:hAnsi="Times New Roman"/>
                <w:b/>
                <w:noProof/>
              </w:rPr>
              <w:t>:</w:t>
            </w:r>
            <w:r w:rsidRPr="009F6E30">
              <w:rPr>
                <w:rStyle w:val="a7"/>
                <w:rFonts w:ascii="楷体" w:eastAsia="楷体" w:hAnsi="楷体"/>
                <w:b/>
                <w:noProof/>
              </w:rPr>
              <w:t xml:space="preserve"> 节后港口库存累库严重 RU或窄幅整理为主</w:t>
            </w:r>
          </w:hyperlink>
        </w:p>
        <w:p w:rsidR="00AC7794" w:rsidRDefault="00AC7794">
          <w:pPr>
            <w:pStyle w:val="2"/>
            <w:tabs>
              <w:tab w:val="right" w:leader="dot" w:pos="8296"/>
            </w:tabs>
            <w:rPr>
              <w:rFonts w:eastAsiaTheme="minorEastAsia"/>
              <w:noProof/>
              <w:szCs w:val="22"/>
            </w:rPr>
          </w:pPr>
          <w:hyperlink w:anchor="_Toc134432496" w:history="1">
            <w:r w:rsidRPr="009F6E30">
              <w:rPr>
                <w:rStyle w:val="a7"/>
                <w:rFonts w:ascii="楷体" w:eastAsia="楷体" w:hAnsi="楷体"/>
                <w:b/>
                <w:noProof/>
              </w:rPr>
              <w:t>PTA：油价企稳反弹带动TA走强 关注低多机会</w:t>
            </w:r>
          </w:hyperlink>
        </w:p>
        <w:p w:rsidR="00AC7794" w:rsidRDefault="00AC7794">
          <w:pPr>
            <w:pStyle w:val="2"/>
            <w:tabs>
              <w:tab w:val="right" w:leader="dot" w:pos="8296"/>
            </w:tabs>
            <w:rPr>
              <w:rFonts w:eastAsiaTheme="minorEastAsia"/>
              <w:noProof/>
              <w:szCs w:val="22"/>
            </w:rPr>
          </w:pPr>
          <w:hyperlink w:anchor="_Toc134432497" w:history="1">
            <w:r w:rsidRPr="009F6E30">
              <w:rPr>
                <w:rStyle w:val="a7"/>
                <w:rFonts w:ascii="楷体" w:eastAsia="楷体" w:hAnsi="楷体"/>
                <w:b/>
                <w:noProof/>
              </w:rPr>
              <w:t>PVC：高库存+弱复苏 驱动不足</w:t>
            </w:r>
          </w:hyperlink>
        </w:p>
        <w:p w:rsidR="00AC7794" w:rsidRDefault="00AC7794">
          <w:pPr>
            <w:pStyle w:val="2"/>
            <w:tabs>
              <w:tab w:val="right" w:leader="dot" w:pos="8296"/>
            </w:tabs>
            <w:rPr>
              <w:rFonts w:eastAsiaTheme="minorEastAsia"/>
              <w:noProof/>
              <w:szCs w:val="22"/>
            </w:rPr>
          </w:pPr>
          <w:hyperlink w:anchor="_Toc134432498" w:history="1">
            <w:r w:rsidRPr="009F6E30">
              <w:rPr>
                <w:rStyle w:val="a7"/>
                <w:rFonts w:ascii="楷体" w:eastAsia="楷体" w:hAnsi="楷体"/>
                <w:b/>
                <w:noProof/>
              </w:rPr>
              <w:t>聚烯烃：原油给予成本端一定支撑，市场存触底反弹预期</w:t>
            </w:r>
          </w:hyperlink>
        </w:p>
        <w:p w:rsidR="00AC7794" w:rsidRDefault="00AC7794">
          <w:pPr>
            <w:pStyle w:val="2"/>
            <w:tabs>
              <w:tab w:val="right" w:leader="dot" w:pos="8296"/>
            </w:tabs>
            <w:rPr>
              <w:rFonts w:eastAsiaTheme="minorEastAsia"/>
              <w:noProof/>
              <w:szCs w:val="22"/>
            </w:rPr>
          </w:pPr>
          <w:hyperlink w:anchor="_Toc134432499" w:history="1">
            <w:r w:rsidRPr="009F6E30">
              <w:rPr>
                <w:rStyle w:val="a7"/>
                <w:rFonts w:ascii="楷体" w:eastAsia="楷体" w:hAnsi="楷体"/>
                <w:b/>
                <w:noProof/>
              </w:rPr>
              <w:t>MEG：装置检修增多驱动去库预期 09逢低可多配</w:t>
            </w:r>
          </w:hyperlink>
        </w:p>
        <w:p w:rsidR="00AC7794" w:rsidRDefault="00AC7794">
          <w:pPr>
            <w:pStyle w:val="2"/>
            <w:tabs>
              <w:tab w:val="right" w:leader="dot" w:pos="8296"/>
            </w:tabs>
            <w:rPr>
              <w:rFonts w:eastAsiaTheme="minorEastAsia"/>
              <w:noProof/>
              <w:szCs w:val="22"/>
            </w:rPr>
          </w:pPr>
          <w:hyperlink w:anchor="_Toc134432500" w:history="1">
            <w:r w:rsidRPr="009F6E30">
              <w:rPr>
                <w:rStyle w:val="a7"/>
                <w:rFonts w:ascii="楷体" w:eastAsia="楷体" w:hAnsi="楷体"/>
                <w:b/>
                <w:noProof/>
              </w:rPr>
              <w:t>玻璃：现货涨幅趋缓，期价反弹</w:t>
            </w:r>
          </w:hyperlink>
        </w:p>
        <w:p w:rsidR="00AC7794" w:rsidRDefault="00AC7794">
          <w:pPr>
            <w:pStyle w:val="2"/>
            <w:tabs>
              <w:tab w:val="right" w:leader="dot" w:pos="8296"/>
            </w:tabs>
            <w:rPr>
              <w:rFonts w:eastAsiaTheme="minorEastAsia"/>
              <w:noProof/>
              <w:szCs w:val="22"/>
            </w:rPr>
          </w:pPr>
          <w:hyperlink w:anchor="_Toc134432501" w:history="1">
            <w:r w:rsidRPr="009F6E30">
              <w:rPr>
                <w:rStyle w:val="a7"/>
                <w:rFonts w:ascii="楷体" w:eastAsia="楷体" w:hAnsi="楷体"/>
                <w:b/>
                <w:noProof/>
              </w:rPr>
              <w:t>纯碱：远月维稳，近月补跌</w:t>
            </w:r>
          </w:hyperlink>
        </w:p>
        <w:p w:rsidR="00AC7794" w:rsidRDefault="00AC7794">
          <w:pPr>
            <w:pStyle w:val="11"/>
            <w:tabs>
              <w:tab w:val="right" w:leader="dot" w:pos="8296"/>
            </w:tabs>
            <w:rPr>
              <w:rFonts w:eastAsiaTheme="minorEastAsia"/>
              <w:noProof/>
              <w:szCs w:val="22"/>
            </w:rPr>
          </w:pPr>
          <w:hyperlink w:anchor="_Toc134432502" w:history="1">
            <w:r w:rsidRPr="009F6E30">
              <w:rPr>
                <w:rStyle w:val="a7"/>
                <w:rFonts w:ascii="Times New Roman" w:eastAsia="楷体" w:hAnsi="Times New Roman"/>
                <w:b/>
                <w:noProof/>
              </w:rPr>
              <w:t>[</w:t>
            </w:r>
            <w:r w:rsidRPr="009F6E30">
              <w:rPr>
                <w:rStyle w:val="a7"/>
                <w:rFonts w:ascii="Times New Roman" w:eastAsia="楷体" w:hAnsi="Times New Roman"/>
                <w:b/>
                <w:noProof/>
              </w:rPr>
              <w:t>农产品</w:t>
            </w:r>
            <w:r w:rsidRPr="009F6E30">
              <w:rPr>
                <w:rStyle w:val="a7"/>
                <w:rFonts w:ascii="Times New Roman" w:eastAsia="楷体" w:hAnsi="Times New Roman"/>
                <w:b/>
                <w:noProof/>
              </w:rPr>
              <w:t>]</w:t>
            </w:r>
          </w:hyperlink>
        </w:p>
        <w:p w:rsidR="00AC7794" w:rsidRDefault="00AC7794">
          <w:pPr>
            <w:pStyle w:val="2"/>
            <w:tabs>
              <w:tab w:val="right" w:leader="dot" w:pos="8296"/>
            </w:tabs>
            <w:rPr>
              <w:rFonts w:eastAsiaTheme="minorEastAsia"/>
              <w:noProof/>
              <w:szCs w:val="22"/>
            </w:rPr>
          </w:pPr>
          <w:hyperlink w:anchor="_Toc134432503" w:history="1">
            <w:r w:rsidRPr="009F6E30">
              <w:rPr>
                <w:rStyle w:val="a7"/>
                <w:rFonts w:ascii="楷体" w:eastAsia="楷体" w:hAnsi="楷体"/>
                <w:b/>
                <w:noProof/>
              </w:rPr>
              <w:t>豆粕/菜粕：短期或延续偏强</w:t>
            </w:r>
          </w:hyperlink>
        </w:p>
        <w:p w:rsidR="00AC7794" w:rsidRDefault="00AC7794">
          <w:pPr>
            <w:pStyle w:val="2"/>
            <w:tabs>
              <w:tab w:val="right" w:leader="dot" w:pos="8296"/>
            </w:tabs>
            <w:rPr>
              <w:rFonts w:eastAsiaTheme="minorEastAsia"/>
              <w:noProof/>
              <w:szCs w:val="22"/>
            </w:rPr>
          </w:pPr>
          <w:hyperlink w:anchor="_Toc134432504" w:history="1">
            <w:r w:rsidRPr="009F6E30">
              <w:rPr>
                <w:rStyle w:val="a7"/>
                <w:rFonts w:ascii="楷体" w:eastAsia="楷体" w:hAnsi="楷体"/>
                <w:b/>
                <w:noProof/>
              </w:rPr>
              <w:t>油脂：供给端扰动，反弹持续性待观望</w:t>
            </w:r>
          </w:hyperlink>
        </w:p>
        <w:p w:rsidR="00AC7794" w:rsidRDefault="00AC7794">
          <w:pPr>
            <w:pStyle w:val="2"/>
            <w:tabs>
              <w:tab w:val="right" w:leader="dot" w:pos="8296"/>
            </w:tabs>
            <w:rPr>
              <w:rFonts w:eastAsiaTheme="minorEastAsia"/>
              <w:noProof/>
              <w:szCs w:val="22"/>
            </w:rPr>
          </w:pPr>
          <w:hyperlink w:anchor="_Toc134432505" w:history="1">
            <w:r w:rsidRPr="009F6E30">
              <w:rPr>
                <w:rStyle w:val="a7"/>
                <w:rFonts w:ascii="楷体" w:eastAsia="楷体" w:hAnsi="楷体"/>
                <w:b/>
                <w:bCs/>
                <w:noProof/>
              </w:rPr>
              <w:t>玉米与淀粉：</w:t>
            </w:r>
            <w:r w:rsidRPr="009F6E30">
              <w:rPr>
                <w:rStyle w:val="a7"/>
                <w:rFonts w:ascii="楷体" w:eastAsia="楷体" w:hAnsi="楷体"/>
                <w:b/>
                <w:noProof/>
              </w:rPr>
              <w:t>周五夜盘内外期价反弹</w:t>
            </w:r>
          </w:hyperlink>
        </w:p>
        <w:p w:rsidR="00AC7794" w:rsidRDefault="00AC7794">
          <w:pPr>
            <w:pStyle w:val="2"/>
            <w:tabs>
              <w:tab w:val="right" w:leader="dot" w:pos="8296"/>
            </w:tabs>
            <w:rPr>
              <w:rFonts w:eastAsiaTheme="minorEastAsia"/>
              <w:noProof/>
              <w:szCs w:val="22"/>
            </w:rPr>
          </w:pPr>
          <w:hyperlink w:anchor="_Toc134432506" w:history="1">
            <w:r w:rsidRPr="009F6E30">
              <w:rPr>
                <w:rStyle w:val="a7"/>
                <w:rFonts w:ascii="楷体" w:eastAsia="楷体" w:hAnsi="楷体"/>
                <w:b/>
                <w:bCs/>
                <w:noProof/>
              </w:rPr>
              <w:t>畜禽养殖：国家收储消息带动生猪期价反弹</w:t>
            </w:r>
          </w:hyperlink>
        </w:p>
        <w:p w:rsidR="00AC7794" w:rsidRDefault="00AC7794">
          <w:pPr>
            <w:pStyle w:val="2"/>
            <w:tabs>
              <w:tab w:val="right" w:leader="dot" w:pos="8296"/>
            </w:tabs>
            <w:rPr>
              <w:rFonts w:eastAsiaTheme="minorEastAsia"/>
              <w:noProof/>
              <w:szCs w:val="22"/>
            </w:rPr>
          </w:pPr>
          <w:hyperlink w:anchor="_Toc134432507" w:history="1">
            <w:r w:rsidRPr="009F6E30">
              <w:rPr>
                <w:rStyle w:val="a7"/>
                <w:rFonts w:ascii="楷体" w:eastAsia="楷体" w:hAnsi="楷体"/>
                <w:b/>
                <w:noProof/>
              </w:rPr>
              <w:t>郑棉：预计偏强震荡，观望或空9多1</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443247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4432480"/>
      <w:bookmarkEnd w:id="3"/>
      <w:r>
        <w:rPr>
          <w:rFonts w:ascii="Times New Roman" w:eastAsia="楷体" w:hAnsi="Times New Roman" w:hint="eastAsia"/>
          <w:b/>
          <w:color w:val="000000" w:themeColor="text1"/>
          <w:sz w:val="24"/>
          <w:szCs w:val="24"/>
        </w:rPr>
        <w:t>股指：</w:t>
      </w:r>
      <w:bookmarkEnd w:id="5"/>
      <w:bookmarkEnd w:id="6"/>
      <w:r w:rsidR="00072EAA" w:rsidRPr="00072EAA">
        <w:rPr>
          <w:rFonts w:ascii="Times New Roman" w:eastAsia="楷体" w:hAnsi="Times New Roman" w:hint="eastAsia"/>
          <w:b/>
          <w:color w:val="000000" w:themeColor="text1"/>
          <w:sz w:val="24"/>
          <w:szCs w:val="24"/>
        </w:rPr>
        <w:t>关注指数低多机会</w:t>
      </w:r>
      <w:bookmarkEnd w:id="7"/>
    </w:p>
    <w:p w:rsidR="003F56A5" w:rsidRDefault="00072EAA">
      <w:pPr>
        <w:ind w:leftChars="300" w:left="630"/>
        <w:rPr>
          <w:rFonts w:ascii="Times New Roman" w:eastAsia="楷体" w:hAnsi="Times New Roman"/>
          <w:color w:val="000000" w:themeColor="text1"/>
          <w:sz w:val="24"/>
          <w:szCs w:val="24"/>
        </w:rPr>
      </w:pPr>
      <w:r w:rsidRPr="00072EAA">
        <w:rPr>
          <w:rFonts w:ascii="Times New Roman" w:eastAsia="楷体" w:hAnsi="Times New Roman" w:hint="eastAsia"/>
          <w:color w:val="000000" w:themeColor="text1"/>
          <w:sz w:val="24"/>
          <w:szCs w:val="24"/>
        </w:rPr>
        <w:t>当前</w:t>
      </w:r>
      <w:r w:rsidRPr="00072EAA">
        <w:rPr>
          <w:rFonts w:ascii="Times New Roman" w:eastAsia="楷体" w:hAnsi="Times New Roman" w:hint="eastAsia"/>
          <w:color w:val="000000" w:themeColor="text1"/>
          <w:sz w:val="24"/>
          <w:szCs w:val="24"/>
        </w:rPr>
        <w:t>A</w:t>
      </w:r>
      <w:r w:rsidRPr="00072EAA">
        <w:rPr>
          <w:rFonts w:ascii="Times New Roman" w:eastAsia="楷体" w:hAnsi="Times New Roman" w:hint="eastAsia"/>
          <w:color w:val="000000" w:themeColor="text1"/>
          <w:sz w:val="24"/>
          <w:szCs w:val="24"/>
        </w:rPr>
        <w:t>股市场内在信心孱弱，需求端回升亦未见到确定性线索，成为限制参与者风险偏好的核心；后续整体行情的重点在于中特估、</w:t>
      </w:r>
      <w:r w:rsidRPr="00072EAA">
        <w:rPr>
          <w:rFonts w:ascii="Times New Roman" w:eastAsia="楷体" w:hAnsi="Times New Roman" w:hint="eastAsia"/>
          <w:color w:val="000000" w:themeColor="text1"/>
          <w:sz w:val="24"/>
          <w:szCs w:val="24"/>
        </w:rPr>
        <w:t>TMT</w:t>
      </w:r>
      <w:r w:rsidRPr="00072EAA">
        <w:rPr>
          <w:rFonts w:ascii="Times New Roman" w:eastAsia="楷体" w:hAnsi="Times New Roman" w:hint="eastAsia"/>
          <w:color w:val="000000" w:themeColor="text1"/>
          <w:sz w:val="24"/>
          <w:szCs w:val="24"/>
        </w:rPr>
        <w:t>等局部板块能否继续发酵到足以激发全市场风险偏好，以及需求端刺激政策能否超预期。在这两个变量未出现之前，增量资金恐难大规模进场，但随着</w:t>
      </w:r>
      <w:r w:rsidRPr="00072EAA">
        <w:rPr>
          <w:rFonts w:ascii="Times New Roman" w:eastAsia="楷体" w:hAnsi="Times New Roman" w:hint="eastAsia"/>
          <w:color w:val="000000" w:themeColor="text1"/>
          <w:sz w:val="24"/>
          <w:szCs w:val="24"/>
        </w:rPr>
        <w:t>Q1</w:t>
      </w:r>
      <w:r w:rsidRPr="00072EAA">
        <w:rPr>
          <w:rFonts w:ascii="Times New Roman" w:eastAsia="楷体" w:hAnsi="Times New Roman" w:hint="eastAsia"/>
          <w:color w:val="000000" w:themeColor="text1"/>
          <w:sz w:val="24"/>
          <w:szCs w:val="24"/>
        </w:rPr>
        <w:t>业绩、</w:t>
      </w:r>
      <w:r w:rsidRPr="00072EAA">
        <w:rPr>
          <w:rFonts w:ascii="Times New Roman" w:eastAsia="楷体" w:hAnsi="Times New Roman" w:hint="eastAsia"/>
          <w:color w:val="000000" w:themeColor="text1"/>
          <w:sz w:val="24"/>
          <w:szCs w:val="24"/>
        </w:rPr>
        <w:t>4</w:t>
      </w:r>
      <w:r w:rsidRPr="00072EAA">
        <w:rPr>
          <w:rFonts w:ascii="Times New Roman" w:eastAsia="楷体" w:hAnsi="Times New Roman" w:hint="eastAsia"/>
          <w:color w:val="000000" w:themeColor="text1"/>
          <w:sz w:val="24"/>
          <w:szCs w:val="24"/>
        </w:rPr>
        <w:t>月政治局会议、</w:t>
      </w:r>
      <w:r w:rsidRPr="00072EAA">
        <w:rPr>
          <w:rFonts w:ascii="Times New Roman" w:eastAsia="楷体" w:hAnsi="Times New Roman" w:hint="eastAsia"/>
          <w:color w:val="000000" w:themeColor="text1"/>
          <w:sz w:val="24"/>
          <w:szCs w:val="24"/>
        </w:rPr>
        <w:t>5</w:t>
      </w:r>
      <w:r w:rsidRPr="00072EAA">
        <w:rPr>
          <w:rFonts w:ascii="Times New Roman" w:eastAsia="楷体" w:hAnsi="Times New Roman" w:hint="eastAsia"/>
          <w:color w:val="000000" w:themeColor="text1"/>
          <w:sz w:val="24"/>
          <w:szCs w:val="24"/>
        </w:rPr>
        <w:t>月</w:t>
      </w:r>
      <w:r w:rsidRPr="00072EAA">
        <w:rPr>
          <w:rFonts w:ascii="Times New Roman" w:eastAsia="楷体" w:hAnsi="Times New Roman" w:hint="eastAsia"/>
          <w:color w:val="000000" w:themeColor="text1"/>
          <w:sz w:val="24"/>
          <w:szCs w:val="24"/>
        </w:rPr>
        <w:t>FOMC</w:t>
      </w:r>
      <w:r w:rsidRPr="00072EAA">
        <w:rPr>
          <w:rFonts w:ascii="Times New Roman" w:eastAsia="楷体" w:hAnsi="Times New Roman" w:hint="eastAsia"/>
          <w:color w:val="000000" w:themeColor="text1"/>
          <w:sz w:val="24"/>
          <w:szCs w:val="24"/>
        </w:rPr>
        <w:t>等靴子落地，预计</w:t>
      </w:r>
      <w:r w:rsidRPr="00072EAA">
        <w:rPr>
          <w:rFonts w:ascii="Times New Roman" w:eastAsia="楷体" w:hAnsi="Times New Roman" w:hint="eastAsia"/>
          <w:color w:val="000000" w:themeColor="text1"/>
          <w:sz w:val="24"/>
          <w:szCs w:val="24"/>
        </w:rPr>
        <w:t>5</w:t>
      </w:r>
      <w:r w:rsidRPr="00072EAA">
        <w:rPr>
          <w:rFonts w:ascii="Times New Roman" w:eastAsia="楷体" w:hAnsi="Times New Roman" w:hint="eastAsia"/>
          <w:color w:val="000000" w:themeColor="text1"/>
          <w:sz w:val="24"/>
          <w:szCs w:val="24"/>
        </w:rPr>
        <w:t>月赚钱效应会强于</w:t>
      </w:r>
      <w:r w:rsidRPr="00072EAA">
        <w:rPr>
          <w:rFonts w:ascii="Times New Roman" w:eastAsia="楷体" w:hAnsi="Times New Roman" w:hint="eastAsia"/>
          <w:color w:val="000000" w:themeColor="text1"/>
          <w:sz w:val="24"/>
          <w:szCs w:val="24"/>
        </w:rPr>
        <w:t>4</w:t>
      </w:r>
      <w:r w:rsidRPr="00072EAA">
        <w:rPr>
          <w:rFonts w:ascii="Times New Roman" w:eastAsia="楷体" w:hAnsi="Times New Roman" w:hint="eastAsia"/>
          <w:color w:val="000000" w:themeColor="text1"/>
          <w:sz w:val="24"/>
          <w:szCs w:val="24"/>
        </w:rPr>
        <w:t>月下旬，但指数级别行情更可能出现在</w:t>
      </w:r>
      <w:r w:rsidRPr="00072EAA">
        <w:rPr>
          <w:rFonts w:ascii="Times New Roman" w:eastAsia="楷体" w:hAnsi="Times New Roman" w:hint="eastAsia"/>
          <w:color w:val="000000" w:themeColor="text1"/>
          <w:sz w:val="24"/>
          <w:szCs w:val="24"/>
        </w:rPr>
        <w:t>PPI</w:t>
      </w:r>
      <w:r w:rsidRPr="00072EAA">
        <w:rPr>
          <w:rFonts w:ascii="Times New Roman" w:eastAsia="楷体" w:hAnsi="Times New Roman" w:hint="eastAsia"/>
          <w:color w:val="000000" w:themeColor="text1"/>
          <w:sz w:val="24"/>
          <w:szCs w:val="24"/>
        </w:rPr>
        <w:t>拐点（企业去库完成、利润上行）后的</w:t>
      </w:r>
      <w:r w:rsidRPr="00072EAA">
        <w:rPr>
          <w:rFonts w:ascii="Times New Roman" w:eastAsia="楷体" w:hAnsi="Times New Roman" w:hint="eastAsia"/>
          <w:color w:val="000000" w:themeColor="text1"/>
          <w:sz w:val="24"/>
          <w:szCs w:val="24"/>
        </w:rPr>
        <w:t>6-7</w:t>
      </w:r>
      <w:r w:rsidRPr="00072EAA">
        <w:rPr>
          <w:rFonts w:ascii="Times New Roman" w:eastAsia="楷体" w:hAnsi="Times New Roman" w:hint="eastAsia"/>
          <w:color w:val="000000" w:themeColor="text1"/>
          <w:sz w:val="24"/>
          <w:szCs w:val="24"/>
        </w:rPr>
        <w:t>月，</w:t>
      </w:r>
      <w:r w:rsidRPr="00072EAA">
        <w:rPr>
          <w:rFonts w:ascii="Times New Roman" w:eastAsia="楷体" w:hAnsi="Times New Roman" w:hint="eastAsia"/>
          <w:color w:val="000000" w:themeColor="text1"/>
          <w:sz w:val="24"/>
          <w:szCs w:val="24"/>
        </w:rPr>
        <w:t>5</w:t>
      </w:r>
      <w:r w:rsidRPr="00072EAA">
        <w:rPr>
          <w:rFonts w:ascii="Times New Roman" w:eastAsia="楷体" w:hAnsi="Times New Roman" w:hint="eastAsia"/>
          <w:color w:val="000000" w:themeColor="text1"/>
          <w:sz w:val="24"/>
          <w:szCs w:val="24"/>
        </w:rPr>
        <w:t>月仍以结构性机会为主，或围绕</w:t>
      </w:r>
      <w:r w:rsidRPr="00072EAA">
        <w:rPr>
          <w:rFonts w:ascii="Times New Roman" w:eastAsia="楷体" w:hAnsi="Times New Roman" w:hint="eastAsia"/>
          <w:color w:val="000000" w:themeColor="text1"/>
          <w:sz w:val="24"/>
          <w:szCs w:val="24"/>
        </w:rPr>
        <w:t>TMT</w:t>
      </w:r>
      <w:r w:rsidRPr="00072EAA">
        <w:rPr>
          <w:rFonts w:ascii="Times New Roman" w:eastAsia="楷体" w:hAnsi="Times New Roman" w:hint="eastAsia"/>
          <w:color w:val="000000" w:themeColor="text1"/>
          <w:sz w:val="24"/>
          <w:szCs w:val="24"/>
        </w:rPr>
        <w:t>和中特估方向，交易思路以适时低吸高抛为主。近期仍可关注</w:t>
      </w:r>
      <w:r w:rsidRPr="00072EAA">
        <w:rPr>
          <w:rFonts w:ascii="Times New Roman" w:eastAsia="楷体" w:hAnsi="Times New Roman" w:hint="eastAsia"/>
          <w:color w:val="000000" w:themeColor="text1"/>
          <w:sz w:val="24"/>
          <w:szCs w:val="24"/>
        </w:rPr>
        <w:t>IH</w:t>
      </w:r>
      <w:r w:rsidRPr="00072EAA">
        <w:rPr>
          <w:rFonts w:ascii="Times New Roman" w:eastAsia="楷体" w:hAnsi="Times New Roman" w:hint="eastAsia"/>
          <w:color w:val="000000" w:themeColor="text1"/>
          <w:sz w:val="24"/>
          <w:szCs w:val="24"/>
        </w:rPr>
        <w:t>低多机会，在</w:t>
      </w:r>
      <w:r w:rsidRPr="00072EAA">
        <w:rPr>
          <w:rFonts w:ascii="Times New Roman" w:eastAsia="楷体" w:hAnsi="Times New Roman" w:hint="eastAsia"/>
          <w:color w:val="000000" w:themeColor="text1"/>
          <w:sz w:val="24"/>
          <w:szCs w:val="24"/>
        </w:rPr>
        <w:t>TMT</w:t>
      </w:r>
      <w:r w:rsidRPr="00072EAA">
        <w:rPr>
          <w:rFonts w:ascii="Times New Roman" w:eastAsia="楷体" w:hAnsi="Times New Roman" w:hint="eastAsia"/>
          <w:color w:val="000000" w:themeColor="text1"/>
          <w:sz w:val="24"/>
          <w:szCs w:val="24"/>
        </w:rPr>
        <w:t>内部抉择调整完毕后，可再行关注</w:t>
      </w:r>
      <w:r w:rsidRPr="00072EAA">
        <w:rPr>
          <w:rFonts w:ascii="Times New Roman" w:eastAsia="楷体" w:hAnsi="Times New Roman" w:hint="eastAsia"/>
          <w:color w:val="000000" w:themeColor="text1"/>
          <w:sz w:val="24"/>
          <w:szCs w:val="24"/>
        </w:rPr>
        <w:t>IM</w:t>
      </w:r>
      <w:r w:rsidRPr="00072EAA">
        <w:rPr>
          <w:rFonts w:ascii="Times New Roman" w:eastAsia="楷体" w:hAnsi="Times New Roman" w:hint="eastAsia"/>
          <w:color w:val="000000" w:themeColor="text1"/>
          <w:sz w:val="24"/>
          <w:szCs w:val="24"/>
        </w:rPr>
        <w:t>低多机会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443248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4432482"/>
      <w:r>
        <w:rPr>
          <w:rFonts w:ascii="Times New Roman" w:eastAsia="楷体" w:hAnsi="Times New Roman" w:hint="eastAsia"/>
          <w:b/>
          <w:color w:val="000000" w:themeColor="text1"/>
          <w:sz w:val="24"/>
          <w:szCs w:val="24"/>
        </w:rPr>
        <w:t>贵金属：</w:t>
      </w:r>
      <w:r w:rsidR="00072EAA" w:rsidRPr="00072EAA">
        <w:rPr>
          <w:rFonts w:ascii="Times New Roman" w:eastAsia="楷体" w:hAnsi="Times New Roman" w:hint="eastAsia"/>
          <w:b/>
          <w:color w:val="000000" w:themeColor="text1"/>
          <w:sz w:val="24"/>
          <w:szCs w:val="24"/>
        </w:rPr>
        <w:t>美国非农就业超预期，贵金属价格高位小幅回落</w:t>
      </w:r>
      <w:bookmarkEnd w:id="9"/>
    </w:p>
    <w:p w:rsidR="003F56A5" w:rsidRDefault="00072EAA">
      <w:pPr>
        <w:ind w:leftChars="300" w:left="630"/>
        <w:rPr>
          <w:rFonts w:ascii="Times New Roman" w:eastAsia="楷体" w:hAnsi="Times New Roman"/>
          <w:sz w:val="24"/>
          <w:szCs w:val="24"/>
        </w:rPr>
      </w:pPr>
      <w:r w:rsidRPr="00072EAA">
        <w:rPr>
          <w:rFonts w:ascii="Times New Roman" w:eastAsia="楷体" w:hAnsi="Times New Roman" w:hint="eastAsia"/>
          <w:color w:val="000000" w:themeColor="text1"/>
          <w:sz w:val="24"/>
          <w:szCs w:val="24"/>
        </w:rPr>
        <w:t>4</w:t>
      </w:r>
      <w:r w:rsidRPr="00072EAA">
        <w:rPr>
          <w:rFonts w:ascii="Times New Roman" w:eastAsia="楷体" w:hAnsi="Times New Roman" w:hint="eastAsia"/>
          <w:color w:val="000000" w:themeColor="text1"/>
          <w:sz w:val="24"/>
          <w:szCs w:val="24"/>
        </w:rPr>
        <w:t>月美国非农超预期大幅升温，新增非农就业人数</w:t>
      </w:r>
      <w:r w:rsidRPr="00072EAA">
        <w:rPr>
          <w:rFonts w:ascii="Times New Roman" w:eastAsia="楷体" w:hAnsi="Times New Roman" w:hint="eastAsia"/>
          <w:color w:val="000000" w:themeColor="text1"/>
          <w:sz w:val="24"/>
          <w:szCs w:val="24"/>
        </w:rPr>
        <w:t>23.5</w:t>
      </w:r>
      <w:r w:rsidRPr="00072EAA">
        <w:rPr>
          <w:rFonts w:ascii="Times New Roman" w:eastAsia="楷体" w:hAnsi="Times New Roman" w:hint="eastAsia"/>
          <w:color w:val="000000" w:themeColor="text1"/>
          <w:sz w:val="24"/>
          <w:szCs w:val="24"/>
        </w:rPr>
        <w:t>万人，超出市场预期；失业率降至</w:t>
      </w:r>
      <w:r w:rsidRPr="00072EAA">
        <w:rPr>
          <w:rFonts w:ascii="Times New Roman" w:eastAsia="楷体" w:hAnsi="Times New Roman" w:hint="eastAsia"/>
          <w:color w:val="000000" w:themeColor="text1"/>
          <w:sz w:val="24"/>
          <w:szCs w:val="24"/>
        </w:rPr>
        <w:t>3.4%</w:t>
      </w:r>
      <w:r w:rsidRPr="00072EAA">
        <w:rPr>
          <w:rFonts w:ascii="Times New Roman" w:eastAsia="楷体" w:hAnsi="Times New Roman" w:hint="eastAsia"/>
          <w:color w:val="000000" w:themeColor="text1"/>
          <w:sz w:val="24"/>
          <w:szCs w:val="24"/>
        </w:rPr>
        <w:t>，时薪增速反弹，同比增</w:t>
      </w:r>
      <w:r w:rsidRPr="00072EAA">
        <w:rPr>
          <w:rFonts w:ascii="Times New Roman" w:eastAsia="楷体" w:hAnsi="Times New Roman" w:hint="eastAsia"/>
          <w:color w:val="000000" w:themeColor="text1"/>
          <w:sz w:val="24"/>
          <w:szCs w:val="24"/>
        </w:rPr>
        <w:t>4.4%</w:t>
      </w:r>
      <w:r w:rsidRPr="00072EAA">
        <w:rPr>
          <w:rFonts w:ascii="Times New Roman" w:eastAsia="楷体" w:hAnsi="Times New Roman" w:hint="eastAsia"/>
          <w:color w:val="000000" w:themeColor="text1"/>
          <w:sz w:val="24"/>
          <w:szCs w:val="24"/>
        </w:rPr>
        <w:t>，环比增</w:t>
      </w:r>
      <w:r w:rsidRPr="00072EAA">
        <w:rPr>
          <w:rFonts w:ascii="Times New Roman" w:eastAsia="楷体" w:hAnsi="Times New Roman" w:hint="eastAsia"/>
          <w:color w:val="000000" w:themeColor="text1"/>
          <w:sz w:val="24"/>
          <w:szCs w:val="24"/>
        </w:rPr>
        <w:t>0.5%</w:t>
      </w:r>
      <w:r w:rsidRPr="00072EAA">
        <w:rPr>
          <w:rFonts w:ascii="Times New Roman" w:eastAsia="楷体" w:hAnsi="Times New Roman" w:hint="eastAsia"/>
          <w:color w:val="000000" w:themeColor="text1"/>
          <w:sz w:val="24"/>
          <w:szCs w:val="24"/>
        </w:rPr>
        <w:t>。上周美联储如期加息</w:t>
      </w:r>
      <w:r w:rsidRPr="00072EAA">
        <w:rPr>
          <w:rFonts w:ascii="Times New Roman" w:eastAsia="楷体" w:hAnsi="Times New Roman" w:hint="eastAsia"/>
          <w:color w:val="000000" w:themeColor="text1"/>
          <w:sz w:val="24"/>
          <w:szCs w:val="24"/>
        </w:rPr>
        <w:t>25</w:t>
      </w:r>
      <w:r w:rsidRPr="00072EAA">
        <w:rPr>
          <w:rFonts w:ascii="Times New Roman" w:eastAsia="楷体" w:hAnsi="Times New Roman" w:hint="eastAsia"/>
          <w:color w:val="000000" w:themeColor="text1"/>
          <w:sz w:val="24"/>
          <w:szCs w:val="24"/>
        </w:rPr>
        <w:t>个基点，议息决议声明暗示未来将暂停加息，贵金属价格一度升至年内新高。尾盘因美国劳动力市场升温，</w:t>
      </w:r>
      <w:r w:rsidRPr="00072EAA">
        <w:rPr>
          <w:rFonts w:ascii="Times New Roman" w:eastAsia="楷体" w:hAnsi="Times New Roman" w:hint="eastAsia"/>
          <w:color w:val="000000" w:themeColor="text1"/>
          <w:sz w:val="24"/>
          <w:szCs w:val="24"/>
        </w:rPr>
        <w:t>COMEX</w:t>
      </w:r>
      <w:r w:rsidRPr="00072EAA">
        <w:rPr>
          <w:rFonts w:ascii="Times New Roman" w:eastAsia="楷体" w:hAnsi="Times New Roman" w:hint="eastAsia"/>
          <w:color w:val="000000" w:themeColor="text1"/>
          <w:sz w:val="24"/>
          <w:szCs w:val="24"/>
        </w:rPr>
        <w:t>金价回落至</w:t>
      </w:r>
      <w:r w:rsidRPr="00072EAA">
        <w:rPr>
          <w:rFonts w:ascii="Times New Roman" w:eastAsia="楷体" w:hAnsi="Times New Roman" w:hint="eastAsia"/>
          <w:color w:val="000000" w:themeColor="text1"/>
          <w:sz w:val="24"/>
          <w:szCs w:val="24"/>
        </w:rPr>
        <w:t>2024</w:t>
      </w:r>
      <w:r w:rsidRPr="00072EAA">
        <w:rPr>
          <w:rFonts w:ascii="Times New Roman" w:eastAsia="楷体" w:hAnsi="Times New Roman" w:hint="eastAsia"/>
          <w:color w:val="000000" w:themeColor="text1"/>
          <w:sz w:val="24"/>
          <w:szCs w:val="24"/>
        </w:rPr>
        <w:t>美元</w:t>
      </w:r>
      <w:r w:rsidRPr="00072EAA">
        <w:rPr>
          <w:rFonts w:ascii="Times New Roman" w:eastAsia="楷体" w:hAnsi="Times New Roman" w:hint="eastAsia"/>
          <w:color w:val="000000" w:themeColor="text1"/>
          <w:sz w:val="24"/>
          <w:szCs w:val="24"/>
        </w:rPr>
        <w:t>/</w:t>
      </w:r>
      <w:r w:rsidRPr="00072EAA">
        <w:rPr>
          <w:rFonts w:ascii="Times New Roman" w:eastAsia="楷体" w:hAnsi="Times New Roman" w:hint="eastAsia"/>
          <w:color w:val="000000" w:themeColor="text1"/>
          <w:sz w:val="24"/>
          <w:szCs w:val="24"/>
        </w:rPr>
        <w:t>盎司，</w:t>
      </w:r>
      <w:r w:rsidRPr="00072EAA">
        <w:rPr>
          <w:rFonts w:ascii="Times New Roman" w:eastAsia="楷体" w:hAnsi="Times New Roman" w:hint="eastAsia"/>
          <w:color w:val="000000" w:themeColor="text1"/>
          <w:sz w:val="24"/>
          <w:szCs w:val="24"/>
        </w:rPr>
        <w:t>COMEX</w:t>
      </w:r>
      <w:r w:rsidRPr="00072EAA">
        <w:rPr>
          <w:rFonts w:ascii="Times New Roman" w:eastAsia="楷体" w:hAnsi="Times New Roman" w:hint="eastAsia"/>
          <w:color w:val="000000" w:themeColor="text1"/>
          <w:sz w:val="24"/>
          <w:szCs w:val="24"/>
        </w:rPr>
        <w:t>银价小幅下跌至</w:t>
      </w:r>
      <w:r w:rsidRPr="00072EAA">
        <w:rPr>
          <w:rFonts w:ascii="Times New Roman" w:eastAsia="楷体" w:hAnsi="Times New Roman" w:hint="eastAsia"/>
          <w:color w:val="000000" w:themeColor="text1"/>
          <w:sz w:val="24"/>
          <w:szCs w:val="24"/>
        </w:rPr>
        <w:t>25.9</w:t>
      </w:r>
      <w:r w:rsidRPr="00072EAA">
        <w:rPr>
          <w:rFonts w:ascii="Times New Roman" w:eastAsia="楷体" w:hAnsi="Times New Roman" w:hint="eastAsia"/>
          <w:color w:val="000000" w:themeColor="text1"/>
          <w:sz w:val="24"/>
          <w:szCs w:val="24"/>
        </w:rPr>
        <w:t>美元</w:t>
      </w:r>
      <w:r w:rsidRPr="00072EAA">
        <w:rPr>
          <w:rFonts w:ascii="Times New Roman" w:eastAsia="楷体" w:hAnsi="Times New Roman" w:hint="eastAsia"/>
          <w:color w:val="000000" w:themeColor="text1"/>
          <w:sz w:val="24"/>
          <w:szCs w:val="24"/>
        </w:rPr>
        <w:t>/</w:t>
      </w:r>
      <w:r w:rsidRPr="00072EAA">
        <w:rPr>
          <w:rFonts w:ascii="Times New Roman" w:eastAsia="楷体" w:hAnsi="Times New Roman" w:hint="eastAsia"/>
          <w:color w:val="000000" w:themeColor="text1"/>
          <w:sz w:val="24"/>
          <w:szCs w:val="24"/>
        </w:rPr>
        <w:t>盎司。美国财长耶伦警告，需要提高债务上限以避免发生经济灾难，否则可能在</w:t>
      </w:r>
      <w:r w:rsidRPr="00072EAA">
        <w:rPr>
          <w:rFonts w:ascii="Times New Roman" w:eastAsia="楷体" w:hAnsi="Times New Roman" w:hint="eastAsia"/>
          <w:color w:val="000000" w:themeColor="text1"/>
          <w:sz w:val="24"/>
          <w:szCs w:val="24"/>
        </w:rPr>
        <w:t>6</w:t>
      </w:r>
      <w:r w:rsidRPr="00072EAA">
        <w:rPr>
          <w:rFonts w:ascii="Times New Roman" w:eastAsia="楷体" w:hAnsi="Times New Roman" w:hint="eastAsia"/>
          <w:color w:val="000000" w:themeColor="text1"/>
          <w:sz w:val="24"/>
          <w:szCs w:val="24"/>
        </w:rPr>
        <w:t>月</w:t>
      </w:r>
      <w:r w:rsidRPr="00072EAA">
        <w:rPr>
          <w:rFonts w:ascii="Times New Roman" w:eastAsia="楷体" w:hAnsi="Times New Roman" w:hint="eastAsia"/>
          <w:color w:val="000000" w:themeColor="text1"/>
          <w:sz w:val="24"/>
          <w:szCs w:val="24"/>
        </w:rPr>
        <w:t>1</w:t>
      </w:r>
      <w:r w:rsidRPr="00072EAA">
        <w:rPr>
          <w:rFonts w:ascii="Times New Roman" w:eastAsia="楷体" w:hAnsi="Times New Roman" w:hint="eastAsia"/>
          <w:color w:val="000000" w:themeColor="text1"/>
          <w:sz w:val="24"/>
          <w:szCs w:val="24"/>
        </w:rPr>
        <w:t>日发生违约。我国央行</w:t>
      </w:r>
      <w:r w:rsidRPr="00072EAA">
        <w:rPr>
          <w:rFonts w:ascii="Times New Roman" w:eastAsia="楷体" w:hAnsi="Times New Roman" w:hint="eastAsia"/>
          <w:color w:val="000000" w:themeColor="text1"/>
          <w:sz w:val="24"/>
          <w:szCs w:val="24"/>
        </w:rPr>
        <w:t>4</w:t>
      </w:r>
      <w:r w:rsidRPr="00072EAA">
        <w:rPr>
          <w:rFonts w:ascii="Times New Roman" w:eastAsia="楷体" w:hAnsi="Times New Roman" w:hint="eastAsia"/>
          <w:color w:val="000000" w:themeColor="text1"/>
          <w:sz w:val="24"/>
          <w:szCs w:val="24"/>
        </w:rPr>
        <w:t>月末黄金储备</w:t>
      </w:r>
      <w:r w:rsidRPr="00072EAA">
        <w:rPr>
          <w:rFonts w:ascii="Times New Roman" w:eastAsia="楷体" w:hAnsi="Times New Roman" w:hint="eastAsia"/>
          <w:color w:val="000000" w:themeColor="text1"/>
          <w:sz w:val="24"/>
          <w:szCs w:val="24"/>
        </w:rPr>
        <w:t>6676</w:t>
      </w:r>
      <w:r w:rsidRPr="00072EAA">
        <w:rPr>
          <w:rFonts w:ascii="Times New Roman" w:eastAsia="楷体" w:hAnsi="Times New Roman" w:hint="eastAsia"/>
          <w:color w:val="000000" w:themeColor="text1"/>
          <w:sz w:val="24"/>
          <w:szCs w:val="24"/>
        </w:rPr>
        <w:t>万盎司，环比增</w:t>
      </w:r>
      <w:r w:rsidRPr="00072EAA">
        <w:rPr>
          <w:rFonts w:ascii="Times New Roman" w:eastAsia="楷体" w:hAnsi="Times New Roman" w:hint="eastAsia"/>
          <w:color w:val="000000" w:themeColor="text1"/>
          <w:sz w:val="24"/>
          <w:szCs w:val="24"/>
        </w:rPr>
        <w:t>26</w:t>
      </w:r>
      <w:r w:rsidRPr="00072EAA">
        <w:rPr>
          <w:rFonts w:ascii="Times New Roman" w:eastAsia="楷体" w:hAnsi="Times New Roman" w:hint="eastAsia"/>
          <w:color w:val="000000" w:themeColor="text1"/>
          <w:sz w:val="24"/>
          <w:szCs w:val="24"/>
        </w:rPr>
        <w:t>万盎司，连续第六个月增持。本周美国</w:t>
      </w:r>
      <w:r w:rsidRPr="00072EAA">
        <w:rPr>
          <w:rFonts w:ascii="Times New Roman" w:eastAsia="楷体" w:hAnsi="Times New Roman" w:hint="eastAsia"/>
          <w:color w:val="000000" w:themeColor="text1"/>
          <w:sz w:val="24"/>
          <w:szCs w:val="24"/>
        </w:rPr>
        <w:t>CPI</w:t>
      </w:r>
      <w:r w:rsidRPr="00072EAA">
        <w:rPr>
          <w:rFonts w:ascii="Times New Roman" w:eastAsia="楷体" w:hAnsi="Times New Roman" w:hint="eastAsia"/>
          <w:color w:val="000000" w:themeColor="text1"/>
          <w:sz w:val="24"/>
          <w:szCs w:val="24"/>
        </w:rPr>
        <w:t>、</w:t>
      </w:r>
      <w:r w:rsidRPr="00072EAA">
        <w:rPr>
          <w:rFonts w:ascii="Times New Roman" w:eastAsia="楷体" w:hAnsi="Times New Roman" w:hint="eastAsia"/>
          <w:color w:val="000000" w:themeColor="text1"/>
          <w:sz w:val="24"/>
          <w:szCs w:val="24"/>
        </w:rPr>
        <w:t>PPI</w:t>
      </w:r>
      <w:r w:rsidRPr="00072EAA">
        <w:rPr>
          <w:rFonts w:ascii="Times New Roman" w:eastAsia="楷体" w:hAnsi="Times New Roman" w:hint="eastAsia"/>
          <w:color w:val="000000" w:themeColor="text1"/>
          <w:sz w:val="24"/>
          <w:szCs w:val="24"/>
        </w:rPr>
        <w:t>等通胀数据即将公布，海外市场担忧美国经济硬着陆，避险情绪或仍对贵金属价格提供支撑，建议沪金、沪银逢低做多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443248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4432484"/>
      <w:r>
        <w:rPr>
          <w:rFonts w:ascii="楷体" w:eastAsia="楷体" w:hAnsi="楷体" w:hint="eastAsia"/>
          <w:b/>
          <w:color w:val="000000" w:themeColor="text1"/>
          <w:sz w:val="24"/>
          <w:szCs w:val="24"/>
        </w:rPr>
        <w:t>螺纹钢：</w:t>
      </w:r>
      <w:bookmarkEnd w:id="15"/>
      <w:bookmarkEnd w:id="16"/>
      <w:r w:rsidR="00072EAA" w:rsidRPr="00072EAA">
        <w:rPr>
          <w:rFonts w:ascii="楷体" w:eastAsia="楷体" w:hAnsi="楷体" w:hint="eastAsia"/>
          <w:b/>
          <w:color w:val="000000" w:themeColor="text1"/>
          <w:sz w:val="24"/>
          <w:szCs w:val="24"/>
        </w:rPr>
        <w:t>情绪好转驱动反弹，震荡运行</w:t>
      </w:r>
      <w:bookmarkEnd w:id="17"/>
    </w:p>
    <w:p w:rsidR="003F56A5" w:rsidRDefault="00072EAA">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震荡阶段，前期补库动作不明显，情绪驱动产业链库存开始流动，反弹高度有限，过程中或反复试探下方底部支撑。盘面建议震荡操作，或在（3580，3850）震荡运行，上方压力区间（3740,3840）相对明显</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4432485"/>
      <w:r>
        <w:rPr>
          <w:rFonts w:ascii="楷体" w:eastAsia="楷体" w:hAnsi="楷体" w:hint="eastAsia"/>
          <w:b/>
          <w:color w:val="000000" w:themeColor="text1"/>
          <w:sz w:val="24"/>
          <w:szCs w:val="24"/>
        </w:rPr>
        <w:t>焦炭：</w:t>
      </w:r>
      <w:bookmarkEnd w:id="18"/>
      <w:bookmarkEnd w:id="19"/>
      <w:r w:rsidR="00072EAA" w:rsidRPr="00072EAA">
        <w:rPr>
          <w:rFonts w:ascii="楷体" w:eastAsia="楷体" w:hAnsi="楷体" w:hint="eastAsia"/>
          <w:b/>
          <w:color w:val="000000" w:themeColor="text1"/>
          <w:sz w:val="24"/>
          <w:szCs w:val="24"/>
        </w:rPr>
        <w:t>补跌压力较大，短期情绪较好出现分歧</w:t>
      </w:r>
      <w:bookmarkEnd w:id="20"/>
    </w:p>
    <w:p w:rsidR="003F56A5" w:rsidRDefault="00072EAA">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焦煤自年初累计下降焦化成本约950元/吨左右，焦炭目前累计下跌700元/吨，港口仍倒挂105元/吨，出厂价仍有补降压力。目前贸易商投机情绪差，短期现货较难有大幅度上行的驱动</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4432486"/>
      <w:r>
        <w:rPr>
          <w:rFonts w:ascii="楷体" w:eastAsia="楷体" w:hAnsi="楷体" w:hint="eastAsia"/>
          <w:b/>
          <w:color w:val="000000" w:themeColor="text1"/>
          <w:sz w:val="24"/>
          <w:szCs w:val="24"/>
        </w:rPr>
        <w:t>焦煤：</w:t>
      </w:r>
      <w:r w:rsidR="00072EAA" w:rsidRPr="00072EAA">
        <w:rPr>
          <w:rFonts w:ascii="楷体" w:eastAsia="楷体" w:hAnsi="楷体" w:hint="eastAsia"/>
          <w:b/>
          <w:sz w:val="24"/>
          <w:szCs w:val="24"/>
        </w:rPr>
        <w:t>现货仍承压，估值较低偏弱</w:t>
      </w:r>
      <w:bookmarkEnd w:id="21"/>
    </w:p>
    <w:p w:rsidR="003F56A5" w:rsidRDefault="00072EAA">
      <w:pPr>
        <w:ind w:leftChars="300" w:left="630"/>
        <w:rPr>
          <w:rFonts w:ascii="楷体" w:eastAsia="楷体" w:hAnsi="楷体"/>
          <w:bCs/>
          <w:sz w:val="24"/>
          <w:szCs w:val="24"/>
        </w:rPr>
      </w:pPr>
      <w:r w:rsidRPr="00072EAA">
        <w:rPr>
          <w:rFonts w:ascii="楷体" w:eastAsia="楷体" w:hAnsi="楷体" w:hint="eastAsia"/>
          <w:sz w:val="24"/>
          <w:szCs w:val="24"/>
        </w:rPr>
        <w:t>焦煤进入淡季但动力煤有望进入旺季，09价格被减产预期压制，短期估值</w:t>
      </w:r>
      <w:r w:rsidRPr="00072EAA">
        <w:rPr>
          <w:rFonts w:ascii="楷体" w:eastAsia="楷体" w:hAnsi="楷体" w:hint="eastAsia"/>
          <w:sz w:val="24"/>
          <w:szCs w:val="24"/>
        </w:rPr>
        <w:lastRenderedPageBreak/>
        <w:t>处于低位，动力煤对焦煤具有弱支撑，但驱动不明显，或继续偏弱运行，预计震荡区间（1320,1420）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4432487"/>
      <w:r>
        <w:rPr>
          <w:rFonts w:ascii="楷体" w:eastAsia="楷体" w:hAnsi="楷体" w:hint="eastAsia"/>
          <w:b/>
          <w:color w:val="000000" w:themeColor="text1"/>
          <w:sz w:val="24"/>
          <w:szCs w:val="24"/>
        </w:rPr>
        <w:t>铜：</w:t>
      </w:r>
      <w:bookmarkEnd w:id="22"/>
      <w:bookmarkEnd w:id="23"/>
      <w:r w:rsidR="00072EAA" w:rsidRPr="00072EAA">
        <w:rPr>
          <w:rFonts w:ascii="楷体" w:eastAsia="楷体" w:hAnsi="楷体" w:hint="eastAsia"/>
          <w:b/>
          <w:color w:val="000000" w:themeColor="text1"/>
          <w:sz w:val="24"/>
          <w:szCs w:val="24"/>
        </w:rPr>
        <w:t>精废价差明显收窄，短期价格或震荡为主</w:t>
      </w:r>
      <w:bookmarkEnd w:id="24"/>
    </w:p>
    <w:p w:rsidR="00072EAA" w:rsidRPr="00072EAA" w:rsidRDefault="00072EAA" w:rsidP="00072EAA">
      <w:pPr>
        <w:ind w:leftChars="300" w:left="630"/>
        <w:rPr>
          <w:rFonts w:ascii="楷体" w:eastAsia="楷体" w:hAnsi="楷体" w:hint="eastAsia"/>
          <w:color w:val="000000" w:themeColor="text1"/>
          <w:sz w:val="24"/>
          <w:szCs w:val="24"/>
        </w:rPr>
      </w:pPr>
      <w:r w:rsidRPr="00072EAA">
        <w:rPr>
          <w:rFonts w:ascii="楷体" w:eastAsia="楷体" w:hAnsi="楷体" w:hint="eastAsia"/>
          <w:color w:val="000000" w:themeColor="text1"/>
          <w:sz w:val="24"/>
          <w:szCs w:val="24"/>
        </w:rPr>
        <w:t>(1)宏观：4月份全球制造业采购经理指数为48.6%，较上月下降0.5个百分点，连续2个月环比下降，指数水平与去年12月一致，均为2020年6月以来的最低水平。</w:t>
      </w:r>
    </w:p>
    <w:p w:rsidR="00072EAA" w:rsidRPr="00072EAA" w:rsidRDefault="00072EAA" w:rsidP="00072EAA">
      <w:pPr>
        <w:ind w:leftChars="300" w:left="630"/>
        <w:rPr>
          <w:rFonts w:ascii="楷体" w:eastAsia="楷体" w:hAnsi="楷体" w:hint="eastAsia"/>
          <w:color w:val="000000" w:themeColor="text1"/>
          <w:sz w:val="24"/>
          <w:szCs w:val="24"/>
        </w:rPr>
      </w:pPr>
      <w:r w:rsidRPr="00072EAA">
        <w:rPr>
          <w:rFonts w:ascii="楷体" w:eastAsia="楷体" w:hAnsi="楷体" w:hint="eastAsia"/>
          <w:color w:val="000000" w:themeColor="text1"/>
          <w:sz w:val="24"/>
          <w:szCs w:val="24"/>
        </w:rPr>
        <w:t>(2)库存：5月5日，SHFE周库存134919吨，较上周五减2176吨。LME仓单库存70425吨，较上周五增5875吨。</w:t>
      </w:r>
    </w:p>
    <w:p w:rsidR="00072EAA" w:rsidRPr="00072EAA" w:rsidRDefault="00072EAA" w:rsidP="00072EAA">
      <w:pPr>
        <w:ind w:leftChars="300" w:left="630"/>
        <w:rPr>
          <w:rFonts w:ascii="楷体" w:eastAsia="楷体" w:hAnsi="楷体" w:hint="eastAsia"/>
          <w:color w:val="000000" w:themeColor="text1"/>
          <w:sz w:val="24"/>
          <w:szCs w:val="24"/>
        </w:rPr>
      </w:pPr>
      <w:r w:rsidRPr="00072EAA">
        <w:rPr>
          <w:rFonts w:ascii="楷体" w:eastAsia="楷体" w:hAnsi="楷体" w:hint="eastAsia"/>
          <w:color w:val="000000" w:themeColor="text1"/>
          <w:sz w:val="24"/>
          <w:szCs w:val="24"/>
        </w:rPr>
        <w:t>(3)精废价差：5月5日，Mysteel精废价差286，收窄664。目前价差在合理价差1364之下。</w:t>
      </w:r>
    </w:p>
    <w:p w:rsidR="00A71A7E" w:rsidRPr="00A71A7E" w:rsidRDefault="00072EAA" w:rsidP="00072EAA">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综述： 海外宏观依旧施压铜价，未来市场或在美国经济衰退预期及降息预期来回切换。铜价连续下挫后，废铜货源惜售，精废价差明显收窄至合理价差之 下，废铜替代作用减弱，利于精铜消费，对价格存一定支撑效应，且当下内外整体库存水平不高，短期价格难以呈现趋势性下跌，本周价格波动区间参考66000-68000</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4432488"/>
      <w:r>
        <w:rPr>
          <w:rFonts w:ascii="楷体" w:eastAsia="楷体" w:hAnsi="楷体" w:hint="eastAsia"/>
          <w:b/>
          <w:color w:val="000000" w:themeColor="text1"/>
          <w:sz w:val="24"/>
          <w:szCs w:val="24"/>
        </w:rPr>
        <w:t>铝：</w:t>
      </w:r>
      <w:bookmarkEnd w:id="25"/>
      <w:bookmarkEnd w:id="26"/>
      <w:r w:rsidR="00072EAA" w:rsidRPr="00072EAA">
        <w:rPr>
          <w:rFonts w:ascii="楷体" w:eastAsia="楷体" w:hAnsi="楷体" w:hint="eastAsia"/>
          <w:b/>
          <w:color w:val="000000" w:themeColor="text1"/>
          <w:sz w:val="24"/>
          <w:szCs w:val="24"/>
        </w:rPr>
        <w:t>铝市利多逐步释放，价格有下行压力</w:t>
      </w:r>
      <w:bookmarkEnd w:id="27"/>
    </w:p>
    <w:p w:rsidR="003F56A5" w:rsidRDefault="00072EAA" w:rsidP="00CF7A9A">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联储加息25基点，美非农数据超出市场预期，海外银行危机仍存，欧美4月制造业PMI环比回落，在高利率环境下海外经济衰退风险加剧。国内政策持续释放利好，而4月制造业PMI再度落入收缩区间，服务业消费“报复性”增长，工业景气度边际走弱。从基本面来看，贵州、四川持续复产、新投产，但整体节奏较慢，云南持续高温干旱降水补充不足，当地水电短缺或再度压缩工业产能，后续西南地区进入丰水期云南前期减产产能将逐步恢复，西北地区青海也有夏季高峰用电限制，限电因素支撑短期价格。海外需求依旧表现疲弱，国内铝市消费旺季国内社库持续去库，铝水比例走增，铝锭需求表现一般，铝棒去库放缓， “金三银四”消费旺季已过，终端有光伏装机、新能源汽车政策利好及消费增量支持，需求有支撑实际表现为弱修复。操作上，短期以波段高抛低吸为主，铝价震荡在18000-19000区间，中期因供应预期走增，需求有转弱趋向，建议偏空对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4432489"/>
      <w:r>
        <w:rPr>
          <w:rFonts w:ascii="楷体" w:eastAsia="楷体" w:hAnsi="楷体" w:hint="eastAsia"/>
          <w:b/>
          <w:color w:val="000000" w:themeColor="text1"/>
          <w:sz w:val="24"/>
          <w:szCs w:val="24"/>
        </w:rPr>
        <w:t>锌：</w:t>
      </w:r>
      <w:r w:rsidR="00072EAA" w:rsidRPr="00072EAA">
        <w:rPr>
          <w:rFonts w:ascii="楷体" w:eastAsia="楷体" w:hAnsi="楷体" w:hint="eastAsia"/>
          <w:b/>
          <w:color w:val="000000" w:themeColor="text1"/>
          <w:sz w:val="24"/>
          <w:szCs w:val="24"/>
        </w:rPr>
        <w:t>锌价超跌反弹，整体仍以偏空看待</w:t>
      </w:r>
      <w:bookmarkEnd w:id="28"/>
    </w:p>
    <w:p w:rsidR="003F56A5" w:rsidRDefault="00072EAA" w:rsidP="000B0648">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联储5月落地25基点加息，美非农数据显示美国通胀仍有较强粘性，欧美经济数据表现不及预期，国内4月制造业PMI环比回落，全球高利率环境下市场经济压力走增，宏观情绪偏弱。从供应端来看，在能源危机影响逐步走弱的情况下，海外有强复产预期。国内月度锌产量维持高位，中游开工仍有高冶炼利润刺激，国内精炼锌供给现状偏宽松，云南干旱天气延续，第三次用电管控限制影响当地铅锌运行产能，短期供应复产受限支撑锌价，二季度云南若能进入汛期，当地锌厂复工复产，中期供应预期走强。海外需求受大环境疲弱影响提振乏力，疫情后国内市场需求判断过于乐观，需求虽有刚性支撑但不及预期。精锌下游消费依赖内需拉动，内需持续弱修复但难有超预期表现，国内精炼锌供需天平偏向供给增量大于需求。整体上看，近期锌价超跌反弹，实际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4432490"/>
      <w:r>
        <w:rPr>
          <w:rFonts w:ascii="楷体" w:eastAsia="楷体" w:hAnsi="楷体" w:hint="eastAsia"/>
          <w:b/>
          <w:color w:val="000000" w:themeColor="text1"/>
          <w:sz w:val="24"/>
          <w:szCs w:val="24"/>
        </w:rPr>
        <w:lastRenderedPageBreak/>
        <w:t>镍：</w:t>
      </w:r>
      <w:r w:rsidR="00B91D3D" w:rsidRPr="00B91D3D">
        <w:rPr>
          <w:rFonts w:ascii="楷体" w:eastAsia="楷体" w:hAnsi="楷体" w:hint="eastAsia"/>
          <w:b/>
          <w:color w:val="000000" w:themeColor="text1"/>
          <w:sz w:val="24"/>
          <w:szCs w:val="24"/>
        </w:rPr>
        <w:t>供应预期持续施压，逢高空思路不变</w:t>
      </w:r>
      <w:bookmarkEnd w:id="29"/>
    </w:p>
    <w:p w:rsidR="003F56A5" w:rsidRDefault="00B91D3D">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目前镍市场供应预期有增量，电积镍逐渐修复，SMM预计4月全国精炼镍产量为1.80万吨，环比增2.27%，同比增39.21%。叠加二季度新产能落地，预计供应缺口收窄，镍价下行趋势不变。但当下纯镍低库存依旧保持去化，交割品问题暂时未解决，软逼仓风险仍存。从交易角度，我们建议寻找相对高估值逢高空机会</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7F09BE" w:rsidRDefault="0079299D" w:rsidP="007F09BE">
      <w:pPr>
        <w:ind w:leftChars="200" w:left="420"/>
        <w:outlineLvl w:val="1"/>
        <w:rPr>
          <w:rFonts w:ascii="楷体" w:eastAsia="楷体" w:hAnsi="楷体"/>
          <w:b/>
          <w:color w:val="000000" w:themeColor="text1"/>
          <w:sz w:val="24"/>
          <w:szCs w:val="24"/>
        </w:rPr>
      </w:pPr>
      <w:bookmarkStart w:id="30" w:name="_Toc134432491"/>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072EAA" w:rsidRPr="00072EAA">
        <w:rPr>
          <w:rFonts w:ascii="楷体" w:eastAsia="楷体" w:hAnsi="楷体" w:hint="eastAsia"/>
          <w:b/>
          <w:color w:val="000000" w:themeColor="text1"/>
          <w:sz w:val="24"/>
          <w:szCs w:val="24"/>
        </w:rPr>
        <w:t>淡季之下铅价震荡为主</w:t>
      </w:r>
      <w:bookmarkEnd w:id="30"/>
    </w:p>
    <w:p w:rsidR="008B13D2" w:rsidRPr="008B13D2" w:rsidRDefault="00072EAA" w:rsidP="008B13D2">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联储加息25基点，美非农数据显示美国通胀压力犹存，第一共和国银行倒闭引发市场对流动性的担忧，欧美经济数据表现趋弱，国内4月PMI表现不及预期，全球经济承压运行，宏观情绪偏弱。原生铅及再生铅厂家检修增加，铅矿进口利润窗口萎缩供应紧张，废旧电瓶货源流通偏紧。下游需求在消费淡季之下表现平淡，库存低位持续累库，库存走增后厂家囤货积极性走弱，预计铅价仍维持震荡，震荡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4432492"/>
      <w:r>
        <w:rPr>
          <w:rFonts w:ascii="楷体" w:eastAsia="楷体" w:hAnsi="楷体" w:hint="eastAsia"/>
          <w:b/>
          <w:color w:val="000000" w:themeColor="text1"/>
          <w:sz w:val="24"/>
          <w:szCs w:val="24"/>
        </w:rPr>
        <w:t>不锈钢：</w:t>
      </w:r>
      <w:r w:rsidR="00072EAA" w:rsidRPr="00072EAA">
        <w:rPr>
          <w:rFonts w:ascii="楷体" w:eastAsia="楷体" w:hAnsi="楷体" w:hint="eastAsia"/>
          <w:b/>
          <w:color w:val="000000" w:themeColor="text1"/>
          <w:sz w:val="24"/>
          <w:szCs w:val="24"/>
        </w:rPr>
        <w:t>反弹动能难以持续，短期震荡为主</w:t>
      </w:r>
      <w:bookmarkEnd w:id="31"/>
    </w:p>
    <w:p w:rsidR="003F56A5" w:rsidRDefault="00072EAA">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不锈钢社会库存连续6周下降，目前基本回归中等水平，有利于提振短期市场情绪。但5月不锈钢排产环比明显增长，300系产量创新高，SMM数据为168.6万吨，环比+14.4%。供增需弱下，高利润不可维持，预计不锈钢价难有持有反弹动能，短期震荡为主，暂时观望或短线操作</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4432493"/>
      <w:r>
        <w:rPr>
          <w:rFonts w:ascii="楷体" w:eastAsia="楷体" w:hAnsi="楷体" w:hint="eastAsia"/>
          <w:b/>
          <w:color w:val="000000" w:themeColor="text1"/>
          <w:sz w:val="24"/>
          <w:szCs w:val="24"/>
        </w:rPr>
        <w:t>工业硅：</w:t>
      </w:r>
      <w:r w:rsidR="00072EAA" w:rsidRPr="00072EAA">
        <w:rPr>
          <w:rFonts w:ascii="楷体" w:eastAsia="楷体" w:hAnsi="楷体" w:hint="eastAsia"/>
          <w:b/>
          <w:sz w:val="24"/>
          <w:szCs w:val="24"/>
        </w:rPr>
        <w:t>供应未见明显恢复，预计短期下行空间有限</w:t>
      </w:r>
      <w:bookmarkEnd w:id="32"/>
    </w:p>
    <w:p w:rsidR="003F56A5" w:rsidRDefault="00072EAA" w:rsidP="007103A5">
      <w:pPr>
        <w:ind w:leftChars="300" w:left="630"/>
        <w:rPr>
          <w:rFonts w:ascii="楷体" w:eastAsia="楷体" w:hAnsi="楷体"/>
          <w:sz w:val="24"/>
          <w:szCs w:val="24"/>
        </w:rPr>
      </w:pPr>
      <w:r w:rsidRPr="00072EAA">
        <w:rPr>
          <w:rFonts w:ascii="楷体" w:eastAsia="楷体" w:hAnsi="楷体" w:hint="eastAsia"/>
          <w:sz w:val="24"/>
          <w:szCs w:val="24"/>
        </w:rPr>
        <w:t>5月5日，Si2308主力合约呈“V”字型走势，收盘价15225元/吨，较上一收盘价涨跌幅+0.23%。当前西南地区开工整体处于历史低位，截止5月4日，云南开炉率22.1%，四川开炉率17.7%。目前四川进入平水期，但电价下调幅度不大，仍处于较高水平，预计5月西南地区开工将延续低位运行，预计短期市场继续下行空间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443249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443249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72EAA" w:rsidRPr="00072EAA">
        <w:rPr>
          <w:rFonts w:ascii="楷体" w:eastAsia="楷体" w:hAnsi="楷体" w:hint="eastAsia"/>
          <w:b/>
          <w:sz w:val="24"/>
          <w:szCs w:val="24"/>
        </w:rPr>
        <w:t>节后港口库存累库严重 RU或窄幅整理为主</w:t>
      </w:r>
      <w:bookmarkEnd w:id="35"/>
    </w:p>
    <w:p w:rsidR="003F56A5" w:rsidRDefault="00072EAA">
      <w:pPr>
        <w:ind w:leftChars="300" w:left="630"/>
        <w:rPr>
          <w:rFonts w:ascii="楷体" w:eastAsia="楷体" w:hAnsi="楷体"/>
          <w:sz w:val="24"/>
          <w:szCs w:val="24"/>
        </w:rPr>
      </w:pPr>
      <w:r w:rsidRPr="00072EAA">
        <w:rPr>
          <w:rFonts w:ascii="楷体" w:eastAsia="楷体" w:hAnsi="楷体" w:hint="eastAsia"/>
          <w:sz w:val="24"/>
          <w:szCs w:val="24"/>
        </w:rPr>
        <w:t>点评：当前橡胶重回低位震荡格局。早前橡胶回暖，与云南产区受干旱和白粉病影响或将大幅减产有关，但因我国橡胶产量占全球不足10%，云南减产的扰动影响或有限，因此胶价上行的持续性仍有待观察。当前制约RU价格上行的主要矛盾还是港口库存的高企，因我国橡胶消费主要依赖进口，港口库存屡创新高也就证实了下游需求并未出现实质性的拐点和利好。橡胶其余基本面来看，供应端，近期国内外产区干旱，云南地区更是有白粉病的问题，原料价格窄幅走高，同时短时供应难有新增，为原料上涨提供主要助推。泰国宋卡原料价格基本与当前胶价持平，成本端支撑强劲。橡胶下游轮胎开工有所回落，尤其全钢胎市场销售压力较大，产能利用率快速下降。终端汽车方面，尽管多数车企化身“价格屠夫”，但Q1汽车产销累计同比依旧出现下滑，而重卡销量景气度逐步转好，扭转此前21个月连续同比下滑的情况，进而推动橡胶用量最大的下游全钢胎的生产，所以橡</w:t>
      </w:r>
      <w:r w:rsidRPr="00072EAA">
        <w:rPr>
          <w:rFonts w:ascii="楷体" w:eastAsia="楷体" w:hAnsi="楷体" w:hint="eastAsia"/>
          <w:sz w:val="24"/>
          <w:szCs w:val="24"/>
        </w:rPr>
        <w:lastRenderedPageBreak/>
        <w:t>胶价格在下游和主要终端支撑下，下行空间有限。出口方面，Q1轮胎累计出口量同比微幅回升，前期对海外市场经济衰退和轮胎消费疲软的预期被证实过度悲观。综合来看，目前橡胶除了港口库存累库这一历史性难题利空外，全钢胎早前的“繁荣”破灭。后期港口库存再得到抑制，甚至不需要出现明显拐点，同时轮胎开工能有所恢复，胶价二季度都会探底回升。短时天胶市场在去库问题未得到解决前，上涨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443249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72EAA" w:rsidRPr="00072EAA">
        <w:rPr>
          <w:rFonts w:ascii="楷体" w:eastAsia="楷体" w:hAnsi="楷体" w:hint="eastAsia"/>
          <w:b/>
          <w:color w:val="000000" w:themeColor="text1"/>
          <w:sz w:val="24"/>
          <w:szCs w:val="24"/>
        </w:rPr>
        <w:t>油价企稳反弹带动TA走强 关注低多机会</w:t>
      </w:r>
      <w:bookmarkEnd w:id="36"/>
      <w:r>
        <w:rPr>
          <w:rFonts w:ascii="楷体" w:eastAsia="楷体" w:hAnsi="楷体" w:hint="eastAsia"/>
          <w:b/>
          <w:color w:val="000000" w:themeColor="text1"/>
          <w:sz w:val="24"/>
          <w:szCs w:val="24"/>
        </w:rPr>
        <w:t xml:space="preserve"> </w:t>
      </w:r>
    </w:p>
    <w:p w:rsidR="003F56A5" w:rsidRDefault="00072EAA" w:rsidP="008E3B84">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PTA供给方面，亚东75万吨和英力士125万吨装置已经重启，嘉通二期250万吨装置低负荷运行，至5.4 PTA负荷调整至81.7%（+0.8%）。嘉通能源及惠州新装置运行正常，整体供应量有所提升。但恒力4#、新疆中泰、福建百宏、新凤鸣5月存计划检修，在PTA新装置投产对冲现有装置检修下，PTA整体供应压力不大。库存方面，上周PTA社会库存量约在269.75万吨，环比+6.32万吨。需求方面，五一附近几套聚酯按照检修或者减产计划执行，同期也有部分装置恢复，此外长丝其他装置也有出现局部负荷小幅下调。综合来看，本周聚酯负荷继续下调，截至5.4，初步核算国内大陆地区聚酯负荷在84.3%（-1.6%）。展望后市，考虑PTA加工费偏高位，存量及新产能有继续释放预期，但同时也面临中泰，百宏，恒力等装置检修，开工率预计在5月中下回落。需求方面，聚酯工厂减产检修计划增多，需求回落负反馈持续。综合来看，PTA供需矛盾尚不明显，短期原油企稳反弹成本支撑偏强，且聚酯大厂暂未大幅减产动作，PTA大幅回调的空间不大，仍将维持强势格局，关注TA09 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4432497"/>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4432498"/>
      <w:r>
        <w:rPr>
          <w:rFonts w:ascii="楷体" w:eastAsia="楷体" w:hAnsi="楷体" w:hint="eastAsia"/>
          <w:b/>
          <w:color w:val="000000" w:themeColor="text1"/>
          <w:sz w:val="24"/>
          <w:szCs w:val="24"/>
        </w:rPr>
        <w:t>聚烯烃：</w:t>
      </w:r>
      <w:r w:rsidR="00072EAA" w:rsidRPr="00072EAA">
        <w:rPr>
          <w:rFonts w:ascii="楷体" w:eastAsia="楷体" w:hAnsi="楷体" w:hint="eastAsia"/>
          <w:b/>
          <w:color w:val="000000" w:themeColor="text1"/>
          <w:sz w:val="24"/>
          <w:szCs w:val="24"/>
        </w:rPr>
        <w:t>原油给予成本端一定支撑，市场存触底反弹预期</w:t>
      </w:r>
      <w:bookmarkEnd w:id="38"/>
    </w:p>
    <w:p w:rsidR="003F56A5" w:rsidRDefault="00072EAA">
      <w:pPr>
        <w:ind w:leftChars="300" w:left="630"/>
        <w:rPr>
          <w:rFonts w:ascii="楷体" w:eastAsia="楷体" w:hAnsi="楷体"/>
          <w:bCs/>
          <w:sz w:val="24"/>
          <w:szCs w:val="24"/>
        </w:rPr>
      </w:pPr>
      <w:r w:rsidRPr="00072EAA">
        <w:rPr>
          <w:rFonts w:ascii="楷体" w:eastAsia="楷体" w:hAnsi="楷体" w:hint="eastAsia"/>
          <w:color w:val="000000" w:themeColor="text1"/>
          <w:sz w:val="24"/>
          <w:szCs w:val="24"/>
        </w:rPr>
        <w:t>近期聚烯烃窄幅波动。库存方面，4月28日国内PE库存环比4月21日下降4.99%，其中主要生产环节PE库存环比下降13.61%，PE样本港口库存环比增加1.83%，样本贸易企业库存环比增加1.55%。4月21日PP库存环比4月14日下跌5.59%。其中主要生产环节PP库存、贸易环节库存、港口库存均有下降。成本方面，稳健的美国就业数据缓和了对经济衰退的担忧， 国际油价尾随美国股市强劲反弹；需求方面，PE下游方面，农膜生</w:t>
      </w:r>
      <w:r w:rsidRPr="00072EAA">
        <w:rPr>
          <w:rFonts w:ascii="楷体" w:eastAsia="楷体" w:hAnsi="楷体" w:hint="eastAsia"/>
          <w:color w:val="000000" w:themeColor="text1"/>
          <w:sz w:val="24"/>
          <w:szCs w:val="24"/>
        </w:rPr>
        <w:lastRenderedPageBreak/>
        <w:t>产逐渐进入平淡期，短时间内难有明显起色；PP下游方面，BOPP市场成交刚需有量，整体量较上一交易日增加，BOPP企业未交付订单多数在一周以内，个别可至5月中。综合来看，PE方面，成本支撑好转，下游工厂刚需补库维持，下方支撑较强；计划检修装置较多，但是短期内暂无计划开车装置，供应压力有所缓解，供需边际有好转预期；再加上国际原油有止跌反弹预期，成本支撑有望增强，市场预计挺价为主。所以预计短期聚乙烯价格或止跌小幅反弹。PP方面，原油给予成本端一定支撑，市场存触底反弹预期。然需求无明显变化，下游刚需跟进，投机性需求偏淡。综合来看，聚丙烯存一定反弹空间，但反弹高度受需求制约</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4432499"/>
      <w:r>
        <w:rPr>
          <w:rFonts w:ascii="楷体" w:eastAsia="楷体" w:hAnsi="楷体" w:hint="eastAsia"/>
          <w:b/>
          <w:color w:val="000000" w:themeColor="text1"/>
          <w:sz w:val="24"/>
          <w:szCs w:val="24"/>
        </w:rPr>
        <w:t>MEG：</w:t>
      </w:r>
      <w:r w:rsidR="00072EAA" w:rsidRPr="00072EAA">
        <w:rPr>
          <w:rFonts w:ascii="楷体" w:eastAsia="楷体" w:hAnsi="楷体" w:hint="eastAsia"/>
          <w:b/>
          <w:color w:val="000000" w:themeColor="text1"/>
          <w:sz w:val="24"/>
          <w:szCs w:val="24"/>
        </w:rPr>
        <w:t>装置检修增多驱动去库预期 09逢低可多配</w:t>
      </w:r>
      <w:bookmarkEnd w:id="39"/>
    </w:p>
    <w:p w:rsidR="003F56A5" w:rsidRDefault="00072EAA" w:rsidP="00E45000">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供需情况，5.4 统计华东码头库存约在106万吨附近，环比上期减少8.3万吨。5月中旬起浙石化将执行减产，后期内贸货源输送至港口数量也将同步缩减，预计港口库存仍能持续至少1-2周的去化。截至5月4日，中国大陆地区乙二醇整体开工负荷在60.51%（+0.26%），其中煤制乙二醇开工负荷在59.80%（-2.08%）。进口方面来看，预估4-5月上旬沙特等外盘货源到港量不多，外轮到货数量偏低。聚酯需求端来看，截止5.4 初步核算国内大陆地区聚酯负荷在84.3%（-1.6%），开工高位回落中。本周江浙加弹综合开工率69%(+0%)，江浙织机综合开工率64%(+2%），江浙印染综合开工率71%（+3%），节后江浙开工小幅修复。综合来看，近期国内乙二醇供应端一体化装置计划内停车与转产预期增多，如恒力石化、浙石化1#、海南炼化等。三季度国内大型煤化工装置也存在明确的检修需要，如陕煤渭化有检修以及减产安排。随着一体化装置检修增多供应端的收缩，仍会加大库存去化力度，预计华东码头库存可以进一步下降。综合来看，从库消比走势看，未来两周去库回落明显，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4432500"/>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72EAA" w:rsidRPr="00072EAA">
        <w:rPr>
          <w:rFonts w:ascii="楷体" w:eastAsia="楷体" w:hAnsi="楷体" w:hint="eastAsia"/>
          <w:b/>
          <w:color w:val="000000" w:themeColor="text1"/>
          <w:sz w:val="24"/>
          <w:szCs w:val="24"/>
        </w:rPr>
        <w:t>现货涨幅趋缓，期价反弹</w:t>
      </w:r>
      <w:bookmarkEnd w:id="40"/>
    </w:p>
    <w:p w:rsidR="00A71A7E" w:rsidRDefault="00072EAA" w:rsidP="0079299D">
      <w:pPr>
        <w:ind w:leftChars="300" w:left="630"/>
        <w:rPr>
          <w:rFonts w:ascii="楷体" w:eastAsia="楷体" w:hAnsi="楷体"/>
          <w:color w:val="000000" w:themeColor="text1"/>
          <w:sz w:val="24"/>
          <w:szCs w:val="24"/>
        </w:rPr>
      </w:pPr>
      <w:r w:rsidRPr="00072EAA">
        <w:rPr>
          <w:rFonts w:ascii="楷体" w:eastAsia="楷体" w:hAnsi="楷体" w:hint="eastAsia"/>
          <w:color w:val="000000" w:themeColor="text1"/>
          <w:sz w:val="24"/>
          <w:szCs w:val="24"/>
        </w:rPr>
        <w:t>全国玻璃均价2202元/吨，较前一日+6元/吨；华中价格跟涨30，报价2210元/吨。整体去库速度减缓，远月多空博弈加剧，一方面原片厂去库后库存无压力，处于历史正常水平，现货价格难跌且远月期货深贴水，对期价有一定支撑作用；另一方面在当前估值偏高情况下，盘面对深加工企业订单需求持续性尚有担忧，下游经过一轮补库后商有存余，采购情绪走弱，但考虑到远月贴水，近强远弱情况，短期期价回调，下游支撑，有所反弹</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4432501"/>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72EAA" w:rsidRPr="00072EAA">
        <w:rPr>
          <w:rFonts w:ascii="楷体" w:eastAsia="楷体" w:hAnsi="楷体" w:hint="eastAsia"/>
          <w:b/>
          <w:color w:val="000000" w:themeColor="text1"/>
          <w:sz w:val="24"/>
          <w:szCs w:val="24"/>
        </w:rPr>
        <w:t>远月维稳，近月补跌</w:t>
      </w:r>
      <w:bookmarkEnd w:id="41"/>
    </w:p>
    <w:p w:rsidR="00A71A7E" w:rsidRDefault="00072EAA" w:rsidP="00A71A7E">
      <w:pPr>
        <w:ind w:leftChars="300" w:left="630"/>
        <w:rPr>
          <w:rFonts w:ascii="楷体" w:eastAsia="楷体" w:hAnsi="楷体"/>
          <w:bCs/>
          <w:sz w:val="24"/>
          <w:szCs w:val="24"/>
        </w:rPr>
      </w:pPr>
      <w:r w:rsidRPr="00072EAA">
        <w:rPr>
          <w:rFonts w:ascii="楷体" w:eastAsia="楷体" w:hAnsi="楷体" w:hint="eastAsia"/>
          <w:color w:val="000000" w:themeColor="text1"/>
          <w:sz w:val="24"/>
          <w:szCs w:val="24"/>
        </w:rPr>
        <w:t>国内纯碱市场走势偏弱，节后出货弱，企业库存有所增加，个别企业显著增加，下游需求不积极，观望为主。据隆众消息，华北重碱今日报价2900元/吨，环比持平，西北下跌130元/吨，报价在2350元/吨。现货价格节后由阴跌转向大幅下调，碱厂出货意愿强，但接货方少。盘面远月扩产预期交易较为充分，盘面上，周五夜盘有短线反弹迹象。建议观望</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443250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4432503"/>
      <w:r w:rsidRPr="00147B03">
        <w:rPr>
          <w:rFonts w:ascii="楷体" w:eastAsia="楷体" w:hAnsi="楷体" w:hint="eastAsia"/>
          <w:b/>
          <w:color w:val="000000" w:themeColor="text1"/>
          <w:sz w:val="24"/>
          <w:szCs w:val="24"/>
        </w:rPr>
        <w:lastRenderedPageBreak/>
        <w:t>豆粕/菜粕</w:t>
      </w:r>
      <w:r w:rsidR="00CC3FFA">
        <w:rPr>
          <w:rFonts w:ascii="楷体" w:eastAsia="楷体" w:hAnsi="楷体" w:hint="eastAsia"/>
          <w:b/>
          <w:color w:val="000000" w:themeColor="text1"/>
          <w:sz w:val="24"/>
          <w:szCs w:val="24"/>
        </w:rPr>
        <w:t>：</w:t>
      </w:r>
      <w:r w:rsidR="00072EAA" w:rsidRPr="00072EAA">
        <w:rPr>
          <w:rFonts w:ascii="楷体" w:eastAsia="楷体" w:hAnsi="楷体" w:hint="eastAsia"/>
          <w:b/>
          <w:sz w:val="24"/>
          <w:szCs w:val="24"/>
        </w:rPr>
        <w:t>短期或延续偏强</w:t>
      </w:r>
      <w:bookmarkEnd w:id="43"/>
    </w:p>
    <w:p w:rsidR="003F56A5" w:rsidRDefault="00072EAA">
      <w:pPr>
        <w:ind w:leftChars="300" w:left="630"/>
        <w:rPr>
          <w:rFonts w:ascii="楷体" w:eastAsia="楷体" w:hAnsi="楷体"/>
          <w:sz w:val="24"/>
          <w:szCs w:val="24"/>
        </w:rPr>
      </w:pPr>
      <w:r w:rsidRPr="00072EAA">
        <w:rPr>
          <w:rFonts w:ascii="楷体" w:eastAsia="楷体" w:hAnsi="楷体" w:hint="eastAsia"/>
          <w:sz w:val="24"/>
          <w:szCs w:val="24"/>
        </w:rPr>
        <w:t>国际方面，美豆近期收涨，但在当前种植情况良好以及出口下降下，缺乏驱动。美国大豆播种进度较快为19%，一周前为9%，上年同期为7%。这一水平远高于五年平均进度11%。巴西当前收割进度达92%，仍面临卖压，但巴西大豆贴水有所企稳且有反弹迹象，后续卖压或减弱，农户销售意愿较强，关注大豆销售进度。国内市场，随着到厂大豆增加，油厂目前已陆续恢复开机，但华北地区油厂仍有停工检修计划，且大豆较严问题仍存，支撑豆粕现货报价坚挺。虽大豆4-6月整体供给较宽松，阶段性供应压力仍存，但需要关注大豆到厂进度及后续油厂开工情况。下游养殖利润表现仍不佳，且在杂粕替代下饲企和养殖企业等对豆粕饲用需求增量有限，当前价格优势仍不明显，短期价格反弹成交放量，但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虽进口大豆增加是现实，但大豆到厂延迟仍对短期价格构成支撑，建议豆粕短多操作，暂看上方3600压力，菜粕可关注9-1正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4432504"/>
      <w:r>
        <w:rPr>
          <w:rFonts w:ascii="楷体" w:eastAsia="楷体" w:hAnsi="楷体" w:hint="eastAsia"/>
          <w:b/>
          <w:color w:val="000000" w:themeColor="text1"/>
          <w:sz w:val="24"/>
          <w:szCs w:val="24"/>
        </w:rPr>
        <w:t>油脂：</w:t>
      </w:r>
      <w:r w:rsidR="00072EAA" w:rsidRPr="00072EAA">
        <w:rPr>
          <w:rFonts w:ascii="楷体" w:eastAsia="楷体" w:hAnsi="楷体" w:hint="eastAsia"/>
          <w:b/>
          <w:sz w:val="24"/>
          <w:szCs w:val="24"/>
        </w:rPr>
        <w:t>供给端扰动，反弹持续性待观望</w:t>
      </w:r>
      <w:bookmarkEnd w:id="44"/>
    </w:p>
    <w:p w:rsidR="003F56A5" w:rsidRDefault="00072EAA" w:rsidP="00792D31">
      <w:pPr>
        <w:ind w:leftChars="300" w:left="630"/>
        <w:rPr>
          <w:rFonts w:ascii="楷体" w:eastAsia="楷体" w:hAnsi="楷体"/>
          <w:sz w:val="24"/>
          <w:szCs w:val="24"/>
        </w:rPr>
      </w:pPr>
      <w:r w:rsidRPr="00072EAA">
        <w:rPr>
          <w:rFonts w:ascii="楷体" w:eastAsia="楷体" w:hAnsi="楷体" w:hint="eastAsia"/>
          <w:sz w:val="24"/>
          <w:szCs w:val="24"/>
        </w:rPr>
        <w:t>在外盘油价走强，黑海协议担忧，产地供应修复或不及预期以及国内棕榈油去库下，短期支撑油脂反弹。棕榈油，当前主要驱动在于市场预估马来4月库存或降至近期新低，但仍需等本周MPOB报告落地验证。但后续降进入增产周期，出口需求因主要消费国高库存及进口利润不佳受抑，也限制了棕榈油上方空间，船运机构显示马来西亚4月1-25日棕榈油出口量环比减少14-18.4%。而印尼于5月1日起将棕榈油国内市场义务(DMO)下调至每月30万吨。把散油出口比率从1:6收紧至1:4，但贸易商手中仍有充足出口配额，因此政策影响有限。但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进口大豆集中供应，豆油供应存边际修复预期。菜油在供应宽松下，上方压力仍存。随着进口加籽到港量维持高位，菜籽供应较稳定，1-3月累计进口菜籽166万吨，且4-6月份菜籽到港预计仍将维持偏高水平。当前油厂开工较稳定，叠加进口菜油供给也在增加，供应较为宽松。需求方面，在地域饮食偏好下整体增量有限，而替代需求仍需具有明显价格优势。短期油脂或延续震荡整理，不建议持续追多，棕榈油表现最强，豆棕09价差继续收窄</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4432505"/>
      <w:r>
        <w:rPr>
          <w:rFonts w:ascii="楷体" w:eastAsia="楷体" w:hAnsi="楷体" w:hint="eastAsia"/>
          <w:b/>
          <w:bCs/>
          <w:color w:val="000000" w:themeColor="text1"/>
        </w:rPr>
        <w:t>玉米与淀粉：</w:t>
      </w:r>
      <w:r w:rsidR="00072EAA" w:rsidRPr="00072EAA">
        <w:rPr>
          <w:rFonts w:ascii="楷体" w:eastAsia="楷体" w:hAnsi="楷体" w:hint="eastAsia"/>
          <w:b/>
        </w:rPr>
        <w:t>周五夜盘内外期价反弹</w:t>
      </w:r>
      <w:bookmarkEnd w:id="45"/>
    </w:p>
    <w:p w:rsidR="00072EAA" w:rsidRPr="00072EAA" w:rsidRDefault="00072EAA" w:rsidP="00072EAA">
      <w:pPr>
        <w:pStyle w:val="paragraph"/>
        <w:spacing w:before="60" w:after="60"/>
        <w:ind w:leftChars="300" w:left="630"/>
        <w:rPr>
          <w:rFonts w:ascii="楷体" w:eastAsia="楷体" w:hAnsi="楷体" w:hint="eastAsia"/>
        </w:rPr>
      </w:pPr>
      <w:r w:rsidRPr="00072EAA">
        <w:rPr>
          <w:rFonts w:ascii="楷体" w:eastAsia="楷体" w:hAnsi="楷体" w:hint="eastAsia"/>
        </w:rPr>
        <w:t>对于玉米而言，近期期价下跌主要源于性价比因素，即在国内小麦和进口玉米成本持续下跌抑制对国产玉米的需求。还可以看出，玉米期价从</w:t>
      </w:r>
      <w:r w:rsidRPr="00072EAA">
        <w:rPr>
          <w:rFonts w:ascii="楷体" w:eastAsia="楷体" w:hAnsi="楷体" w:hint="eastAsia"/>
        </w:rPr>
        <w:lastRenderedPageBreak/>
        <w:t>前期的产区定价转向销区定价，即目前期价更贴近南方销区现货价格水平。但需要留意的是，随着玉米期现货价格的下跌，其性价比有所改善，这会抑制其继续下跌的空间，且后期替代和进口层面存在变数，而目前尚无法确定年度产需缺口已经得到补充。更为重要的是，下游饲料企业库存偏低，而产区贸易商亏损严重，需要特别担心国内玉米定价再度从销区转向产区，当然，这需要看到渠道库存的去化。</w:t>
      </w:r>
    </w:p>
    <w:p w:rsidR="003F56A5" w:rsidRDefault="00072EAA" w:rsidP="00072EAA">
      <w:pPr>
        <w:pStyle w:val="paragraph"/>
        <w:spacing w:before="60" w:beforeAutospacing="0" w:after="60" w:afterAutospacing="0"/>
        <w:ind w:leftChars="300" w:left="630"/>
        <w:rPr>
          <w:rFonts w:ascii="楷体" w:eastAsia="楷体" w:hAnsi="楷体"/>
        </w:rPr>
      </w:pPr>
      <w:r w:rsidRPr="00072EAA">
        <w:rPr>
          <w:rFonts w:ascii="楷体" w:eastAsia="楷体" w:hAnsi="楷体" w:hint="eastAsia"/>
        </w:rPr>
        <w:t>对于淀粉而言，近期淀粉-玉米价差整体走扩，主要源于产区原料成本和现货基差两个方面的支撑，考虑到副产品价格持续下跌之后，且行业开机率或通过供应端带动行业供需趋于改善，淀粉-玉米价差或回归往年正常波动区间。在这种情况下，我们建议持有淀粉-玉米价差走扩套利，激进投资者可轻仓介入做多，以去年7月低点作为止损</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4432506"/>
      <w:r>
        <w:rPr>
          <w:rFonts w:ascii="楷体" w:eastAsia="楷体" w:hAnsi="楷体" w:hint="eastAsia"/>
          <w:b/>
          <w:bCs/>
          <w:color w:val="000000" w:themeColor="text1"/>
        </w:rPr>
        <w:t>畜禽养殖：</w:t>
      </w:r>
      <w:r w:rsidR="00072EAA" w:rsidRPr="00072EAA">
        <w:rPr>
          <w:rFonts w:ascii="楷体" w:eastAsia="楷体" w:hAnsi="楷体" w:hint="eastAsia"/>
          <w:b/>
          <w:bCs/>
          <w:color w:val="000000" w:themeColor="text1"/>
        </w:rPr>
        <w:t>国家收储消息带动生猪期价反弹</w:t>
      </w:r>
      <w:bookmarkEnd w:id="46"/>
    </w:p>
    <w:p w:rsidR="00072EAA" w:rsidRPr="00072EAA" w:rsidRDefault="00072EAA" w:rsidP="00072EAA">
      <w:pPr>
        <w:pStyle w:val="paragraph"/>
        <w:spacing w:before="60" w:after="60"/>
        <w:ind w:leftChars="300" w:left="630"/>
        <w:rPr>
          <w:rFonts w:ascii="楷体" w:eastAsia="楷体" w:hAnsi="楷体" w:hint="eastAsia"/>
        </w:rPr>
      </w:pPr>
      <w:r w:rsidRPr="00072EAA">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疫情防控政策的放开，社会流动性提高，消费有望恢复至常年水平，除去宏观经济数据外，从节后鸡蛋和白羽鸡价格和利润处于历史同期高位水平可以得到印证。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维持谨慎看多观点。</w:t>
      </w:r>
    </w:p>
    <w:p w:rsidR="003F56A5" w:rsidRDefault="00072EAA" w:rsidP="00072EAA">
      <w:pPr>
        <w:pStyle w:val="paragraph"/>
        <w:spacing w:before="60" w:beforeAutospacing="0" w:after="60" w:afterAutospacing="0"/>
        <w:ind w:leftChars="300" w:left="630"/>
        <w:rPr>
          <w:rFonts w:ascii="楷体" w:eastAsia="楷体" w:hAnsi="楷体"/>
        </w:rPr>
      </w:pPr>
      <w:r w:rsidRPr="00072EAA">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4432507"/>
      <w:r>
        <w:rPr>
          <w:rFonts w:ascii="楷体" w:eastAsia="楷体" w:hAnsi="楷体" w:hint="eastAsia"/>
          <w:b/>
          <w:sz w:val="24"/>
          <w:szCs w:val="24"/>
        </w:rPr>
        <w:t>郑棉：</w:t>
      </w:r>
      <w:r w:rsidR="00072EAA" w:rsidRPr="00072EAA">
        <w:rPr>
          <w:rFonts w:ascii="楷体" w:eastAsia="楷体" w:hAnsi="楷体" w:hint="eastAsia"/>
          <w:b/>
          <w:sz w:val="24"/>
          <w:szCs w:val="24"/>
        </w:rPr>
        <w:t>预计偏强震荡，观望或空9多1</w:t>
      </w:r>
      <w:bookmarkEnd w:id="47"/>
    </w:p>
    <w:p w:rsidR="003F56A5" w:rsidRDefault="00072EAA" w:rsidP="00B17165">
      <w:pPr>
        <w:ind w:leftChars="300" w:left="630"/>
        <w:rPr>
          <w:rFonts w:ascii="楷体" w:eastAsia="楷体" w:hAnsi="楷体"/>
          <w:sz w:val="24"/>
          <w:szCs w:val="24"/>
        </w:rPr>
      </w:pPr>
      <w:r w:rsidRPr="00072EAA">
        <w:rPr>
          <w:rFonts w:ascii="楷体" w:eastAsia="楷体" w:hAnsi="楷体" w:hint="eastAsia"/>
          <w:sz w:val="24"/>
          <w:szCs w:val="24"/>
        </w:rPr>
        <w:t>当前市场关注焦点主要集中在供应端，尤其是国内天气持续不佳，苹果红枣花生等其他农产品走势同样偏强，容易形成联动效应。近期天气对棉花种植产生较为明显的不利影响，种植面积也有进一步缩减的可能。但是郑棉涨幅较大，已反馈多数供应端利好，而需求端走弱也是同样明显。坯布本已处于历年来次高水平，近期纱线累库速度也在增快，虽然因本年度银行支持，纺织行业的负反馈暂时还未传导至棉花，但棉价继续上涨对产业</w:t>
      </w:r>
      <w:r w:rsidRPr="00072EAA">
        <w:rPr>
          <w:rFonts w:ascii="楷体" w:eastAsia="楷体" w:hAnsi="楷体" w:hint="eastAsia"/>
          <w:sz w:val="24"/>
          <w:szCs w:val="24"/>
        </w:rPr>
        <w:lastRenderedPageBreak/>
        <w:t>的压力无疑会变得越来越大。因天气利好和轧花厂利好等因素主要集中在01合约上，近月相对将弱于远月，可考虑空9多1</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EEB" w:rsidRDefault="005A5EEB">
      <w:r>
        <w:separator/>
      </w:r>
    </w:p>
  </w:endnote>
  <w:endnote w:type="continuationSeparator" w:id="0">
    <w:p w:rsidR="005A5EEB" w:rsidRDefault="005A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28A21D94" wp14:editId="6E5587D6">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C7794">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C7794">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EEB" w:rsidRDefault="005A5EEB">
      <w:r>
        <w:separator/>
      </w:r>
    </w:p>
  </w:footnote>
  <w:footnote w:type="continuationSeparator" w:id="0">
    <w:p w:rsidR="005A5EEB" w:rsidRDefault="005A5E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619E54A0" wp14:editId="1221756A">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2490B1C" wp14:editId="273C207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72EAA">
      <w:rPr>
        <w:rFonts w:ascii="Times New Roman" w:eastAsia="楷体" w:hAnsi="Times New Roman" w:hint="eastAsia"/>
        <w:b/>
        <w:bCs/>
        <w:noProof/>
        <w:color w:val="833C0B"/>
        <w:sz w:val="21"/>
      </w:rPr>
      <w:t>2023</w:t>
    </w:r>
    <w:r w:rsidR="00072EAA">
      <w:rPr>
        <w:rFonts w:ascii="Times New Roman" w:eastAsia="楷体" w:hAnsi="Times New Roman" w:hint="eastAsia"/>
        <w:b/>
        <w:bCs/>
        <w:noProof/>
        <w:color w:val="833C0B"/>
        <w:sz w:val="21"/>
      </w:rPr>
      <w:t>年</w:t>
    </w:r>
    <w:r w:rsidR="00072EAA">
      <w:rPr>
        <w:rFonts w:ascii="Times New Roman" w:eastAsia="楷体" w:hAnsi="Times New Roman" w:hint="eastAsia"/>
        <w:b/>
        <w:bCs/>
        <w:noProof/>
        <w:color w:val="833C0B"/>
        <w:sz w:val="21"/>
      </w:rPr>
      <w:t>5</w:t>
    </w:r>
    <w:r w:rsidR="00072EAA">
      <w:rPr>
        <w:rFonts w:ascii="Times New Roman" w:eastAsia="楷体" w:hAnsi="Times New Roman" w:hint="eastAsia"/>
        <w:b/>
        <w:bCs/>
        <w:noProof/>
        <w:color w:val="833C0B"/>
        <w:sz w:val="21"/>
      </w:rPr>
      <w:t>月</w:t>
    </w:r>
    <w:r w:rsidR="00072EAA">
      <w:rPr>
        <w:rFonts w:ascii="Times New Roman" w:eastAsia="楷体" w:hAnsi="Times New Roman" w:hint="eastAsia"/>
        <w:b/>
        <w:bCs/>
        <w:noProof/>
        <w:color w:val="833C0B"/>
        <w:sz w:val="21"/>
      </w:rPr>
      <w:t>8</w:t>
    </w:r>
    <w:r w:rsidR="00072EAA">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5145ED"/>
    <w:rsid w:val="00535DC9"/>
    <w:rsid w:val="00540298"/>
    <w:rsid w:val="00541F3F"/>
    <w:rsid w:val="00547DD7"/>
    <w:rsid w:val="005523A5"/>
    <w:rsid w:val="00576234"/>
    <w:rsid w:val="005818A8"/>
    <w:rsid w:val="0058734B"/>
    <w:rsid w:val="00591B89"/>
    <w:rsid w:val="00593B03"/>
    <w:rsid w:val="00593F40"/>
    <w:rsid w:val="005A5EEB"/>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55EAF"/>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43931"/>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8B045-8E13-422F-BDAB-3B091497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10</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100</cp:revision>
  <cp:lastPrinted>2023-04-20T02:18:00Z</cp:lastPrinted>
  <dcterms:created xsi:type="dcterms:W3CDTF">2022-11-15T10:06:00Z</dcterms:created>
  <dcterms:modified xsi:type="dcterms:W3CDTF">2023-05-08T02:01:00Z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