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F09BE"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7F09BE" w:rsidRPr="00DB0C66">
            <w:rPr>
              <w:rStyle w:val="a7"/>
              <w:noProof/>
            </w:rPr>
            <w:fldChar w:fldCharType="begin"/>
          </w:r>
          <w:r w:rsidR="007F09BE" w:rsidRPr="00DB0C66">
            <w:rPr>
              <w:rStyle w:val="a7"/>
              <w:noProof/>
            </w:rPr>
            <w:instrText xml:space="preserve"> </w:instrText>
          </w:r>
          <w:r w:rsidR="007F09BE">
            <w:rPr>
              <w:noProof/>
            </w:rPr>
            <w:instrText>HYPERLINK \l "_Toc134173267"</w:instrText>
          </w:r>
          <w:r w:rsidR="007F09BE" w:rsidRPr="00DB0C66">
            <w:rPr>
              <w:rStyle w:val="a7"/>
              <w:noProof/>
            </w:rPr>
            <w:instrText xml:space="preserve"> </w:instrText>
          </w:r>
          <w:r w:rsidR="007F09BE" w:rsidRPr="00DB0C66">
            <w:rPr>
              <w:rStyle w:val="a7"/>
              <w:noProof/>
            </w:rPr>
          </w:r>
          <w:r w:rsidR="007F09BE" w:rsidRPr="00DB0C66">
            <w:rPr>
              <w:rStyle w:val="a7"/>
              <w:noProof/>
            </w:rPr>
            <w:fldChar w:fldCharType="separate"/>
          </w:r>
          <w:r w:rsidR="007F09BE" w:rsidRPr="00DB0C66">
            <w:rPr>
              <w:rStyle w:val="a7"/>
              <w:rFonts w:ascii="Times New Roman" w:eastAsia="楷体" w:hAnsi="Times New Roman"/>
              <w:b/>
              <w:noProof/>
            </w:rPr>
            <w:t>[</w:t>
          </w:r>
          <w:r w:rsidR="007F09BE" w:rsidRPr="00DB0C66">
            <w:rPr>
              <w:rStyle w:val="a7"/>
              <w:rFonts w:ascii="Times New Roman" w:eastAsia="楷体" w:hAnsi="Times New Roman"/>
              <w:b/>
              <w:noProof/>
            </w:rPr>
            <w:t>金融</w:t>
          </w:r>
          <w:r w:rsidR="007F09BE" w:rsidRPr="00DB0C66">
            <w:rPr>
              <w:rStyle w:val="a7"/>
              <w:rFonts w:ascii="Times New Roman" w:eastAsia="楷体" w:hAnsi="Times New Roman"/>
              <w:b/>
              <w:noProof/>
            </w:rPr>
            <w:t>]</w:t>
          </w:r>
          <w:r w:rsidR="007F09BE" w:rsidRPr="00DB0C66">
            <w:rPr>
              <w:rStyle w:val="a7"/>
              <w:noProof/>
            </w:rPr>
            <w:fldChar w:fldCharType="end"/>
          </w:r>
        </w:p>
        <w:p w:rsidR="007F09BE" w:rsidRDefault="007F09BE">
          <w:pPr>
            <w:pStyle w:val="2"/>
            <w:tabs>
              <w:tab w:val="right" w:leader="dot" w:pos="8296"/>
            </w:tabs>
            <w:rPr>
              <w:rFonts w:eastAsiaTheme="minorEastAsia"/>
              <w:noProof/>
              <w:szCs w:val="22"/>
            </w:rPr>
          </w:pPr>
          <w:hyperlink w:anchor="_Toc134173268" w:history="1">
            <w:r w:rsidRPr="00DB0C66">
              <w:rPr>
                <w:rStyle w:val="a7"/>
                <w:rFonts w:ascii="Times New Roman" w:eastAsia="楷体" w:hAnsi="Times New Roman"/>
                <w:b/>
                <w:noProof/>
              </w:rPr>
              <w:t>股指：关注低多机会</w:t>
            </w:r>
          </w:hyperlink>
        </w:p>
        <w:p w:rsidR="007F09BE" w:rsidRDefault="007F09BE">
          <w:pPr>
            <w:pStyle w:val="11"/>
            <w:tabs>
              <w:tab w:val="right" w:leader="dot" w:pos="8296"/>
            </w:tabs>
            <w:rPr>
              <w:rFonts w:eastAsiaTheme="minorEastAsia"/>
              <w:noProof/>
              <w:szCs w:val="22"/>
            </w:rPr>
          </w:pPr>
          <w:hyperlink w:anchor="_Toc134173269" w:history="1">
            <w:r w:rsidRPr="00DB0C66">
              <w:rPr>
                <w:rStyle w:val="a7"/>
                <w:rFonts w:ascii="Times New Roman" w:eastAsia="楷体" w:hAnsi="Times New Roman"/>
                <w:b/>
                <w:noProof/>
              </w:rPr>
              <w:t>[</w:t>
            </w:r>
            <w:r w:rsidRPr="00DB0C66">
              <w:rPr>
                <w:rStyle w:val="a7"/>
                <w:rFonts w:ascii="Times New Roman" w:eastAsia="楷体" w:hAnsi="Times New Roman"/>
                <w:b/>
                <w:noProof/>
              </w:rPr>
              <w:t>贵金属</w:t>
            </w:r>
            <w:r w:rsidRPr="00DB0C66">
              <w:rPr>
                <w:rStyle w:val="a7"/>
                <w:rFonts w:ascii="Times New Roman" w:eastAsia="楷体" w:hAnsi="Times New Roman"/>
                <w:b/>
                <w:noProof/>
              </w:rPr>
              <w:t>]</w:t>
            </w:r>
          </w:hyperlink>
        </w:p>
        <w:p w:rsidR="007F09BE" w:rsidRDefault="007F09BE">
          <w:pPr>
            <w:pStyle w:val="2"/>
            <w:tabs>
              <w:tab w:val="right" w:leader="dot" w:pos="8296"/>
            </w:tabs>
            <w:rPr>
              <w:rFonts w:eastAsiaTheme="minorEastAsia"/>
              <w:noProof/>
              <w:szCs w:val="22"/>
            </w:rPr>
          </w:pPr>
          <w:hyperlink w:anchor="_Toc134173270" w:history="1">
            <w:r w:rsidRPr="00DB0C66">
              <w:rPr>
                <w:rStyle w:val="a7"/>
                <w:rFonts w:ascii="Times New Roman" w:eastAsia="楷体" w:hAnsi="Times New Roman"/>
                <w:b/>
                <w:noProof/>
              </w:rPr>
              <w:t>贵金属：美国初请失业金人数上升，金价高位震荡</w:t>
            </w:r>
          </w:hyperlink>
        </w:p>
        <w:p w:rsidR="007F09BE" w:rsidRDefault="007F09BE">
          <w:pPr>
            <w:pStyle w:val="11"/>
            <w:tabs>
              <w:tab w:val="right" w:leader="dot" w:pos="8296"/>
            </w:tabs>
            <w:rPr>
              <w:rFonts w:eastAsiaTheme="minorEastAsia"/>
              <w:noProof/>
              <w:szCs w:val="22"/>
            </w:rPr>
          </w:pPr>
          <w:hyperlink w:anchor="_Toc134173271" w:history="1">
            <w:r w:rsidRPr="00DB0C66">
              <w:rPr>
                <w:rStyle w:val="a7"/>
                <w:rFonts w:ascii="Times New Roman" w:eastAsia="楷体" w:hAnsi="Times New Roman"/>
                <w:b/>
                <w:noProof/>
              </w:rPr>
              <w:t>[</w:t>
            </w:r>
            <w:r w:rsidRPr="00DB0C66">
              <w:rPr>
                <w:rStyle w:val="a7"/>
                <w:rFonts w:ascii="Times New Roman" w:eastAsia="楷体" w:hAnsi="Times New Roman"/>
                <w:b/>
                <w:noProof/>
              </w:rPr>
              <w:t>金属</w:t>
            </w:r>
            <w:r w:rsidRPr="00DB0C66">
              <w:rPr>
                <w:rStyle w:val="a7"/>
                <w:rFonts w:ascii="Times New Roman" w:eastAsia="楷体" w:hAnsi="Times New Roman"/>
                <w:b/>
                <w:noProof/>
              </w:rPr>
              <w:t>]</w:t>
            </w:r>
          </w:hyperlink>
        </w:p>
        <w:p w:rsidR="007F09BE" w:rsidRDefault="007F09BE">
          <w:pPr>
            <w:pStyle w:val="2"/>
            <w:tabs>
              <w:tab w:val="right" w:leader="dot" w:pos="8296"/>
            </w:tabs>
            <w:rPr>
              <w:rFonts w:eastAsiaTheme="minorEastAsia"/>
              <w:noProof/>
              <w:szCs w:val="22"/>
            </w:rPr>
          </w:pPr>
          <w:hyperlink w:anchor="_Toc134173272" w:history="1">
            <w:r w:rsidRPr="00DB0C66">
              <w:rPr>
                <w:rStyle w:val="a7"/>
                <w:rFonts w:ascii="楷体" w:eastAsia="楷体" w:hAnsi="楷体"/>
                <w:b/>
                <w:noProof/>
              </w:rPr>
              <w:t>螺纹钢：驱动向下，承压运行，逢高空为主</w:t>
            </w:r>
          </w:hyperlink>
        </w:p>
        <w:p w:rsidR="007F09BE" w:rsidRDefault="007F09BE">
          <w:pPr>
            <w:pStyle w:val="2"/>
            <w:tabs>
              <w:tab w:val="right" w:leader="dot" w:pos="8296"/>
            </w:tabs>
            <w:rPr>
              <w:rFonts w:eastAsiaTheme="minorEastAsia"/>
              <w:noProof/>
              <w:szCs w:val="22"/>
            </w:rPr>
          </w:pPr>
          <w:hyperlink w:anchor="_Toc134173273" w:history="1">
            <w:r w:rsidRPr="00DB0C66">
              <w:rPr>
                <w:rStyle w:val="a7"/>
                <w:rFonts w:ascii="楷体" w:eastAsia="楷体" w:hAnsi="楷体"/>
                <w:b/>
                <w:noProof/>
              </w:rPr>
              <w:t>焦炭：现货补跌中，承压运行</w:t>
            </w:r>
          </w:hyperlink>
        </w:p>
        <w:p w:rsidR="007F09BE" w:rsidRDefault="007F09BE">
          <w:pPr>
            <w:pStyle w:val="2"/>
            <w:tabs>
              <w:tab w:val="right" w:leader="dot" w:pos="8296"/>
            </w:tabs>
            <w:rPr>
              <w:rFonts w:eastAsiaTheme="minorEastAsia"/>
              <w:noProof/>
              <w:szCs w:val="22"/>
            </w:rPr>
          </w:pPr>
          <w:hyperlink w:anchor="_Toc134173274" w:history="1">
            <w:r w:rsidRPr="00DB0C66">
              <w:rPr>
                <w:rStyle w:val="a7"/>
                <w:rFonts w:ascii="楷体" w:eastAsia="楷体" w:hAnsi="楷体"/>
                <w:b/>
                <w:noProof/>
              </w:rPr>
              <w:t>焦煤：现货下跌或仍未结束，偏弱运行</w:t>
            </w:r>
          </w:hyperlink>
        </w:p>
        <w:p w:rsidR="007F09BE" w:rsidRDefault="007F09BE">
          <w:pPr>
            <w:pStyle w:val="2"/>
            <w:tabs>
              <w:tab w:val="right" w:leader="dot" w:pos="8296"/>
            </w:tabs>
            <w:rPr>
              <w:rFonts w:eastAsiaTheme="minorEastAsia"/>
              <w:noProof/>
              <w:szCs w:val="22"/>
            </w:rPr>
          </w:pPr>
          <w:hyperlink w:anchor="_Toc134173275" w:history="1">
            <w:r w:rsidRPr="00DB0C66">
              <w:rPr>
                <w:rStyle w:val="a7"/>
                <w:rFonts w:ascii="楷体" w:eastAsia="楷体" w:hAnsi="楷体"/>
                <w:b/>
                <w:noProof/>
              </w:rPr>
              <w:t>铜：维持偏弱运行</w:t>
            </w:r>
          </w:hyperlink>
        </w:p>
        <w:p w:rsidR="007F09BE" w:rsidRDefault="007F09BE">
          <w:pPr>
            <w:pStyle w:val="2"/>
            <w:tabs>
              <w:tab w:val="right" w:leader="dot" w:pos="8296"/>
            </w:tabs>
            <w:rPr>
              <w:rFonts w:eastAsiaTheme="minorEastAsia"/>
              <w:noProof/>
              <w:szCs w:val="22"/>
            </w:rPr>
          </w:pPr>
          <w:hyperlink w:anchor="_Toc134173276" w:history="1">
            <w:r w:rsidRPr="00DB0C66">
              <w:rPr>
                <w:rStyle w:val="a7"/>
                <w:rFonts w:ascii="楷体" w:eastAsia="楷体" w:hAnsi="楷体"/>
                <w:b/>
                <w:noProof/>
              </w:rPr>
              <w:t>铝：铝价短期震荡为主，中期偏空看待</w:t>
            </w:r>
          </w:hyperlink>
        </w:p>
        <w:p w:rsidR="007F09BE" w:rsidRDefault="007F09BE">
          <w:pPr>
            <w:pStyle w:val="2"/>
            <w:tabs>
              <w:tab w:val="right" w:leader="dot" w:pos="8296"/>
            </w:tabs>
            <w:rPr>
              <w:rFonts w:eastAsiaTheme="minorEastAsia"/>
              <w:noProof/>
              <w:szCs w:val="22"/>
            </w:rPr>
          </w:pPr>
          <w:hyperlink w:anchor="_Toc134173277" w:history="1">
            <w:r w:rsidRPr="00DB0C66">
              <w:rPr>
                <w:rStyle w:val="a7"/>
                <w:rFonts w:ascii="楷体" w:eastAsia="楷体" w:hAnsi="楷体"/>
                <w:b/>
                <w:noProof/>
              </w:rPr>
              <w:t>锌：供强需弱持续强化，锌价偏弱运行</w:t>
            </w:r>
          </w:hyperlink>
        </w:p>
        <w:p w:rsidR="007F09BE" w:rsidRDefault="007F09BE">
          <w:pPr>
            <w:pStyle w:val="2"/>
            <w:tabs>
              <w:tab w:val="right" w:leader="dot" w:pos="8296"/>
            </w:tabs>
            <w:rPr>
              <w:rFonts w:eastAsiaTheme="minorEastAsia"/>
              <w:noProof/>
              <w:szCs w:val="22"/>
            </w:rPr>
          </w:pPr>
          <w:hyperlink w:anchor="_Toc134173278" w:history="1">
            <w:r w:rsidRPr="00DB0C66">
              <w:rPr>
                <w:rStyle w:val="a7"/>
                <w:rFonts w:ascii="楷体" w:eastAsia="楷体" w:hAnsi="楷体"/>
                <w:b/>
                <w:noProof/>
              </w:rPr>
              <w:t>镍：供应预期持续施压，逢高空思路不变</w:t>
            </w:r>
          </w:hyperlink>
        </w:p>
        <w:p w:rsidR="007F09BE" w:rsidRDefault="007F09BE">
          <w:pPr>
            <w:pStyle w:val="2"/>
            <w:tabs>
              <w:tab w:val="right" w:leader="dot" w:pos="8296"/>
            </w:tabs>
            <w:rPr>
              <w:rFonts w:eastAsiaTheme="minorEastAsia"/>
              <w:noProof/>
              <w:szCs w:val="22"/>
            </w:rPr>
          </w:pPr>
          <w:hyperlink w:anchor="_Toc134173279" w:history="1">
            <w:r w:rsidRPr="00DB0C66">
              <w:rPr>
                <w:rStyle w:val="a7"/>
                <w:rFonts w:ascii="楷体" w:eastAsia="楷体" w:hAnsi="楷体"/>
                <w:b/>
                <w:noProof/>
              </w:rPr>
              <w:t>铅：淡季之下基本面情况未变，铅价震荡为主</w:t>
            </w:r>
          </w:hyperlink>
        </w:p>
        <w:p w:rsidR="007F09BE" w:rsidRDefault="007F09BE">
          <w:pPr>
            <w:pStyle w:val="2"/>
            <w:tabs>
              <w:tab w:val="right" w:leader="dot" w:pos="8296"/>
            </w:tabs>
            <w:rPr>
              <w:rFonts w:eastAsiaTheme="minorEastAsia"/>
              <w:noProof/>
              <w:szCs w:val="22"/>
            </w:rPr>
          </w:pPr>
          <w:hyperlink w:anchor="_Toc134173280" w:history="1">
            <w:r w:rsidRPr="00DB0C66">
              <w:rPr>
                <w:rStyle w:val="a7"/>
                <w:rFonts w:ascii="楷体" w:eastAsia="楷体" w:hAnsi="楷体"/>
                <w:b/>
                <w:noProof/>
              </w:rPr>
              <w:t>不锈钢：反弹动能难以持续，短线空单继续持有</w:t>
            </w:r>
          </w:hyperlink>
        </w:p>
        <w:p w:rsidR="007F09BE" w:rsidRDefault="007F09BE">
          <w:pPr>
            <w:pStyle w:val="2"/>
            <w:tabs>
              <w:tab w:val="right" w:leader="dot" w:pos="8296"/>
            </w:tabs>
            <w:rPr>
              <w:rFonts w:eastAsiaTheme="minorEastAsia"/>
              <w:noProof/>
              <w:szCs w:val="22"/>
            </w:rPr>
          </w:pPr>
          <w:hyperlink w:anchor="_Toc134173281" w:history="1">
            <w:r w:rsidRPr="00DB0C66">
              <w:rPr>
                <w:rStyle w:val="a7"/>
                <w:rFonts w:ascii="楷体" w:eastAsia="楷体" w:hAnsi="楷体"/>
                <w:b/>
                <w:noProof/>
              </w:rPr>
              <w:t>工业硅：需求无明显改善，压制盘面反弹空间</w:t>
            </w:r>
          </w:hyperlink>
        </w:p>
        <w:p w:rsidR="007F09BE" w:rsidRDefault="007F09BE">
          <w:pPr>
            <w:pStyle w:val="11"/>
            <w:tabs>
              <w:tab w:val="right" w:leader="dot" w:pos="8296"/>
            </w:tabs>
            <w:rPr>
              <w:rFonts w:eastAsiaTheme="minorEastAsia"/>
              <w:noProof/>
              <w:szCs w:val="22"/>
            </w:rPr>
          </w:pPr>
          <w:hyperlink w:anchor="_Toc134173282" w:history="1">
            <w:r w:rsidRPr="00DB0C66">
              <w:rPr>
                <w:rStyle w:val="a7"/>
                <w:rFonts w:ascii="Times New Roman" w:eastAsia="楷体" w:hAnsi="Times New Roman"/>
                <w:b/>
                <w:noProof/>
              </w:rPr>
              <w:t>[</w:t>
            </w:r>
            <w:r w:rsidRPr="00DB0C66">
              <w:rPr>
                <w:rStyle w:val="a7"/>
                <w:rFonts w:ascii="Times New Roman" w:eastAsia="楷体" w:hAnsi="Times New Roman"/>
                <w:b/>
                <w:noProof/>
              </w:rPr>
              <w:t>化工</w:t>
            </w:r>
            <w:r w:rsidRPr="00DB0C66">
              <w:rPr>
                <w:rStyle w:val="a7"/>
                <w:rFonts w:ascii="Times New Roman" w:eastAsia="楷体" w:hAnsi="Times New Roman"/>
                <w:b/>
                <w:noProof/>
              </w:rPr>
              <w:t>]</w:t>
            </w:r>
          </w:hyperlink>
        </w:p>
        <w:p w:rsidR="007F09BE" w:rsidRDefault="007F09BE">
          <w:pPr>
            <w:pStyle w:val="2"/>
            <w:tabs>
              <w:tab w:val="right" w:leader="dot" w:pos="8296"/>
            </w:tabs>
            <w:rPr>
              <w:rFonts w:eastAsiaTheme="minorEastAsia"/>
              <w:noProof/>
              <w:szCs w:val="22"/>
            </w:rPr>
          </w:pPr>
          <w:hyperlink w:anchor="_Toc134173283" w:history="1">
            <w:r w:rsidRPr="00DB0C66">
              <w:rPr>
                <w:rStyle w:val="a7"/>
                <w:rFonts w:ascii="Times New Roman" w:eastAsia="楷体" w:hAnsi="Times New Roman"/>
                <w:b/>
                <w:noProof/>
              </w:rPr>
              <w:t>天然橡胶</w:t>
            </w:r>
            <w:r w:rsidRPr="00DB0C66">
              <w:rPr>
                <w:rStyle w:val="a7"/>
                <w:rFonts w:ascii="Times New Roman" w:eastAsia="楷体" w:hAnsi="Times New Roman"/>
                <w:b/>
                <w:noProof/>
              </w:rPr>
              <w:t>:</w:t>
            </w:r>
            <w:r w:rsidRPr="00DB0C66">
              <w:rPr>
                <w:rStyle w:val="a7"/>
                <w:rFonts w:ascii="楷体" w:eastAsia="楷体" w:hAnsi="楷体"/>
                <w:b/>
                <w:noProof/>
              </w:rPr>
              <w:t xml:space="preserve"> 节后港口库存继续累库 RU上涨受阻</w:t>
            </w:r>
          </w:hyperlink>
        </w:p>
        <w:p w:rsidR="007F09BE" w:rsidRDefault="007F09BE">
          <w:pPr>
            <w:pStyle w:val="2"/>
            <w:tabs>
              <w:tab w:val="right" w:leader="dot" w:pos="8296"/>
            </w:tabs>
            <w:rPr>
              <w:rFonts w:eastAsiaTheme="minorEastAsia"/>
              <w:noProof/>
              <w:szCs w:val="22"/>
            </w:rPr>
          </w:pPr>
          <w:hyperlink w:anchor="_Toc134173284" w:history="1">
            <w:r w:rsidRPr="00DB0C66">
              <w:rPr>
                <w:rStyle w:val="a7"/>
                <w:rFonts w:ascii="楷体" w:eastAsia="楷体" w:hAnsi="楷体"/>
                <w:b/>
                <w:noProof/>
              </w:rPr>
              <w:t>PTA：油价走弱成本端支撑不足等待企稳</w:t>
            </w:r>
          </w:hyperlink>
        </w:p>
        <w:p w:rsidR="007F09BE" w:rsidRDefault="007F09BE">
          <w:pPr>
            <w:pStyle w:val="2"/>
            <w:tabs>
              <w:tab w:val="right" w:leader="dot" w:pos="8296"/>
            </w:tabs>
            <w:rPr>
              <w:rFonts w:eastAsiaTheme="minorEastAsia"/>
              <w:noProof/>
              <w:szCs w:val="22"/>
            </w:rPr>
          </w:pPr>
          <w:hyperlink w:anchor="_Toc134173285" w:history="1">
            <w:r w:rsidRPr="00DB0C66">
              <w:rPr>
                <w:rStyle w:val="a7"/>
                <w:rFonts w:ascii="楷体" w:eastAsia="楷体" w:hAnsi="楷体"/>
                <w:b/>
                <w:noProof/>
              </w:rPr>
              <w:t>PVC：高库存+弱复苏 驱动不足</w:t>
            </w:r>
          </w:hyperlink>
        </w:p>
        <w:p w:rsidR="007F09BE" w:rsidRDefault="007F09BE">
          <w:pPr>
            <w:pStyle w:val="2"/>
            <w:tabs>
              <w:tab w:val="right" w:leader="dot" w:pos="8296"/>
            </w:tabs>
            <w:rPr>
              <w:rFonts w:eastAsiaTheme="minorEastAsia"/>
              <w:noProof/>
              <w:szCs w:val="22"/>
            </w:rPr>
          </w:pPr>
          <w:hyperlink w:anchor="_Toc134173286" w:history="1">
            <w:r w:rsidRPr="00DB0C66">
              <w:rPr>
                <w:rStyle w:val="a7"/>
                <w:rFonts w:ascii="楷体" w:eastAsia="楷体" w:hAnsi="楷体"/>
                <w:b/>
                <w:noProof/>
              </w:rPr>
              <w:t>聚烯烃：需求难有明显起色 聚烯烃或窄幅回落</w:t>
            </w:r>
          </w:hyperlink>
        </w:p>
        <w:p w:rsidR="007F09BE" w:rsidRDefault="007F09BE">
          <w:pPr>
            <w:pStyle w:val="2"/>
            <w:tabs>
              <w:tab w:val="right" w:leader="dot" w:pos="8296"/>
            </w:tabs>
            <w:rPr>
              <w:rFonts w:eastAsiaTheme="minorEastAsia"/>
              <w:noProof/>
              <w:szCs w:val="22"/>
            </w:rPr>
          </w:pPr>
          <w:hyperlink w:anchor="_Toc134173287" w:history="1">
            <w:r w:rsidRPr="00DB0C66">
              <w:rPr>
                <w:rStyle w:val="a7"/>
                <w:rFonts w:ascii="楷体" w:eastAsia="楷体" w:hAnsi="楷体"/>
                <w:b/>
                <w:noProof/>
              </w:rPr>
              <w:t>MEG：装置检修增多驱动去库预期 09逢低可多配</w:t>
            </w:r>
          </w:hyperlink>
        </w:p>
        <w:p w:rsidR="007F09BE" w:rsidRDefault="007F09BE">
          <w:pPr>
            <w:pStyle w:val="2"/>
            <w:tabs>
              <w:tab w:val="right" w:leader="dot" w:pos="8296"/>
            </w:tabs>
            <w:rPr>
              <w:rFonts w:eastAsiaTheme="minorEastAsia"/>
              <w:noProof/>
              <w:szCs w:val="22"/>
            </w:rPr>
          </w:pPr>
          <w:hyperlink w:anchor="_Toc134173288" w:history="1">
            <w:r w:rsidRPr="00DB0C66">
              <w:rPr>
                <w:rStyle w:val="a7"/>
                <w:rFonts w:ascii="楷体" w:eastAsia="楷体" w:hAnsi="楷体"/>
                <w:b/>
                <w:noProof/>
              </w:rPr>
              <w:t>玻璃：五一去库减缓，等待低多机会</w:t>
            </w:r>
          </w:hyperlink>
        </w:p>
        <w:p w:rsidR="007F09BE" w:rsidRDefault="007F09BE">
          <w:pPr>
            <w:pStyle w:val="2"/>
            <w:tabs>
              <w:tab w:val="right" w:leader="dot" w:pos="8296"/>
            </w:tabs>
            <w:rPr>
              <w:rFonts w:eastAsiaTheme="minorEastAsia"/>
              <w:noProof/>
              <w:szCs w:val="22"/>
            </w:rPr>
          </w:pPr>
          <w:hyperlink w:anchor="_Toc134173289" w:history="1">
            <w:r w:rsidRPr="00DB0C66">
              <w:rPr>
                <w:rStyle w:val="a7"/>
                <w:rFonts w:ascii="楷体" w:eastAsia="楷体" w:hAnsi="楷体"/>
                <w:b/>
                <w:noProof/>
              </w:rPr>
              <w:t>纯碱：现货价格崩盘，期价大幅下挫</w:t>
            </w:r>
          </w:hyperlink>
        </w:p>
        <w:p w:rsidR="007F09BE" w:rsidRDefault="007F09BE">
          <w:pPr>
            <w:pStyle w:val="11"/>
            <w:tabs>
              <w:tab w:val="right" w:leader="dot" w:pos="8296"/>
            </w:tabs>
            <w:rPr>
              <w:rFonts w:eastAsiaTheme="minorEastAsia"/>
              <w:noProof/>
              <w:szCs w:val="22"/>
            </w:rPr>
          </w:pPr>
          <w:hyperlink w:anchor="_Toc134173290" w:history="1">
            <w:r w:rsidRPr="00DB0C66">
              <w:rPr>
                <w:rStyle w:val="a7"/>
                <w:rFonts w:ascii="Times New Roman" w:eastAsia="楷体" w:hAnsi="Times New Roman"/>
                <w:b/>
                <w:noProof/>
              </w:rPr>
              <w:t>[</w:t>
            </w:r>
            <w:r w:rsidRPr="00DB0C66">
              <w:rPr>
                <w:rStyle w:val="a7"/>
                <w:rFonts w:ascii="Times New Roman" w:eastAsia="楷体" w:hAnsi="Times New Roman"/>
                <w:b/>
                <w:noProof/>
              </w:rPr>
              <w:t>农产品</w:t>
            </w:r>
            <w:r w:rsidRPr="00DB0C66">
              <w:rPr>
                <w:rStyle w:val="a7"/>
                <w:rFonts w:ascii="Times New Roman" w:eastAsia="楷体" w:hAnsi="Times New Roman"/>
                <w:b/>
                <w:noProof/>
              </w:rPr>
              <w:t>]</w:t>
            </w:r>
          </w:hyperlink>
        </w:p>
        <w:p w:rsidR="007F09BE" w:rsidRDefault="007F09BE">
          <w:pPr>
            <w:pStyle w:val="2"/>
            <w:tabs>
              <w:tab w:val="right" w:leader="dot" w:pos="8296"/>
            </w:tabs>
            <w:rPr>
              <w:rFonts w:eastAsiaTheme="minorEastAsia"/>
              <w:noProof/>
              <w:szCs w:val="22"/>
            </w:rPr>
          </w:pPr>
          <w:hyperlink w:anchor="_Toc134173291" w:history="1">
            <w:r w:rsidRPr="00DB0C66">
              <w:rPr>
                <w:rStyle w:val="a7"/>
                <w:rFonts w:ascii="楷体" w:eastAsia="楷体" w:hAnsi="楷体"/>
                <w:b/>
                <w:noProof/>
              </w:rPr>
              <w:t>豆粕/菜粕：供应预期增加，上方仍存压</w:t>
            </w:r>
          </w:hyperlink>
        </w:p>
        <w:p w:rsidR="007F09BE" w:rsidRDefault="007F09BE">
          <w:pPr>
            <w:pStyle w:val="2"/>
            <w:tabs>
              <w:tab w:val="right" w:leader="dot" w:pos="8296"/>
            </w:tabs>
            <w:rPr>
              <w:rFonts w:eastAsiaTheme="minorEastAsia"/>
              <w:noProof/>
              <w:szCs w:val="22"/>
            </w:rPr>
          </w:pPr>
          <w:hyperlink w:anchor="_Toc134173292" w:history="1">
            <w:r w:rsidRPr="00DB0C66">
              <w:rPr>
                <w:rStyle w:val="a7"/>
                <w:rFonts w:ascii="楷体" w:eastAsia="楷体" w:hAnsi="楷体"/>
                <w:b/>
                <w:noProof/>
              </w:rPr>
              <w:t>油脂：基本面不改，缺乏有效驱动</w:t>
            </w:r>
          </w:hyperlink>
        </w:p>
        <w:p w:rsidR="007F09BE" w:rsidRDefault="007F09BE">
          <w:pPr>
            <w:pStyle w:val="2"/>
            <w:tabs>
              <w:tab w:val="right" w:leader="dot" w:pos="8296"/>
            </w:tabs>
            <w:rPr>
              <w:rFonts w:eastAsiaTheme="minorEastAsia"/>
              <w:noProof/>
              <w:szCs w:val="22"/>
            </w:rPr>
          </w:pPr>
          <w:hyperlink w:anchor="_Toc134173293" w:history="1">
            <w:r w:rsidRPr="00DB0C66">
              <w:rPr>
                <w:rStyle w:val="a7"/>
                <w:rFonts w:ascii="楷体" w:eastAsia="楷体" w:hAnsi="楷体"/>
                <w:b/>
                <w:bCs/>
                <w:noProof/>
              </w:rPr>
              <w:t>玉米与淀粉：</w:t>
            </w:r>
            <w:r w:rsidRPr="00DB0C66">
              <w:rPr>
                <w:rStyle w:val="a7"/>
                <w:rFonts w:ascii="楷体" w:eastAsia="楷体" w:hAnsi="楷体"/>
                <w:b/>
                <w:noProof/>
              </w:rPr>
              <w:t>小麦弱势带动期价冲高回落</w:t>
            </w:r>
          </w:hyperlink>
        </w:p>
        <w:p w:rsidR="007F09BE" w:rsidRDefault="007F09BE">
          <w:pPr>
            <w:pStyle w:val="2"/>
            <w:tabs>
              <w:tab w:val="right" w:leader="dot" w:pos="8296"/>
            </w:tabs>
            <w:rPr>
              <w:rFonts w:eastAsiaTheme="minorEastAsia"/>
              <w:noProof/>
              <w:szCs w:val="22"/>
            </w:rPr>
          </w:pPr>
          <w:hyperlink w:anchor="_Toc134173294" w:history="1">
            <w:r w:rsidRPr="00DB0C66">
              <w:rPr>
                <w:rStyle w:val="a7"/>
                <w:rFonts w:ascii="楷体" w:eastAsia="楷体" w:hAnsi="楷体"/>
                <w:b/>
                <w:bCs/>
                <w:noProof/>
              </w:rPr>
              <w:t>畜禽养殖：生猪近月期价大幅下跌</w:t>
            </w:r>
          </w:hyperlink>
        </w:p>
        <w:p w:rsidR="007F09BE" w:rsidRDefault="007F09BE">
          <w:pPr>
            <w:pStyle w:val="2"/>
            <w:tabs>
              <w:tab w:val="right" w:leader="dot" w:pos="8296"/>
            </w:tabs>
            <w:rPr>
              <w:rFonts w:eastAsiaTheme="minorEastAsia"/>
              <w:noProof/>
              <w:szCs w:val="22"/>
            </w:rPr>
          </w:pPr>
          <w:hyperlink w:anchor="_Toc134173295" w:history="1">
            <w:r w:rsidRPr="00DB0C66">
              <w:rPr>
                <w:rStyle w:val="a7"/>
                <w:rFonts w:ascii="楷体" w:eastAsia="楷体" w:hAnsi="楷体"/>
                <w:b/>
                <w:noProof/>
              </w:rPr>
              <w:t>郑棉：预计震荡偏强，空9多1</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417326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4173268"/>
      <w:bookmarkEnd w:id="3"/>
      <w:r>
        <w:rPr>
          <w:rFonts w:ascii="Times New Roman" w:eastAsia="楷体" w:hAnsi="Times New Roman" w:hint="eastAsia"/>
          <w:b/>
          <w:color w:val="000000" w:themeColor="text1"/>
          <w:sz w:val="24"/>
          <w:szCs w:val="24"/>
        </w:rPr>
        <w:t>股指：</w:t>
      </w:r>
      <w:bookmarkEnd w:id="5"/>
      <w:bookmarkEnd w:id="6"/>
      <w:r w:rsidR="00D55EAF" w:rsidRPr="00D55EAF">
        <w:rPr>
          <w:rFonts w:ascii="Times New Roman" w:eastAsia="楷体" w:hAnsi="Times New Roman" w:hint="eastAsia"/>
          <w:b/>
          <w:color w:val="000000" w:themeColor="text1"/>
          <w:sz w:val="24"/>
          <w:szCs w:val="24"/>
        </w:rPr>
        <w:t>关注低多机会</w:t>
      </w:r>
      <w:bookmarkEnd w:id="7"/>
    </w:p>
    <w:p w:rsidR="003F56A5" w:rsidRDefault="00D55EAF">
      <w:pPr>
        <w:ind w:leftChars="300" w:left="630"/>
        <w:rPr>
          <w:rFonts w:ascii="Times New Roman" w:eastAsia="楷体" w:hAnsi="Times New Roman"/>
          <w:color w:val="000000" w:themeColor="text1"/>
          <w:sz w:val="24"/>
          <w:szCs w:val="24"/>
        </w:rPr>
      </w:pPr>
      <w:r w:rsidRPr="00D55EAF">
        <w:rPr>
          <w:rFonts w:ascii="Times New Roman" w:eastAsia="楷体" w:hAnsi="Times New Roman" w:hint="eastAsia"/>
          <w:color w:val="000000" w:themeColor="text1"/>
          <w:sz w:val="24"/>
          <w:szCs w:val="24"/>
        </w:rPr>
        <w:t>假期外围股市偏弱，美联储暗示暂停加息但并进入降息周期门槛较高，鉴于此前市场鸽派预期较足，此次会议并为超市场预期，短期</w:t>
      </w:r>
      <w:r w:rsidRPr="00D55EAF">
        <w:rPr>
          <w:rFonts w:ascii="Times New Roman" w:eastAsia="楷体" w:hAnsi="Times New Roman" w:hint="eastAsia"/>
          <w:color w:val="000000" w:themeColor="text1"/>
          <w:sz w:val="24"/>
          <w:szCs w:val="24"/>
        </w:rPr>
        <w:t>A</w:t>
      </w:r>
      <w:r w:rsidRPr="00D55EAF">
        <w:rPr>
          <w:rFonts w:ascii="Times New Roman" w:eastAsia="楷体" w:hAnsi="Times New Roman" w:hint="eastAsia"/>
          <w:color w:val="000000" w:themeColor="text1"/>
          <w:sz w:val="24"/>
          <w:szCs w:val="24"/>
        </w:rPr>
        <w:t>股大概率仍以存量博弈为主，</w:t>
      </w:r>
      <w:r w:rsidRPr="00D55EAF">
        <w:rPr>
          <w:rFonts w:ascii="Times New Roman" w:eastAsia="楷体" w:hAnsi="Times New Roman" w:hint="eastAsia"/>
          <w:color w:val="000000" w:themeColor="text1"/>
          <w:sz w:val="24"/>
          <w:szCs w:val="24"/>
        </w:rPr>
        <w:t>A</w:t>
      </w:r>
      <w:r w:rsidRPr="00D55EAF">
        <w:rPr>
          <w:rFonts w:ascii="Times New Roman" w:eastAsia="楷体" w:hAnsi="Times New Roman" w:hint="eastAsia"/>
          <w:color w:val="000000" w:themeColor="text1"/>
          <w:sz w:val="24"/>
          <w:szCs w:val="24"/>
        </w:rPr>
        <w:t>股或先计价情绪扰动，再交易确定性方向</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417326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4173270"/>
      <w:r>
        <w:rPr>
          <w:rFonts w:ascii="Times New Roman" w:eastAsia="楷体" w:hAnsi="Times New Roman" w:hint="eastAsia"/>
          <w:b/>
          <w:color w:val="000000" w:themeColor="text1"/>
          <w:sz w:val="24"/>
          <w:szCs w:val="24"/>
        </w:rPr>
        <w:t>贵金属：</w:t>
      </w:r>
      <w:r w:rsidR="007F09BE" w:rsidRPr="007F09BE">
        <w:rPr>
          <w:rFonts w:ascii="Times New Roman" w:eastAsia="楷体" w:hAnsi="Times New Roman" w:hint="eastAsia"/>
          <w:b/>
          <w:color w:val="000000" w:themeColor="text1"/>
          <w:sz w:val="24"/>
          <w:szCs w:val="24"/>
        </w:rPr>
        <w:t>美国初请失业金人数上升，金价高位震荡</w:t>
      </w:r>
      <w:bookmarkEnd w:id="9"/>
    </w:p>
    <w:p w:rsidR="003F56A5" w:rsidRDefault="007F09BE">
      <w:pPr>
        <w:ind w:leftChars="300" w:left="630"/>
        <w:rPr>
          <w:rFonts w:ascii="Times New Roman" w:eastAsia="楷体" w:hAnsi="Times New Roman"/>
          <w:sz w:val="24"/>
          <w:szCs w:val="24"/>
        </w:rPr>
      </w:pPr>
      <w:r w:rsidRPr="007F09BE">
        <w:rPr>
          <w:rFonts w:ascii="Times New Roman" w:eastAsia="楷体" w:hAnsi="Times New Roman" w:hint="eastAsia"/>
          <w:color w:val="000000" w:themeColor="text1"/>
          <w:sz w:val="24"/>
          <w:szCs w:val="24"/>
        </w:rPr>
        <w:t>隔夜沪金、沪银高位窄幅震荡。美国银行业危机持续发酵，部分地区性银行股价大幅下跌。昨夜公布的美国最新当周初请失业金人数录得</w:t>
      </w:r>
      <w:r w:rsidRPr="007F09BE">
        <w:rPr>
          <w:rFonts w:ascii="Times New Roman" w:eastAsia="楷体" w:hAnsi="Times New Roman" w:hint="eastAsia"/>
          <w:color w:val="000000" w:themeColor="text1"/>
          <w:sz w:val="24"/>
          <w:szCs w:val="24"/>
        </w:rPr>
        <w:t>24.2</w:t>
      </w:r>
      <w:r w:rsidRPr="007F09BE">
        <w:rPr>
          <w:rFonts w:ascii="Times New Roman" w:eastAsia="楷体" w:hAnsi="Times New Roman" w:hint="eastAsia"/>
          <w:color w:val="000000" w:themeColor="text1"/>
          <w:sz w:val="24"/>
          <w:szCs w:val="24"/>
        </w:rPr>
        <w:t>万人，较预期及前值有所上行。</w:t>
      </w:r>
      <w:r w:rsidRPr="007F09BE">
        <w:rPr>
          <w:rFonts w:ascii="Times New Roman" w:eastAsia="楷体" w:hAnsi="Times New Roman" w:hint="eastAsia"/>
          <w:color w:val="000000" w:themeColor="text1"/>
          <w:sz w:val="24"/>
          <w:szCs w:val="24"/>
        </w:rPr>
        <w:t>CME FedWatch</w:t>
      </w:r>
      <w:r w:rsidRPr="007F09BE">
        <w:rPr>
          <w:rFonts w:ascii="Times New Roman" w:eastAsia="楷体" w:hAnsi="Times New Roman" w:hint="eastAsia"/>
          <w:color w:val="000000" w:themeColor="text1"/>
          <w:sz w:val="24"/>
          <w:szCs w:val="24"/>
        </w:rPr>
        <w:t>模型由联邦基金利率期货价格反推的</w:t>
      </w:r>
      <w:r w:rsidRPr="007F09BE">
        <w:rPr>
          <w:rFonts w:ascii="Times New Roman" w:eastAsia="楷体" w:hAnsi="Times New Roman" w:hint="eastAsia"/>
          <w:color w:val="000000" w:themeColor="text1"/>
          <w:sz w:val="24"/>
          <w:szCs w:val="24"/>
        </w:rPr>
        <w:t>6</w:t>
      </w:r>
      <w:r w:rsidRPr="007F09BE">
        <w:rPr>
          <w:rFonts w:ascii="Times New Roman" w:eastAsia="楷体" w:hAnsi="Times New Roman" w:hint="eastAsia"/>
          <w:color w:val="000000" w:themeColor="text1"/>
          <w:sz w:val="24"/>
          <w:szCs w:val="24"/>
        </w:rPr>
        <w:t>月利率预测反映，海外市场预计</w:t>
      </w:r>
      <w:r w:rsidRPr="007F09BE">
        <w:rPr>
          <w:rFonts w:ascii="Times New Roman" w:eastAsia="楷体" w:hAnsi="Times New Roman" w:hint="eastAsia"/>
          <w:color w:val="000000" w:themeColor="text1"/>
          <w:sz w:val="24"/>
          <w:szCs w:val="24"/>
        </w:rPr>
        <w:t>6</w:t>
      </w:r>
      <w:r w:rsidRPr="007F09BE">
        <w:rPr>
          <w:rFonts w:ascii="Times New Roman" w:eastAsia="楷体" w:hAnsi="Times New Roman" w:hint="eastAsia"/>
          <w:color w:val="000000" w:themeColor="text1"/>
          <w:sz w:val="24"/>
          <w:szCs w:val="24"/>
        </w:rPr>
        <w:t>月美联储维持当前利率水平不变的几率为</w:t>
      </w:r>
      <w:r w:rsidRPr="007F09BE">
        <w:rPr>
          <w:rFonts w:ascii="Times New Roman" w:eastAsia="楷体" w:hAnsi="Times New Roman" w:hint="eastAsia"/>
          <w:color w:val="000000" w:themeColor="text1"/>
          <w:sz w:val="24"/>
          <w:szCs w:val="24"/>
        </w:rPr>
        <w:t>90.8%</w:t>
      </w:r>
      <w:r w:rsidRPr="007F09BE">
        <w:rPr>
          <w:rFonts w:ascii="Times New Roman" w:eastAsia="楷体" w:hAnsi="Times New Roman" w:hint="eastAsia"/>
          <w:color w:val="000000" w:themeColor="text1"/>
          <w:sz w:val="24"/>
          <w:szCs w:val="24"/>
        </w:rPr>
        <w:t>，降息</w:t>
      </w:r>
      <w:r w:rsidRPr="007F09BE">
        <w:rPr>
          <w:rFonts w:ascii="Times New Roman" w:eastAsia="楷体" w:hAnsi="Times New Roman" w:hint="eastAsia"/>
          <w:color w:val="000000" w:themeColor="text1"/>
          <w:sz w:val="24"/>
          <w:szCs w:val="24"/>
        </w:rPr>
        <w:t>25bp</w:t>
      </w:r>
      <w:r w:rsidRPr="007F09BE">
        <w:rPr>
          <w:rFonts w:ascii="Times New Roman" w:eastAsia="楷体" w:hAnsi="Times New Roman" w:hint="eastAsia"/>
          <w:color w:val="000000" w:themeColor="text1"/>
          <w:sz w:val="24"/>
          <w:szCs w:val="24"/>
        </w:rPr>
        <w:t>几率为</w:t>
      </w:r>
      <w:r w:rsidRPr="007F09BE">
        <w:rPr>
          <w:rFonts w:ascii="Times New Roman" w:eastAsia="楷体" w:hAnsi="Times New Roman" w:hint="eastAsia"/>
          <w:color w:val="000000" w:themeColor="text1"/>
          <w:sz w:val="24"/>
          <w:szCs w:val="24"/>
        </w:rPr>
        <w:t>8.1%</w:t>
      </w:r>
      <w:r w:rsidRPr="007F09BE">
        <w:rPr>
          <w:rFonts w:ascii="Times New Roman" w:eastAsia="楷体" w:hAnsi="Times New Roman" w:hint="eastAsia"/>
          <w:color w:val="000000" w:themeColor="text1"/>
          <w:sz w:val="24"/>
          <w:szCs w:val="24"/>
        </w:rPr>
        <w:t>；预计最早或于</w:t>
      </w:r>
      <w:r w:rsidRPr="007F09BE">
        <w:rPr>
          <w:rFonts w:ascii="Times New Roman" w:eastAsia="楷体" w:hAnsi="Times New Roman" w:hint="eastAsia"/>
          <w:color w:val="000000" w:themeColor="text1"/>
          <w:sz w:val="24"/>
          <w:szCs w:val="24"/>
        </w:rPr>
        <w:t>7</w:t>
      </w:r>
      <w:r w:rsidRPr="007F09BE">
        <w:rPr>
          <w:rFonts w:ascii="Times New Roman" w:eastAsia="楷体" w:hAnsi="Times New Roman" w:hint="eastAsia"/>
          <w:color w:val="000000" w:themeColor="text1"/>
          <w:sz w:val="24"/>
          <w:szCs w:val="24"/>
        </w:rPr>
        <w:t>月启动降息。重点关注今日晚间即将公布的美国非农就业报告、失业率等重磅就业数据。美联储货币政策边际转向、美国银行业危机发酵，鸽派预期叠加避险情绪共同对贵金属价格形成支撑，建议把握沪金、沪银趋势性做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417327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4173272"/>
      <w:r>
        <w:rPr>
          <w:rFonts w:ascii="楷体" w:eastAsia="楷体" w:hAnsi="楷体" w:hint="eastAsia"/>
          <w:b/>
          <w:color w:val="000000" w:themeColor="text1"/>
          <w:sz w:val="24"/>
          <w:szCs w:val="24"/>
        </w:rPr>
        <w:t>螺纹钢：</w:t>
      </w:r>
      <w:bookmarkEnd w:id="15"/>
      <w:bookmarkEnd w:id="16"/>
      <w:r w:rsidR="007F09BE" w:rsidRPr="007F09BE">
        <w:rPr>
          <w:rFonts w:ascii="楷体" w:eastAsia="楷体" w:hAnsi="楷体" w:hint="eastAsia"/>
          <w:b/>
          <w:color w:val="000000" w:themeColor="text1"/>
          <w:sz w:val="24"/>
          <w:szCs w:val="24"/>
        </w:rPr>
        <w:t>驱动向下，承压运行，逢高空为主</w:t>
      </w:r>
      <w:bookmarkEnd w:id="17"/>
    </w:p>
    <w:p w:rsidR="003F56A5" w:rsidRDefault="007F09BE">
      <w:pPr>
        <w:ind w:leftChars="300" w:left="630"/>
        <w:rPr>
          <w:rFonts w:ascii="楷体" w:eastAsia="楷体" w:hAnsi="楷体"/>
          <w:color w:val="000000" w:themeColor="text1"/>
          <w:sz w:val="24"/>
          <w:szCs w:val="24"/>
        </w:rPr>
      </w:pPr>
      <w:r w:rsidRPr="007F09BE">
        <w:rPr>
          <w:rFonts w:ascii="楷体" w:eastAsia="楷体" w:hAnsi="楷体" w:hint="eastAsia"/>
          <w:color w:val="000000" w:themeColor="text1"/>
          <w:sz w:val="24"/>
          <w:szCs w:val="24"/>
        </w:rPr>
        <w:t>内需求无亮点，减产必要性较为突出，海外加息符合预期，但整体偏鹰派，外需环比向下较为明显。海外衰退或驱动价格下行，预计震荡区间（3530,3680）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4173273"/>
      <w:r>
        <w:rPr>
          <w:rFonts w:ascii="楷体" w:eastAsia="楷体" w:hAnsi="楷体" w:hint="eastAsia"/>
          <w:b/>
          <w:color w:val="000000" w:themeColor="text1"/>
          <w:sz w:val="24"/>
          <w:szCs w:val="24"/>
        </w:rPr>
        <w:t>焦炭：</w:t>
      </w:r>
      <w:bookmarkEnd w:id="18"/>
      <w:bookmarkEnd w:id="19"/>
      <w:r w:rsidR="007F09BE" w:rsidRPr="007F09BE">
        <w:rPr>
          <w:rFonts w:ascii="楷体" w:eastAsia="楷体" w:hAnsi="楷体" w:hint="eastAsia"/>
          <w:b/>
          <w:color w:val="000000" w:themeColor="text1"/>
          <w:sz w:val="24"/>
          <w:szCs w:val="24"/>
        </w:rPr>
        <w:t>现货补跌中，承压运行</w:t>
      </w:r>
      <w:bookmarkEnd w:id="20"/>
    </w:p>
    <w:p w:rsidR="003F56A5" w:rsidRDefault="007F09BE">
      <w:pPr>
        <w:ind w:leftChars="300" w:left="630"/>
        <w:rPr>
          <w:rFonts w:ascii="楷体" w:eastAsia="楷体" w:hAnsi="楷体"/>
          <w:color w:val="000000" w:themeColor="text1"/>
          <w:sz w:val="24"/>
          <w:szCs w:val="24"/>
        </w:rPr>
      </w:pPr>
      <w:r w:rsidRPr="007F09BE">
        <w:rPr>
          <w:rFonts w:ascii="楷体" w:eastAsia="楷体" w:hAnsi="楷体" w:hint="eastAsia"/>
          <w:color w:val="000000" w:themeColor="text1"/>
          <w:sz w:val="24"/>
          <w:szCs w:val="24"/>
        </w:rPr>
        <w:t>现货补跌中，前期盘面领跌下基差较大，但情绪仍较为悲观，焦炭偏弱运行，预计震荡区间（2000，2080）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4173274"/>
      <w:r>
        <w:rPr>
          <w:rFonts w:ascii="楷体" w:eastAsia="楷体" w:hAnsi="楷体" w:hint="eastAsia"/>
          <w:b/>
          <w:color w:val="000000" w:themeColor="text1"/>
          <w:sz w:val="24"/>
          <w:szCs w:val="24"/>
        </w:rPr>
        <w:t>焦煤：</w:t>
      </w:r>
      <w:r w:rsidR="007F09BE" w:rsidRPr="007F09BE">
        <w:rPr>
          <w:rFonts w:ascii="楷体" w:eastAsia="楷体" w:hAnsi="楷体" w:hint="eastAsia"/>
          <w:b/>
          <w:sz w:val="24"/>
          <w:szCs w:val="24"/>
        </w:rPr>
        <w:t>现货下跌或仍未结束，偏弱运行</w:t>
      </w:r>
      <w:bookmarkEnd w:id="21"/>
    </w:p>
    <w:p w:rsidR="003F56A5" w:rsidRDefault="007F09BE">
      <w:pPr>
        <w:ind w:leftChars="300" w:left="630"/>
        <w:rPr>
          <w:rFonts w:ascii="楷体" w:eastAsia="楷体" w:hAnsi="楷体"/>
          <w:bCs/>
          <w:sz w:val="24"/>
          <w:szCs w:val="24"/>
        </w:rPr>
      </w:pPr>
      <w:r w:rsidRPr="007F09BE">
        <w:rPr>
          <w:rFonts w:ascii="楷体" w:eastAsia="楷体" w:hAnsi="楷体" w:hint="eastAsia"/>
          <w:sz w:val="24"/>
          <w:szCs w:val="24"/>
        </w:rPr>
        <w:t>焦煤进入淡季但动力煤有望进入旺季，09价格被减产预期压制，短期估值处于低位，动力煤对焦煤具有弱支撑，但驱动不明显，或继续偏弱运行，预计震荡区间（1250,1320）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4173275"/>
      <w:r>
        <w:rPr>
          <w:rFonts w:ascii="楷体" w:eastAsia="楷体" w:hAnsi="楷体" w:hint="eastAsia"/>
          <w:b/>
          <w:color w:val="000000" w:themeColor="text1"/>
          <w:sz w:val="24"/>
          <w:szCs w:val="24"/>
        </w:rPr>
        <w:t>铜：</w:t>
      </w:r>
      <w:bookmarkEnd w:id="22"/>
      <w:bookmarkEnd w:id="23"/>
      <w:r w:rsidR="00ED7C55" w:rsidRPr="00ED7C55">
        <w:rPr>
          <w:rFonts w:ascii="楷体" w:eastAsia="楷体" w:hAnsi="楷体" w:hint="eastAsia"/>
          <w:b/>
          <w:color w:val="000000" w:themeColor="text1"/>
          <w:sz w:val="24"/>
          <w:szCs w:val="24"/>
        </w:rPr>
        <w:t>维持偏弱运行</w:t>
      </w:r>
      <w:bookmarkEnd w:id="24"/>
    </w:p>
    <w:p w:rsidR="00ED7C55" w:rsidRPr="00ED7C55" w:rsidRDefault="00ED7C55" w:rsidP="00ED7C55">
      <w:pPr>
        <w:ind w:leftChars="300" w:left="630"/>
        <w:rPr>
          <w:rFonts w:ascii="楷体" w:eastAsia="楷体" w:hAnsi="楷体" w:hint="eastAsia"/>
          <w:color w:val="000000" w:themeColor="text1"/>
          <w:sz w:val="24"/>
          <w:szCs w:val="24"/>
        </w:rPr>
      </w:pPr>
      <w:r w:rsidRPr="00ED7C55">
        <w:rPr>
          <w:rFonts w:ascii="楷体" w:eastAsia="楷体" w:hAnsi="楷体" w:hint="eastAsia"/>
          <w:color w:val="000000" w:themeColor="text1"/>
          <w:sz w:val="24"/>
          <w:szCs w:val="24"/>
        </w:rPr>
        <w:t>(1)宏观：欧洲央行公布利率决议，将三大关键利率上调25个基点，符合市场预期。自去年7月开启加息进程以来，欧洲央行已连续七次大幅加息以遏制通胀，共计加息375个基点。</w:t>
      </w:r>
    </w:p>
    <w:p w:rsidR="00ED7C55" w:rsidRPr="00ED7C55" w:rsidRDefault="00ED7C55" w:rsidP="00ED7C55">
      <w:pPr>
        <w:ind w:leftChars="300" w:left="630"/>
        <w:rPr>
          <w:rFonts w:ascii="楷体" w:eastAsia="楷体" w:hAnsi="楷体" w:hint="eastAsia"/>
          <w:color w:val="000000" w:themeColor="text1"/>
          <w:sz w:val="24"/>
          <w:szCs w:val="24"/>
        </w:rPr>
      </w:pPr>
      <w:r w:rsidRPr="00ED7C55">
        <w:rPr>
          <w:rFonts w:ascii="楷体" w:eastAsia="楷体" w:hAnsi="楷体" w:hint="eastAsia"/>
          <w:color w:val="000000" w:themeColor="text1"/>
          <w:sz w:val="24"/>
          <w:szCs w:val="24"/>
        </w:rPr>
        <w:t>(2)库存：5月4日，SHFE仓单那库存61162吨，减1169吨。LME仓单库存67775吨，增475吨。</w:t>
      </w:r>
    </w:p>
    <w:p w:rsidR="00ED7C55" w:rsidRPr="00ED7C55" w:rsidRDefault="00ED7C55" w:rsidP="00ED7C55">
      <w:pPr>
        <w:ind w:leftChars="300" w:left="630"/>
        <w:rPr>
          <w:rFonts w:ascii="楷体" w:eastAsia="楷体" w:hAnsi="楷体" w:hint="eastAsia"/>
          <w:color w:val="000000" w:themeColor="text1"/>
          <w:sz w:val="24"/>
          <w:szCs w:val="24"/>
        </w:rPr>
      </w:pPr>
      <w:r w:rsidRPr="00ED7C55">
        <w:rPr>
          <w:rFonts w:ascii="楷体" w:eastAsia="楷体" w:hAnsi="楷体" w:hint="eastAsia"/>
          <w:color w:val="000000" w:themeColor="text1"/>
          <w:sz w:val="24"/>
          <w:szCs w:val="24"/>
        </w:rPr>
        <w:lastRenderedPageBreak/>
        <w:t>(3)精废价差：5月4日，Mysteel精废价差950，收窄282。目前价差在合理价差1372之下。</w:t>
      </w:r>
    </w:p>
    <w:p w:rsidR="00ED7C55" w:rsidRPr="00ED7C55" w:rsidRDefault="00ED7C55" w:rsidP="00ED7C55">
      <w:pPr>
        <w:ind w:leftChars="300" w:left="630"/>
        <w:rPr>
          <w:rFonts w:ascii="楷体" w:eastAsia="楷体" w:hAnsi="楷体"/>
          <w:color w:val="000000" w:themeColor="text1"/>
          <w:sz w:val="24"/>
          <w:szCs w:val="24"/>
        </w:rPr>
      </w:pPr>
    </w:p>
    <w:p w:rsidR="00A71A7E" w:rsidRPr="00A71A7E" w:rsidRDefault="00ED7C55" w:rsidP="00ED7C55">
      <w:pPr>
        <w:ind w:leftChars="300" w:left="630"/>
        <w:rPr>
          <w:rFonts w:ascii="楷体" w:eastAsia="楷体" w:hAnsi="楷体"/>
          <w:color w:val="000000" w:themeColor="text1"/>
          <w:sz w:val="24"/>
          <w:szCs w:val="24"/>
        </w:rPr>
      </w:pPr>
      <w:r w:rsidRPr="00ED7C55">
        <w:rPr>
          <w:rFonts w:ascii="楷体" w:eastAsia="楷体" w:hAnsi="楷体" w:hint="eastAsia"/>
          <w:color w:val="000000" w:themeColor="text1"/>
          <w:sz w:val="24"/>
          <w:szCs w:val="24"/>
        </w:rPr>
        <w:t>综述：美国第一共和银行被接管，使得市场对美欧银行业风险暴露的担忧再度升温，叠加美国债务上限问题尚未消除，众多利空因素合力冲击着投资者信心。基本面，铜去库速度放缓，且有累库趋势，现货方面受下游需求疲软影响，升水难以走高。铜价整体仍承压运行，或逐步向下测试64000一线支撑位</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4173276"/>
      <w:r>
        <w:rPr>
          <w:rFonts w:ascii="楷体" w:eastAsia="楷体" w:hAnsi="楷体" w:hint="eastAsia"/>
          <w:b/>
          <w:color w:val="000000" w:themeColor="text1"/>
          <w:sz w:val="24"/>
          <w:szCs w:val="24"/>
        </w:rPr>
        <w:t>铝：</w:t>
      </w:r>
      <w:bookmarkEnd w:id="25"/>
      <w:bookmarkEnd w:id="26"/>
      <w:r w:rsidR="00B91D3D" w:rsidRPr="00B91D3D">
        <w:rPr>
          <w:rFonts w:ascii="楷体" w:eastAsia="楷体" w:hAnsi="楷体" w:hint="eastAsia"/>
          <w:b/>
          <w:color w:val="000000" w:themeColor="text1"/>
          <w:sz w:val="24"/>
          <w:szCs w:val="24"/>
        </w:rPr>
        <w:t>铝价短期震荡为主，中期偏空看待</w:t>
      </w:r>
      <w:bookmarkEnd w:id="27"/>
    </w:p>
    <w:p w:rsidR="003F56A5" w:rsidRDefault="00B91D3D" w:rsidP="00CF7A9A">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五一期间LME铝价先涨后跌，4月28日午市收盘2316.5美金/吨，5月3日早市开盘2355.5美金/吨，上涨1.68%，LME铝（0-3）升贴水迅速收正后再度回落。美联储召开为期两天的议息会议，5月如期落地25基点加息，第一共和国银行破产，海外银行危机仍存引发市场恐慌情绪，欧美4月制造业PMI环比回落，在高利率环境下海外经济衰退风险加剧。国内政策持续释放利好，而4月制造业PMI再度落入收缩区间，服务业消费“报复性”增长，工业景气度边际走弱。从基本面来看，贵州、四川持续复产、新投产，但整体节奏较慢，云南持续高温干旱降水补充不足，当地水电短缺或再度压缩工业产能，目前电解铝运行产能小幅走增，暂未受到减产消息面影响，后续西南地区进入丰水期云南前期减产产能将逐步恢复。海外需求依旧表现疲弱，国内铝市消费在三、四月旺季表现较好，国内社库持续去库，铝水比例走增，铝锭需求表现一般，五一节日前厂家囤货情况不及预期，市场成交以贸易商交易为主，“金三银四”消费旺季已过，终端有光伏装机、新能源汽车政策利好及消费增量支持，需求有支撑实际表现为弱修复。操作上，短期以波段高抛低吸为主，铝价震荡在18000-19000区间，中期因供应预期走增，需求有转弱趋向，建议偏空对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4173277"/>
      <w:r>
        <w:rPr>
          <w:rFonts w:ascii="楷体" w:eastAsia="楷体" w:hAnsi="楷体" w:hint="eastAsia"/>
          <w:b/>
          <w:color w:val="000000" w:themeColor="text1"/>
          <w:sz w:val="24"/>
          <w:szCs w:val="24"/>
        </w:rPr>
        <w:t>锌：</w:t>
      </w:r>
      <w:r w:rsidR="00ED7C55" w:rsidRPr="00ED7C55">
        <w:rPr>
          <w:rFonts w:ascii="楷体" w:eastAsia="楷体" w:hAnsi="楷体" w:hint="eastAsia"/>
          <w:b/>
          <w:color w:val="000000" w:themeColor="text1"/>
          <w:sz w:val="24"/>
          <w:szCs w:val="24"/>
        </w:rPr>
        <w:t>供强需弱持续强化，锌价偏弱运行</w:t>
      </w:r>
      <w:bookmarkEnd w:id="28"/>
    </w:p>
    <w:p w:rsidR="003F56A5" w:rsidRDefault="00ED7C55" w:rsidP="000B0648">
      <w:pPr>
        <w:ind w:leftChars="300" w:left="630"/>
        <w:rPr>
          <w:rFonts w:ascii="楷体" w:eastAsia="楷体" w:hAnsi="楷体"/>
          <w:color w:val="000000" w:themeColor="text1"/>
          <w:sz w:val="24"/>
          <w:szCs w:val="24"/>
        </w:rPr>
      </w:pPr>
      <w:r w:rsidRPr="00ED7C55">
        <w:rPr>
          <w:rFonts w:ascii="楷体" w:eastAsia="楷体" w:hAnsi="楷体" w:hint="eastAsia"/>
          <w:color w:val="000000" w:themeColor="text1"/>
          <w:sz w:val="24"/>
          <w:szCs w:val="24"/>
        </w:rPr>
        <w:t>第一共和国银行倒闭再度引发市场对流动性风险的担忧，联储5月落地25基点加息，欧美经济数据表现不及预期，国内4月制造业PMI环比回落，全球高利率环境下市场经济压力走增，宏观情绪偏弱。从供应端来看，在能源危机影响逐步走弱的情况下，海外有强复产预期。国内月度锌产量维持高位，中游开工仍有高冶炼利润刺激，国内精炼锌供给现状偏宽松，云南干旱天气延续，第三次用电管控限制影响当地铅锌运行产能，短期供应复产受限支撑锌价，二季度云南若能进入汛期，当地锌厂复工复产，中期供应预期走强。海外需求受大环境疲弱影响提振乏力，疫情后国内市场需求判断过于乐观，需求虽有刚性支撑但不及预期。精锌下游消费依赖内需拉动，内需持续弱修复但难有超预期表现，国内精炼锌供需天平偏向供给增量大于需求。操作上，建议短中期锌价偏空对待，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4173278"/>
      <w:r>
        <w:rPr>
          <w:rFonts w:ascii="楷体" w:eastAsia="楷体" w:hAnsi="楷体" w:hint="eastAsia"/>
          <w:b/>
          <w:color w:val="000000" w:themeColor="text1"/>
          <w:sz w:val="24"/>
          <w:szCs w:val="24"/>
        </w:rPr>
        <w:t>镍：</w:t>
      </w:r>
      <w:r w:rsidR="00B91D3D" w:rsidRPr="00B91D3D">
        <w:rPr>
          <w:rFonts w:ascii="楷体" w:eastAsia="楷体" w:hAnsi="楷体" w:hint="eastAsia"/>
          <w:b/>
          <w:color w:val="000000" w:themeColor="text1"/>
          <w:sz w:val="24"/>
          <w:szCs w:val="24"/>
        </w:rPr>
        <w:t>供应预期持续施压，逢高空思路不变</w:t>
      </w:r>
      <w:bookmarkEnd w:id="29"/>
    </w:p>
    <w:p w:rsidR="003F56A5" w:rsidRDefault="00B91D3D">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目前镍市场供应预期有增量，电积镍逐渐修复，SMM预计4月全国精炼镍产量为1.80万吨，环比增2.27%，同比增39.21%。叠加二季度新产能落地，预计供应缺口收窄，镍价下行趋势不变。但当下纯镍低库存依旧保持</w:t>
      </w:r>
      <w:r w:rsidRPr="00B91D3D">
        <w:rPr>
          <w:rFonts w:ascii="楷体" w:eastAsia="楷体" w:hAnsi="楷体" w:hint="eastAsia"/>
          <w:color w:val="000000" w:themeColor="text1"/>
          <w:sz w:val="24"/>
          <w:szCs w:val="24"/>
        </w:rPr>
        <w:lastRenderedPageBreak/>
        <w:t>去化，交割品问题暂时未解决，软逼仓风险仍存。从交易角度，我们建议寻找相对高估值逢高空机会</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7F09BE" w:rsidRDefault="0079299D" w:rsidP="007F09BE">
      <w:pPr>
        <w:ind w:leftChars="200" w:left="420"/>
        <w:outlineLvl w:val="1"/>
        <w:rPr>
          <w:rFonts w:ascii="楷体" w:eastAsia="楷体" w:hAnsi="楷体"/>
          <w:b/>
          <w:color w:val="000000" w:themeColor="text1"/>
          <w:sz w:val="24"/>
          <w:szCs w:val="24"/>
        </w:rPr>
      </w:pPr>
      <w:bookmarkStart w:id="30" w:name="_Toc13417327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7F09BE" w:rsidRPr="007F09BE">
        <w:rPr>
          <w:rFonts w:ascii="楷体" w:eastAsia="楷体" w:hAnsi="楷体" w:hint="eastAsia"/>
          <w:b/>
          <w:color w:val="000000" w:themeColor="text1"/>
          <w:sz w:val="24"/>
          <w:szCs w:val="24"/>
        </w:rPr>
        <w:t>淡季之下基本面情况未变，铅价震荡为主</w:t>
      </w:r>
      <w:bookmarkEnd w:id="30"/>
    </w:p>
    <w:p w:rsidR="008B13D2" w:rsidRPr="008B13D2" w:rsidRDefault="007F09BE" w:rsidP="008B13D2">
      <w:pPr>
        <w:ind w:leftChars="300" w:left="630"/>
        <w:rPr>
          <w:rFonts w:ascii="楷体" w:eastAsia="楷体" w:hAnsi="楷体"/>
          <w:color w:val="000000" w:themeColor="text1"/>
          <w:sz w:val="24"/>
          <w:szCs w:val="24"/>
        </w:rPr>
      </w:pPr>
      <w:r w:rsidRPr="007F09BE">
        <w:rPr>
          <w:rFonts w:ascii="楷体" w:eastAsia="楷体" w:hAnsi="楷体" w:hint="eastAsia"/>
          <w:color w:val="000000" w:themeColor="text1"/>
          <w:sz w:val="24"/>
          <w:szCs w:val="24"/>
        </w:rPr>
        <w:t>联储如市场预期加息25基点，第一共和国银行倒闭引发市场对流动性的担忧，欧美经济数据表现趋弱，国内4月PMI表现不及预期，全球经济承压运行，宏观情绪偏弱。原生铅及再生铅厂家检修增加，铅矿进口利润窗口萎缩供应紧张，废旧电瓶货源流通偏紧。下游需求在消费淡季之下表现平淡，库存维持低位增库，库存走增后厂家囤货积极性走弱，预计铅价仍维持震荡态势，震荡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4173280"/>
      <w:r>
        <w:rPr>
          <w:rFonts w:ascii="楷体" w:eastAsia="楷体" w:hAnsi="楷体" w:hint="eastAsia"/>
          <w:b/>
          <w:color w:val="000000" w:themeColor="text1"/>
          <w:sz w:val="24"/>
          <w:szCs w:val="24"/>
        </w:rPr>
        <w:t>不锈钢：</w:t>
      </w:r>
      <w:r w:rsidR="00ED7C55" w:rsidRPr="00ED7C55">
        <w:rPr>
          <w:rFonts w:ascii="楷体" w:eastAsia="楷体" w:hAnsi="楷体" w:hint="eastAsia"/>
          <w:b/>
          <w:color w:val="000000" w:themeColor="text1"/>
          <w:sz w:val="24"/>
          <w:szCs w:val="24"/>
        </w:rPr>
        <w:t>反弹动能难以持续，短线空单继续持有</w:t>
      </w:r>
      <w:bookmarkEnd w:id="31"/>
    </w:p>
    <w:p w:rsidR="003F56A5" w:rsidRDefault="00ED7C55">
      <w:pPr>
        <w:ind w:leftChars="300" w:left="630"/>
        <w:rPr>
          <w:rFonts w:ascii="楷体" w:eastAsia="楷体" w:hAnsi="楷体"/>
          <w:color w:val="000000" w:themeColor="text1"/>
          <w:sz w:val="24"/>
          <w:szCs w:val="24"/>
        </w:rPr>
      </w:pPr>
      <w:r w:rsidRPr="00ED7C55">
        <w:rPr>
          <w:rFonts w:ascii="楷体" w:eastAsia="楷体" w:hAnsi="楷体" w:hint="eastAsia"/>
          <w:color w:val="000000" w:themeColor="text1"/>
          <w:sz w:val="24"/>
          <w:szCs w:val="24"/>
        </w:rPr>
        <w:t>不锈钢社会库存连续6周下降，目前基本回归中等水平，有利于提振短期市场情绪。但5月不锈钢排产环比明显增长，300系产量创新高，SMM数据为168.6万吨，环比+14.4%。供增需弱下，高利润不可维持，预计不锈钢价难有持有反弹动能，15500-15600短线空单继续持有</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4173281"/>
      <w:r>
        <w:rPr>
          <w:rFonts w:ascii="楷体" w:eastAsia="楷体" w:hAnsi="楷体" w:hint="eastAsia"/>
          <w:b/>
          <w:color w:val="000000" w:themeColor="text1"/>
          <w:sz w:val="24"/>
          <w:szCs w:val="24"/>
        </w:rPr>
        <w:t>工业硅：</w:t>
      </w:r>
      <w:r w:rsidR="007F09BE" w:rsidRPr="007F09BE">
        <w:rPr>
          <w:rFonts w:ascii="楷体" w:eastAsia="楷体" w:hAnsi="楷体" w:hint="eastAsia"/>
          <w:b/>
          <w:sz w:val="24"/>
          <w:szCs w:val="24"/>
        </w:rPr>
        <w:t>需求无明显改善，压制盘面反弹空间</w:t>
      </w:r>
      <w:bookmarkEnd w:id="32"/>
    </w:p>
    <w:p w:rsidR="003F56A5" w:rsidRDefault="007F09BE" w:rsidP="007103A5">
      <w:pPr>
        <w:ind w:leftChars="300" w:left="630"/>
        <w:rPr>
          <w:rFonts w:ascii="楷体" w:eastAsia="楷体" w:hAnsi="楷体"/>
          <w:sz w:val="24"/>
          <w:szCs w:val="24"/>
        </w:rPr>
      </w:pPr>
      <w:r w:rsidRPr="007F09BE">
        <w:rPr>
          <w:rFonts w:ascii="楷体" w:eastAsia="楷体" w:hAnsi="楷体" w:hint="eastAsia"/>
          <w:sz w:val="24"/>
          <w:szCs w:val="24"/>
        </w:rPr>
        <w:t>5月4日，Si2308主力合约呈冲高回落走势，收盘价15190元/吨，较上一收盘价涨跌幅+0.00%。从基本面来看，下游有机硅终端消费维持低迷，生产仍处于亏损状态，后续部分企业将进行技 改以及停产计划，预计对工业硅需求维持偏弱;3 月出口无出现季节性回升，同比大幅走弱，也反映海外市场需求萎缩较为明显。整体而言，下游需求无明显改善压制盘面反弹，预计市场仍将承压运行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41732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417328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F09BE" w:rsidRPr="007F09BE">
        <w:rPr>
          <w:rFonts w:ascii="楷体" w:eastAsia="楷体" w:hAnsi="楷体" w:hint="eastAsia"/>
          <w:b/>
          <w:sz w:val="24"/>
          <w:szCs w:val="24"/>
        </w:rPr>
        <w:t>节后港口库存继续累库 RU上涨受阻</w:t>
      </w:r>
      <w:bookmarkEnd w:id="35"/>
    </w:p>
    <w:p w:rsidR="003F56A5" w:rsidRDefault="007F09BE">
      <w:pPr>
        <w:ind w:leftChars="300" w:left="630"/>
        <w:rPr>
          <w:rFonts w:ascii="楷体" w:eastAsia="楷体" w:hAnsi="楷体"/>
          <w:sz w:val="24"/>
          <w:szCs w:val="24"/>
        </w:rPr>
      </w:pPr>
      <w:r w:rsidRPr="007F09BE">
        <w:rPr>
          <w:rFonts w:ascii="楷体" w:eastAsia="楷体" w:hAnsi="楷体" w:hint="eastAsia"/>
          <w:sz w:val="24"/>
          <w:szCs w:val="24"/>
        </w:rPr>
        <w:t>点评：当前橡胶重回低位震荡格局。早前橡胶回暖，与云南产区受干旱和白粉病影响或将大幅减产有关，但因我国橡胶产量占全球不足10%，云南减产的扰动影响或有限，因此胶价上行的持续性仍有待观察。当前制约RU价格上行的主要矛盾还是港口库存的高企，因我国橡胶消费主要依赖进口，港口库存屡创新高也就证实了下游需求并未出现实质性的拐点和利好。橡胶其余基本面来看，供应端，近期国内外产区干旱，云南地区更是有白粉病的问题，原料价格窄幅走高，同时短时供应难有新增，为原料上涨提供主要助推。泰国宋卡原料价格基本与当前胶价持平，成本端支撑强劲。橡胶下游轮胎开工有所回落，但整体依旧处于年度高位。五一部分企业安排3-5天的停工放假，以上因素拖拽样企业产能利用率走低。全钢胎市场销售压力较大，预计产能利用率后续回升幅度弱于半钢胎。终端汽车方面，尽管多数车企化身“价格屠夫”，但Q1汽车产销累计同比依旧出现下滑，而重卡销量景气度逐步转好，扭转此前21个月连续同比下滑的情况，进而推动橡胶用量最大的下游全钢胎的生产，所以橡胶价格在下游和主要终端支撑下，下行空间有限。出口方面，Q1轮胎累计出口量同比微幅回升，前</w:t>
      </w:r>
      <w:r w:rsidRPr="007F09BE">
        <w:rPr>
          <w:rFonts w:ascii="楷体" w:eastAsia="楷体" w:hAnsi="楷体" w:hint="eastAsia"/>
          <w:sz w:val="24"/>
          <w:szCs w:val="24"/>
        </w:rPr>
        <w:lastRenderedPageBreak/>
        <w:t>期对海外市场经济衰退和轮胎消费疲软的预期被证实过度悲观。综合来看，目前橡胶除了港口库存累库这一历史性难题利空外，其余基本面情况虽并不亮眼但也没有明显利空，后期只要港口库存能得到抑制，甚至不需要出现明显拐点，胶价二季度都会探底回升。短时天胶市场在去库问题未得到解决前，上涨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417328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D7C55" w:rsidRPr="00ED7C55">
        <w:rPr>
          <w:rFonts w:ascii="楷体" w:eastAsia="楷体" w:hAnsi="楷体" w:hint="eastAsia"/>
          <w:b/>
          <w:color w:val="000000" w:themeColor="text1"/>
          <w:sz w:val="24"/>
          <w:szCs w:val="24"/>
        </w:rPr>
        <w:t>油价走弱成本端支撑不足等待企稳</w:t>
      </w:r>
      <w:bookmarkEnd w:id="36"/>
      <w:r>
        <w:rPr>
          <w:rFonts w:ascii="楷体" w:eastAsia="楷体" w:hAnsi="楷体" w:hint="eastAsia"/>
          <w:b/>
          <w:color w:val="000000" w:themeColor="text1"/>
          <w:sz w:val="24"/>
          <w:szCs w:val="24"/>
        </w:rPr>
        <w:t xml:space="preserve"> </w:t>
      </w:r>
    </w:p>
    <w:p w:rsidR="003F56A5" w:rsidRDefault="00ED7C55" w:rsidP="008E3B84">
      <w:pPr>
        <w:ind w:leftChars="300" w:left="630"/>
        <w:rPr>
          <w:rFonts w:ascii="楷体" w:eastAsia="楷体" w:hAnsi="楷体"/>
          <w:color w:val="000000" w:themeColor="text1"/>
          <w:sz w:val="24"/>
          <w:szCs w:val="24"/>
        </w:rPr>
      </w:pPr>
      <w:r w:rsidRPr="00ED7C55">
        <w:rPr>
          <w:rFonts w:ascii="楷体" w:eastAsia="楷体" w:hAnsi="楷体" w:hint="eastAsia"/>
          <w:color w:val="000000" w:themeColor="text1"/>
          <w:sz w:val="24"/>
          <w:szCs w:val="24"/>
        </w:rPr>
        <w:t>受美国银行危机以及债务上限临期影响，宏观层面短线金融市场避险情绪集中爆发，市场重回流动性收紧担忧衰退风险，原油需求承压油价回落。 PTA供给方面，本周亚东75万吨和英力士125万吨装置已经重启，嘉通二期250万吨装置低负荷运行，至5.4 PTA负荷调整至81.7%（+0.8%）。嘉通能源及惠州新装置运行正常，整体供应量有所提升。但恒力4#、新疆中泰、福建百宏、新凤鸣5月存计划检修，在PTA新装置投产对冲现有装置检修下，PTA整体供应压力不大。库存方面，上周PTA社会库存量约在269.75万吨，环比+6.32万吨。需求方面，五一附近几套聚酯按照检修或者减产计划执行，同期也有部分装置恢复，此外长丝其他装置也有出现局部负荷小幅下调。综合来看，本周聚酯负荷继续下调，截至5.4，初步核算国内大陆地区聚酯负荷在84.3%（-1.6%）。展望后市，考虑PTA加工费偏高位，存量及新产能有继续释放预期，但同时也面临中泰，百宏，恒力等装置检修，开工率预计在5月中下回落。需求方面，聚酯工厂减产检修计划增多，需求回落负反馈持续。综合来看，5月中上旬交割需求仍存，短期PTA底部支撑仍存，进一步下跌空间有限。PTA等待企稳，暂时观望。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417328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4173286"/>
      <w:r>
        <w:rPr>
          <w:rFonts w:ascii="楷体" w:eastAsia="楷体" w:hAnsi="楷体" w:hint="eastAsia"/>
          <w:b/>
          <w:color w:val="000000" w:themeColor="text1"/>
          <w:sz w:val="24"/>
          <w:szCs w:val="24"/>
        </w:rPr>
        <w:t>聚烯烃：</w:t>
      </w:r>
      <w:r w:rsidR="007F09BE" w:rsidRPr="007F09BE">
        <w:rPr>
          <w:rFonts w:ascii="楷体" w:eastAsia="楷体" w:hAnsi="楷体" w:hint="eastAsia"/>
          <w:b/>
          <w:color w:val="000000" w:themeColor="text1"/>
          <w:sz w:val="24"/>
          <w:szCs w:val="24"/>
        </w:rPr>
        <w:t>需求难有明显起色 聚烯烃或窄幅回落</w:t>
      </w:r>
      <w:bookmarkEnd w:id="38"/>
    </w:p>
    <w:p w:rsidR="003F56A5" w:rsidRDefault="007F09BE">
      <w:pPr>
        <w:ind w:leftChars="300" w:left="630"/>
        <w:rPr>
          <w:rFonts w:ascii="楷体" w:eastAsia="楷体" w:hAnsi="楷体"/>
          <w:bCs/>
          <w:sz w:val="24"/>
          <w:szCs w:val="24"/>
        </w:rPr>
      </w:pPr>
      <w:r w:rsidRPr="007F09BE">
        <w:rPr>
          <w:rFonts w:ascii="楷体" w:eastAsia="楷体" w:hAnsi="楷体" w:hint="eastAsia"/>
          <w:color w:val="000000" w:themeColor="text1"/>
          <w:sz w:val="24"/>
          <w:szCs w:val="24"/>
        </w:rPr>
        <w:t>近期聚烯烃窄幅波动。库存方面，4月28日国内PE库存环比4月21日下降4.99%，其中主要生产环节PE库存环比下降13.61%，PE样本港口库存环比增加1.83%，样本贸易企业库存环比增加1.55%。4月21日PP库存环比4月14日下跌5.59%。其中主要生产环节PP库存、贸易环节库存、港口库存均有下降。成本方面，沙特阿美4个月以来首次下调了6月份销往</w:t>
      </w:r>
      <w:r w:rsidRPr="007F09BE">
        <w:rPr>
          <w:rFonts w:ascii="楷体" w:eastAsia="楷体" w:hAnsi="楷体" w:hint="eastAsia"/>
          <w:color w:val="000000" w:themeColor="text1"/>
          <w:sz w:val="24"/>
          <w:szCs w:val="24"/>
        </w:rPr>
        <w:lastRenderedPageBreak/>
        <w:t>亚洲的所有石油价格，且俄罗斯对亚洲的原油出口量不断增加。预计今日油价或下跌；需求方面，PE下游方面，农膜生产逐渐进入平淡期，短时间内难有明显起色；PP下游方面，BOPP市场成交刚需有量，整体量较上一交易日增加，BOPP企业未交付订单多数在一周以内，个别可至5月中。综合来看，PE方面，由于原油价格小幅下降，导致成本原料压力支撑持续减弱；而供应方面，从船期来看，进口资源陆续港量增加，货源开始显现；需求方面，下游工厂开工情况不佳，不如往年同期，终端需求提振有限，订单增长缓慢，成交无明显好转。PP方面，节前补库行情不及预期，以刚需为主，淡季即将来临，需求难有明显起色，聚烯烃市场趋势面临新一轮走低</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4173287"/>
      <w:r>
        <w:rPr>
          <w:rFonts w:ascii="楷体" w:eastAsia="楷体" w:hAnsi="楷体" w:hint="eastAsia"/>
          <w:b/>
          <w:color w:val="000000" w:themeColor="text1"/>
          <w:sz w:val="24"/>
          <w:szCs w:val="24"/>
        </w:rPr>
        <w:t>MEG：</w:t>
      </w:r>
      <w:r w:rsidR="00ED7C55" w:rsidRPr="00ED7C55">
        <w:rPr>
          <w:rFonts w:ascii="楷体" w:eastAsia="楷体" w:hAnsi="楷体" w:hint="eastAsia"/>
          <w:b/>
          <w:color w:val="000000" w:themeColor="text1"/>
          <w:sz w:val="24"/>
          <w:szCs w:val="24"/>
        </w:rPr>
        <w:t>装置检修增多驱动去库预期 09逢低可多配</w:t>
      </w:r>
      <w:bookmarkEnd w:id="39"/>
    </w:p>
    <w:p w:rsidR="003F56A5" w:rsidRDefault="00ED7C55" w:rsidP="00E45000">
      <w:pPr>
        <w:ind w:leftChars="300" w:left="630"/>
        <w:rPr>
          <w:rFonts w:ascii="楷体" w:eastAsia="楷体" w:hAnsi="楷体"/>
          <w:color w:val="000000" w:themeColor="text1"/>
          <w:sz w:val="24"/>
          <w:szCs w:val="24"/>
        </w:rPr>
      </w:pPr>
      <w:r w:rsidRPr="00ED7C55">
        <w:rPr>
          <w:rFonts w:ascii="楷体" w:eastAsia="楷体" w:hAnsi="楷体" w:hint="eastAsia"/>
          <w:color w:val="000000" w:themeColor="text1"/>
          <w:sz w:val="24"/>
          <w:szCs w:val="24"/>
        </w:rPr>
        <w:t>供需情况，5.4 统计华东码头库存约在106万吨附近，环比上期减少8.3万吨。5月中旬起浙石化将执行减产，后期内贸货源输送至港口数量也将同步缩减，预计港口库存仍能持续至少1-2周的去化。截至5月4日，中国大陆地区乙二醇整体开工负荷在60.51%（+0.26%），其中煤制乙二醇开工负荷在59.80%（-2.08%）。进口方面来看，预估4-5月上旬沙特等外盘货源到港量不多，外轮到货数量偏低。聚酯需求端来看，截止5.4 初步核算国内大陆地区聚酯负荷在84.3%（-1.6%），开工高位回落中。本周江浙加弹综合开工率69%(+0%)，江浙织机综合开工率64%(+2%），江浙印染综合开工率71%（+3%），节后江浙开工小幅修复。综合来看，近期国内乙二醇供应端一体化装置计划内停车与转产预期增多，如恒力石化、浙石化1#、海南炼化等。三季度国内大型煤化工装置也存在明确的检修需要，如陕煤渭化有检修以及减产安排。随着一体化装置检修增多供应端的收缩，仍会加大库存去化力度，预计华东码头库存可以进一步下降。综合来看，从库消比走势看，未来两周去库回落明显，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417328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D7C55" w:rsidRPr="00ED7C55">
        <w:rPr>
          <w:rFonts w:ascii="楷体" w:eastAsia="楷体" w:hAnsi="楷体" w:hint="eastAsia"/>
          <w:b/>
          <w:color w:val="000000" w:themeColor="text1"/>
          <w:sz w:val="24"/>
          <w:szCs w:val="24"/>
        </w:rPr>
        <w:t>五一去库减缓，等待低多机会</w:t>
      </w:r>
      <w:bookmarkEnd w:id="40"/>
    </w:p>
    <w:p w:rsidR="00A71A7E" w:rsidRDefault="00ED7C55" w:rsidP="0079299D">
      <w:pPr>
        <w:ind w:leftChars="300" w:left="630"/>
        <w:rPr>
          <w:rFonts w:ascii="楷体" w:eastAsia="楷体" w:hAnsi="楷体"/>
          <w:color w:val="000000" w:themeColor="text1"/>
          <w:sz w:val="24"/>
          <w:szCs w:val="24"/>
        </w:rPr>
      </w:pPr>
      <w:r w:rsidRPr="00ED7C55">
        <w:rPr>
          <w:rFonts w:ascii="楷体" w:eastAsia="楷体" w:hAnsi="楷体" w:hint="eastAsia"/>
          <w:color w:val="000000" w:themeColor="text1"/>
          <w:sz w:val="24"/>
          <w:szCs w:val="24"/>
        </w:rPr>
        <w:t>据隆众消息，截止到20230504，全国浮法玻璃样本企业总库存4527.2万重箱，环比-1.04%，同比-36.78%。折库存天数19.9天，较上期-0.2天。本周逢“五一”假期，下游多有不同程度放假，整体采购节奏放缓，不同区域库存走势有所差异，整体库存小幅削减，降幅较前期缩窄。全国玻璃均价2196元/吨，较前一日+47元/吨；华北华东华南地区价格均有上行。去库减缓下，且当前估值偏高情况下，盘面对深加工企业订单需求好转尚有疑虑，远月多空博弈，开始提前交易需求端不能持续的预期。但整体来看，玻璃现货价格站稳2000以上对期价有一定支撑，终端需求也在边际性改善。短期建议观望，等待做多机会</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417328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D7C55" w:rsidRPr="00ED7C55">
        <w:rPr>
          <w:rFonts w:ascii="楷体" w:eastAsia="楷体" w:hAnsi="楷体" w:hint="eastAsia"/>
          <w:b/>
          <w:color w:val="000000" w:themeColor="text1"/>
          <w:sz w:val="24"/>
          <w:szCs w:val="24"/>
        </w:rPr>
        <w:t>现货价格崩盘，期价大幅下挫</w:t>
      </w:r>
      <w:bookmarkEnd w:id="41"/>
    </w:p>
    <w:p w:rsidR="00A71A7E" w:rsidRDefault="00ED7C55" w:rsidP="00A71A7E">
      <w:pPr>
        <w:ind w:leftChars="300" w:left="630"/>
        <w:rPr>
          <w:rFonts w:ascii="楷体" w:eastAsia="楷体" w:hAnsi="楷体"/>
          <w:bCs/>
          <w:sz w:val="24"/>
          <w:szCs w:val="24"/>
        </w:rPr>
      </w:pPr>
      <w:r w:rsidRPr="00ED7C55">
        <w:rPr>
          <w:rFonts w:ascii="楷体" w:eastAsia="楷体" w:hAnsi="楷体" w:hint="eastAsia"/>
          <w:color w:val="000000" w:themeColor="text1"/>
          <w:sz w:val="24"/>
          <w:szCs w:val="24"/>
        </w:rPr>
        <w:t>隆众资讯5月4日报道：国内纯碱市场延续跌势，假期结束后企业价格陆续出台，均呈现下降。华北重碱下跌250元/吨，下游企业采购情绪依旧偏弱，刚需备货下，碱厂库存增加明显。供需博弈下，预计短期纯碱延续弱势。在新增供给压力下，下游按需采购，碱厂议价权弱，价格由阴跌到跟降，部分企业重碱沙河送达价已降至2600-2650，轻碱2350-2400。短期暂</w:t>
      </w:r>
      <w:r w:rsidRPr="00ED7C55">
        <w:rPr>
          <w:rFonts w:ascii="楷体" w:eastAsia="楷体" w:hAnsi="楷体" w:hint="eastAsia"/>
          <w:color w:val="000000" w:themeColor="text1"/>
          <w:sz w:val="24"/>
          <w:szCs w:val="24"/>
        </w:rPr>
        <w:lastRenderedPageBreak/>
        <w:t>未看到企稳信号</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417329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417329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F09BE" w:rsidRPr="007F09BE">
        <w:rPr>
          <w:rFonts w:ascii="楷体" w:eastAsia="楷体" w:hAnsi="楷体" w:hint="eastAsia"/>
          <w:b/>
          <w:sz w:val="24"/>
          <w:szCs w:val="24"/>
        </w:rPr>
        <w:t>供应预期增加，上方仍存压</w:t>
      </w:r>
      <w:bookmarkEnd w:id="43"/>
    </w:p>
    <w:p w:rsidR="003F56A5" w:rsidRDefault="007F09BE">
      <w:pPr>
        <w:ind w:leftChars="300" w:left="630"/>
        <w:rPr>
          <w:rFonts w:ascii="楷体" w:eastAsia="楷体" w:hAnsi="楷体"/>
          <w:sz w:val="24"/>
          <w:szCs w:val="24"/>
        </w:rPr>
      </w:pPr>
      <w:r w:rsidRPr="007F09BE">
        <w:rPr>
          <w:rFonts w:ascii="楷体" w:eastAsia="楷体" w:hAnsi="楷体" w:hint="eastAsia"/>
          <w:sz w:val="24"/>
          <w:szCs w:val="24"/>
        </w:rPr>
        <w:t>美豆在当前种植情况良好以及出口下降下，缺乏驱动。美国大豆播种进度较快为19%，一周前为9%，上年同期为7%。这一水平远高于五年平均进度11%。巴西当前收割进度达92%，仍面临卖压，但巴西大豆贴水有所企稳且有反弹迹象，后续卖压或减弱，农户销售意愿较强，关注大豆销售进度。国内市场，随着大豆卸港问题逐步改善，到厂大豆增加，油厂目前已陆续恢复开机，但华北地区油厂仍有停工检修计划，支撑豆粕现货报价坚挺。但大豆4-6月整体供给较宽松，根据机构预估4月份预计到港780万吨，5-6月均有1000万吨大豆到港，阶段性供应压力仍较大，关注后续油厂开工情况。下游养殖利润表现仍不佳，饲企和养殖企业等对豆粕饲用需求增量有限，当前价格优势仍不明显，短期价格反弹成交放量，但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大豆大量到港已是现实，暂时的阶段性供给紧张将改善，预计现货上方仍存压，对于盘面谨慎看空，建议短线可逢高空，菜粕可关注9-1正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4173292"/>
      <w:r>
        <w:rPr>
          <w:rFonts w:ascii="楷体" w:eastAsia="楷体" w:hAnsi="楷体" w:hint="eastAsia"/>
          <w:b/>
          <w:color w:val="000000" w:themeColor="text1"/>
          <w:sz w:val="24"/>
          <w:szCs w:val="24"/>
        </w:rPr>
        <w:t>油脂：</w:t>
      </w:r>
      <w:r w:rsidR="007F09BE" w:rsidRPr="007F09BE">
        <w:rPr>
          <w:rFonts w:ascii="楷体" w:eastAsia="楷体" w:hAnsi="楷体" w:hint="eastAsia"/>
          <w:b/>
          <w:sz w:val="24"/>
          <w:szCs w:val="24"/>
        </w:rPr>
        <w:t>基本面不改，缺乏有效驱动</w:t>
      </w:r>
      <w:bookmarkEnd w:id="44"/>
    </w:p>
    <w:p w:rsidR="003F56A5" w:rsidRDefault="007F09BE" w:rsidP="00792D31">
      <w:pPr>
        <w:ind w:leftChars="300" w:left="630"/>
        <w:rPr>
          <w:rFonts w:ascii="楷体" w:eastAsia="楷体" w:hAnsi="楷体"/>
          <w:sz w:val="24"/>
          <w:szCs w:val="24"/>
        </w:rPr>
      </w:pPr>
      <w:r w:rsidRPr="007F09BE">
        <w:rPr>
          <w:rFonts w:ascii="楷体" w:eastAsia="楷体" w:hAnsi="楷体" w:hint="eastAsia"/>
          <w:sz w:val="24"/>
          <w:szCs w:val="24"/>
        </w:rPr>
        <w:t>受市场宏观风险扰动，影响油脂走势，一是经济衰退担忧，二是5月份黑海协议将到期，不确定性仍存。棕榈油在产地出口疲软下价格承压，产地方面5月后马来逐步进入增产阶段，出口需求因主要消费国高库存及进口利润不佳受抑，也限制了棕榈油上方空间，船运机构显示马来西亚4月1-25日棕榈油出口量环比减少14-18.4%。而印尼计划于5月1日起将棕榈油国内市场义务(DMO)下调至每月30万吨。将把散油出口比率从1:6收紧至1:4，但贸易商手中仍有充足出口配额，因此政策影响有限。但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进口大豆集中供应，豆油供应存边际修复预期。菜油在供应边际改善下，上方压力仍存。随着进口加籽到港量维持高位，菜籽供应较稳定，1-3月累计进口菜籽166万吨，且4-6月份菜籽到港预计仍将维持偏高水平。当前油厂开工较稳定，叠加进口菜油供给也在增加，供应较为宽松。需求方面，随着豆油价格的回落，菜油替代优势减弱。短期油脂预计在供给增加下，上方压力仍存，建议短线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4173293"/>
      <w:r>
        <w:rPr>
          <w:rFonts w:ascii="楷体" w:eastAsia="楷体" w:hAnsi="楷体" w:hint="eastAsia"/>
          <w:b/>
          <w:bCs/>
          <w:color w:val="000000" w:themeColor="text1"/>
        </w:rPr>
        <w:lastRenderedPageBreak/>
        <w:t>玉米与淀粉：</w:t>
      </w:r>
      <w:r w:rsidR="00ED7C55" w:rsidRPr="00ED7C55">
        <w:rPr>
          <w:rFonts w:ascii="楷体" w:eastAsia="楷体" w:hAnsi="楷体" w:hint="eastAsia"/>
          <w:b/>
        </w:rPr>
        <w:t>小麦弱势带动期价冲高回落</w:t>
      </w:r>
      <w:bookmarkEnd w:id="45"/>
    </w:p>
    <w:p w:rsidR="00ED7C55" w:rsidRPr="00ED7C55" w:rsidRDefault="00ED7C55" w:rsidP="00ED7C55">
      <w:pPr>
        <w:pStyle w:val="paragraph"/>
        <w:spacing w:before="60" w:after="60"/>
        <w:ind w:leftChars="300" w:left="630"/>
        <w:rPr>
          <w:rFonts w:ascii="楷体" w:eastAsia="楷体" w:hAnsi="楷体" w:hint="eastAsia"/>
        </w:rPr>
      </w:pPr>
      <w:r w:rsidRPr="00ED7C55">
        <w:rPr>
          <w:rFonts w:ascii="楷体" w:eastAsia="楷体" w:hAnsi="楷体" w:hint="eastAsia"/>
        </w:rPr>
        <w:t>对于玉米而言，近期玉米期价持续大幅下跌，符合我们之前预期，核心在于性价比因素，主要体现在玉米期价跟随南方销区玉米现货走势，在持续下跌之后，国产玉米性价比有所提升，且玉米基差持续走强，玉米期价整体走平，即各个合约趋于同价，这会抑制玉米期价继续下跌的空间。在这种情况下，我们由前期谨慎看空转为中性，建议投资者前期空单离场后暂以观望为宜。</w:t>
      </w:r>
    </w:p>
    <w:p w:rsidR="003F56A5" w:rsidRDefault="00ED7C55" w:rsidP="00ED7C55">
      <w:pPr>
        <w:pStyle w:val="paragraph"/>
        <w:spacing w:before="60" w:beforeAutospacing="0" w:after="60" w:afterAutospacing="0"/>
        <w:ind w:leftChars="300" w:left="630"/>
        <w:rPr>
          <w:rFonts w:ascii="楷体" w:eastAsia="楷体" w:hAnsi="楷体"/>
        </w:rPr>
      </w:pPr>
      <w:r w:rsidRPr="00ED7C55">
        <w:rPr>
          <w:rFonts w:ascii="楷体" w:eastAsia="楷体" w:hAnsi="楷体" w:hint="eastAsia"/>
        </w:rPr>
        <w:t>对于淀粉而言，行业库存已有持续环比下降，考虑到现货生产利润亏损，行业开机率对应供应或继续低位，这意味着行业供需有望趋于改善，有利于价差继续走扩。对于前期的风险点即玉米原料端，我们亦倾向于认为其继续下跌空间受限。在这种情况下，我们建议持有淀粉-玉米价差走扩套利，激进投资者可轻仓介入做多，以去年7月低点作为止损</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4173294"/>
      <w:r>
        <w:rPr>
          <w:rFonts w:ascii="楷体" w:eastAsia="楷体" w:hAnsi="楷体" w:hint="eastAsia"/>
          <w:b/>
          <w:bCs/>
          <w:color w:val="000000" w:themeColor="text1"/>
        </w:rPr>
        <w:t>畜禽养殖：</w:t>
      </w:r>
      <w:r w:rsidR="00ED7C55" w:rsidRPr="00ED7C55">
        <w:rPr>
          <w:rFonts w:ascii="楷体" w:eastAsia="楷体" w:hAnsi="楷体" w:hint="eastAsia"/>
          <w:b/>
          <w:bCs/>
          <w:color w:val="000000" w:themeColor="text1"/>
        </w:rPr>
        <w:t>生猪近月期价大幅下跌</w:t>
      </w:r>
      <w:bookmarkEnd w:id="46"/>
    </w:p>
    <w:p w:rsidR="00ED7C55" w:rsidRPr="00ED7C55" w:rsidRDefault="00ED7C55" w:rsidP="00ED7C55">
      <w:pPr>
        <w:pStyle w:val="paragraph"/>
        <w:spacing w:before="60" w:after="60"/>
        <w:ind w:leftChars="300" w:left="630"/>
        <w:rPr>
          <w:rFonts w:ascii="楷体" w:eastAsia="楷体" w:hAnsi="楷体" w:hint="eastAsia"/>
        </w:rPr>
      </w:pPr>
      <w:r w:rsidRPr="00ED7C55">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疫情防控政策的放开，社会流动性提高，消费有望恢复至常年水平，除去宏观经济数据外，从节后鸡蛋和白羽鸡价格和利润处于历史同期高位水平可以得到印证。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暂维持谨慎看多，建议投资者暂以观望为宜，后期择机入场。</w:t>
      </w:r>
    </w:p>
    <w:p w:rsidR="003F56A5" w:rsidRDefault="00ED7C55" w:rsidP="00ED7C55">
      <w:pPr>
        <w:pStyle w:val="paragraph"/>
        <w:spacing w:before="60" w:beforeAutospacing="0" w:after="60" w:afterAutospacing="0"/>
        <w:ind w:leftChars="300" w:left="630"/>
        <w:rPr>
          <w:rFonts w:ascii="楷体" w:eastAsia="楷体" w:hAnsi="楷体"/>
        </w:rPr>
      </w:pPr>
      <w:r w:rsidRPr="00ED7C55">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4173295"/>
      <w:r>
        <w:rPr>
          <w:rFonts w:ascii="楷体" w:eastAsia="楷体" w:hAnsi="楷体" w:hint="eastAsia"/>
          <w:b/>
          <w:sz w:val="24"/>
          <w:szCs w:val="24"/>
        </w:rPr>
        <w:t>郑棉：</w:t>
      </w:r>
      <w:r w:rsidR="007F09BE" w:rsidRPr="007F09BE">
        <w:rPr>
          <w:rFonts w:ascii="楷体" w:eastAsia="楷体" w:hAnsi="楷体" w:hint="eastAsia"/>
          <w:b/>
          <w:sz w:val="24"/>
          <w:szCs w:val="24"/>
        </w:rPr>
        <w:t>预计震荡偏强，空9多1</w:t>
      </w:r>
      <w:bookmarkEnd w:id="47"/>
    </w:p>
    <w:p w:rsidR="003F56A5" w:rsidRDefault="007F09BE" w:rsidP="00B17165">
      <w:pPr>
        <w:ind w:leftChars="300" w:left="630"/>
        <w:rPr>
          <w:rFonts w:ascii="楷体" w:eastAsia="楷体" w:hAnsi="楷体"/>
          <w:sz w:val="24"/>
          <w:szCs w:val="24"/>
        </w:rPr>
      </w:pPr>
      <w:r w:rsidRPr="007F09BE">
        <w:rPr>
          <w:rFonts w:ascii="楷体" w:eastAsia="楷体" w:hAnsi="楷体" w:hint="eastAsia"/>
          <w:sz w:val="24"/>
          <w:szCs w:val="24"/>
        </w:rPr>
        <w:t>节后郑棉维持了偏强走势，09价格突破15500关口后，上方空间被进一步打开。当前市场关注焦点主要集中在供应端，尤其是国内天气持续不佳，苹果红枣花生等其他农产品走势同样偏强，容易形成联动效应。短期内供</w:t>
      </w:r>
      <w:r w:rsidRPr="007F09BE">
        <w:rPr>
          <w:rFonts w:ascii="楷体" w:eastAsia="楷体" w:hAnsi="楷体" w:hint="eastAsia"/>
          <w:sz w:val="24"/>
          <w:szCs w:val="24"/>
        </w:rPr>
        <w:lastRenderedPageBreak/>
        <w:t>应端天气利多犹存，种植面积也有进一步缩减的可能，上旬时不排除在资金和天气推动下试探1.6万元/吨的可能。但是需求端走弱也是同样明显。坯布本已处于历年来次高水平，近期纱线累库速度也在增快，虽然因本年度银行支持，纺织行业的负反馈暂时还未传导至棉花，但棉价继续上涨对产业的压力无疑会变得越来越大。中下旬则可能回落至14500-15500区间内宽幅震荡。因天气利好和轧花厂利好等因素主要集中在01合约上，近月相对将弱于远月。建议相关企业逢高在09合约上进行套期保值，也可继续空9多1的套利</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132" w:rsidRDefault="00856132">
      <w:r>
        <w:separator/>
      </w:r>
    </w:p>
  </w:endnote>
  <w:endnote w:type="continuationSeparator" w:id="0">
    <w:p w:rsidR="00856132" w:rsidRDefault="0085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3475E37" wp14:editId="23F6343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F09BE">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F09BE">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132" w:rsidRDefault="00856132">
      <w:r>
        <w:separator/>
      </w:r>
    </w:p>
  </w:footnote>
  <w:footnote w:type="continuationSeparator" w:id="0">
    <w:p w:rsidR="00856132" w:rsidRDefault="00856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0A971198" wp14:editId="608AAE23">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73E8384" wp14:editId="74482EC0">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D7C55">
      <w:rPr>
        <w:rFonts w:ascii="Times New Roman" w:eastAsia="楷体" w:hAnsi="Times New Roman" w:hint="eastAsia"/>
        <w:b/>
        <w:bCs/>
        <w:noProof/>
        <w:color w:val="833C0B"/>
        <w:sz w:val="21"/>
      </w:rPr>
      <w:t>2023</w:t>
    </w:r>
    <w:r w:rsidR="00ED7C55">
      <w:rPr>
        <w:rFonts w:ascii="Times New Roman" w:eastAsia="楷体" w:hAnsi="Times New Roman" w:hint="eastAsia"/>
        <w:b/>
        <w:bCs/>
        <w:noProof/>
        <w:color w:val="833C0B"/>
        <w:sz w:val="21"/>
      </w:rPr>
      <w:t>年</w:t>
    </w:r>
    <w:r w:rsidR="00ED7C55">
      <w:rPr>
        <w:rFonts w:ascii="Times New Roman" w:eastAsia="楷体" w:hAnsi="Times New Roman" w:hint="eastAsia"/>
        <w:b/>
        <w:bCs/>
        <w:noProof/>
        <w:color w:val="833C0B"/>
        <w:sz w:val="21"/>
      </w:rPr>
      <w:t>5</w:t>
    </w:r>
    <w:r w:rsidR="00ED7C55">
      <w:rPr>
        <w:rFonts w:ascii="Times New Roman" w:eastAsia="楷体" w:hAnsi="Times New Roman" w:hint="eastAsia"/>
        <w:b/>
        <w:bCs/>
        <w:noProof/>
        <w:color w:val="833C0B"/>
        <w:sz w:val="21"/>
      </w:rPr>
      <w:t>月</w:t>
    </w:r>
    <w:r w:rsidR="00ED7C55">
      <w:rPr>
        <w:rFonts w:ascii="Times New Roman" w:eastAsia="楷体" w:hAnsi="Times New Roman" w:hint="eastAsia"/>
        <w:b/>
        <w:bCs/>
        <w:noProof/>
        <w:color w:val="833C0B"/>
        <w:sz w:val="21"/>
      </w:rPr>
      <w:t>5</w:t>
    </w:r>
    <w:r w:rsidR="00ED7C55">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5145ED"/>
    <w:rsid w:val="00535DC9"/>
    <w:rsid w:val="00540298"/>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55EAF"/>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73018-2579-41C1-A4C0-023AD2B2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10</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99</cp:revision>
  <cp:lastPrinted>2023-04-20T02:18:00Z</cp:lastPrinted>
  <dcterms:created xsi:type="dcterms:W3CDTF">2022-11-15T10:06:00Z</dcterms:created>
  <dcterms:modified xsi:type="dcterms:W3CDTF">2023-05-05T02:00:00Z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