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bookmarkStart w:id="0" w:name="_GoBack"/>
      <w:bookmarkEnd w:id="0"/>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B91D3D"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4098710" w:history="1">
            <w:r w:rsidR="00B91D3D" w:rsidRPr="00004EFA">
              <w:rPr>
                <w:rStyle w:val="a7"/>
                <w:rFonts w:ascii="Times New Roman" w:eastAsia="楷体" w:hAnsi="Times New Roman"/>
                <w:b/>
                <w:noProof/>
              </w:rPr>
              <w:t>[</w:t>
            </w:r>
            <w:r w:rsidR="00B91D3D" w:rsidRPr="00004EFA">
              <w:rPr>
                <w:rStyle w:val="a7"/>
                <w:rFonts w:ascii="Times New Roman" w:eastAsia="楷体" w:hAnsi="Times New Roman"/>
                <w:b/>
                <w:noProof/>
              </w:rPr>
              <w:t>金融</w:t>
            </w:r>
            <w:r w:rsidR="00B91D3D" w:rsidRPr="00004EFA">
              <w:rPr>
                <w:rStyle w:val="a7"/>
                <w:rFonts w:ascii="Times New Roman" w:eastAsia="楷体" w:hAnsi="Times New Roman"/>
                <w:b/>
                <w:noProof/>
              </w:rPr>
              <w:t>]</w:t>
            </w:r>
          </w:hyperlink>
        </w:p>
        <w:p w:rsidR="00B91D3D" w:rsidRDefault="00B91D3D">
          <w:pPr>
            <w:pStyle w:val="2"/>
            <w:tabs>
              <w:tab w:val="right" w:leader="dot" w:pos="8296"/>
            </w:tabs>
            <w:rPr>
              <w:rFonts w:eastAsiaTheme="minorEastAsia"/>
              <w:noProof/>
              <w:szCs w:val="22"/>
            </w:rPr>
          </w:pPr>
          <w:hyperlink w:anchor="_Toc134098711" w:history="1">
            <w:r w:rsidRPr="00004EFA">
              <w:rPr>
                <w:rStyle w:val="a7"/>
                <w:rFonts w:ascii="Times New Roman" w:eastAsia="楷体" w:hAnsi="Times New Roman"/>
                <w:b/>
                <w:noProof/>
              </w:rPr>
              <w:t>股指：关注低多机会</w:t>
            </w:r>
          </w:hyperlink>
        </w:p>
        <w:p w:rsidR="00B91D3D" w:rsidRDefault="00B91D3D">
          <w:pPr>
            <w:pStyle w:val="11"/>
            <w:tabs>
              <w:tab w:val="right" w:leader="dot" w:pos="8296"/>
            </w:tabs>
            <w:rPr>
              <w:rFonts w:eastAsiaTheme="minorEastAsia"/>
              <w:noProof/>
              <w:szCs w:val="22"/>
            </w:rPr>
          </w:pPr>
          <w:hyperlink w:anchor="_Toc134098712" w:history="1">
            <w:r w:rsidRPr="00004EFA">
              <w:rPr>
                <w:rStyle w:val="a7"/>
                <w:rFonts w:ascii="Times New Roman" w:eastAsia="楷体" w:hAnsi="Times New Roman"/>
                <w:b/>
                <w:noProof/>
              </w:rPr>
              <w:t>[</w:t>
            </w:r>
            <w:r w:rsidRPr="00004EFA">
              <w:rPr>
                <w:rStyle w:val="a7"/>
                <w:rFonts w:ascii="Times New Roman" w:eastAsia="楷体" w:hAnsi="Times New Roman"/>
                <w:b/>
                <w:noProof/>
              </w:rPr>
              <w:t>贵金属</w:t>
            </w:r>
            <w:r w:rsidRPr="00004EFA">
              <w:rPr>
                <w:rStyle w:val="a7"/>
                <w:rFonts w:ascii="Times New Roman" w:eastAsia="楷体" w:hAnsi="Times New Roman"/>
                <w:b/>
                <w:noProof/>
              </w:rPr>
              <w:t>]</w:t>
            </w:r>
          </w:hyperlink>
        </w:p>
        <w:p w:rsidR="00B91D3D" w:rsidRDefault="00B91D3D">
          <w:pPr>
            <w:pStyle w:val="2"/>
            <w:tabs>
              <w:tab w:val="right" w:leader="dot" w:pos="8296"/>
            </w:tabs>
            <w:rPr>
              <w:rFonts w:eastAsiaTheme="minorEastAsia"/>
              <w:noProof/>
              <w:szCs w:val="22"/>
            </w:rPr>
          </w:pPr>
          <w:hyperlink w:anchor="_Toc134098713" w:history="1">
            <w:r w:rsidRPr="00004EFA">
              <w:rPr>
                <w:rStyle w:val="a7"/>
                <w:rFonts w:ascii="Times New Roman" w:eastAsia="楷体" w:hAnsi="Times New Roman"/>
                <w:b/>
                <w:noProof/>
              </w:rPr>
              <w:t>贵金属：美联储暗示暂停加息，金价创近三年来新高</w:t>
            </w:r>
          </w:hyperlink>
        </w:p>
        <w:p w:rsidR="00B91D3D" w:rsidRDefault="00B91D3D">
          <w:pPr>
            <w:pStyle w:val="11"/>
            <w:tabs>
              <w:tab w:val="right" w:leader="dot" w:pos="8296"/>
            </w:tabs>
            <w:rPr>
              <w:rFonts w:eastAsiaTheme="minorEastAsia"/>
              <w:noProof/>
              <w:szCs w:val="22"/>
            </w:rPr>
          </w:pPr>
          <w:hyperlink w:anchor="_Toc134098714" w:history="1">
            <w:r w:rsidRPr="00004EFA">
              <w:rPr>
                <w:rStyle w:val="a7"/>
                <w:rFonts w:ascii="Times New Roman" w:eastAsia="楷体" w:hAnsi="Times New Roman"/>
                <w:b/>
                <w:noProof/>
              </w:rPr>
              <w:t>[</w:t>
            </w:r>
            <w:r w:rsidRPr="00004EFA">
              <w:rPr>
                <w:rStyle w:val="a7"/>
                <w:rFonts w:ascii="Times New Roman" w:eastAsia="楷体" w:hAnsi="Times New Roman"/>
                <w:b/>
                <w:noProof/>
              </w:rPr>
              <w:t>金属</w:t>
            </w:r>
            <w:r w:rsidRPr="00004EFA">
              <w:rPr>
                <w:rStyle w:val="a7"/>
                <w:rFonts w:ascii="Times New Roman" w:eastAsia="楷体" w:hAnsi="Times New Roman"/>
                <w:b/>
                <w:noProof/>
              </w:rPr>
              <w:t>]</w:t>
            </w:r>
          </w:hyperlink>
        </w:p>
        <w:p w:rsidR="00B91D3D" w:rsidRDefault="00B91D3D">
          <w:pPr>
            <w:pStyle w:val="2"/>
            <w:tabs>
              <w:tab w:val="right" w:leader="dot" w:pos="8296"/>
            </w:tabs>
            <w:rPr>
              <w:rFonts w:eastAsiaTheme="minorEastAsia"/>
              <w:noProof/>
              <w:szCs w:val="22"/>
            </w:rPr>
          </w:pPr>
          <w:hyperlink w:anchor="_Toc134098715" w:history="1">
            <w:r w:rsidRPr="00004EFA">
              <w:rPr>
                <w:rStyle w:val="a7"/>
                <w:rFonts w:ascii="楷体" w:eastAsia="楷体" w:hAnsi="楷体"/>
                <w:b/>
                <w:noProof/>
              </w:rPr>
              <w:t>螺纹钢：驱动向下，承压运行，逢高空为主</w:t>
            </w:r>
          </w:hyperlink>
        </w:p>
        <w:p w:rsidR="00B91D3D" w:rsidRDefault="00B91D3D">
          <w:pPr>
            <w:pStyle w:val="2"/>
            <w:tabs>
              <w:tab w:val="right" w:leader="dot" w:pos="8296"/>
            </w:tabs>
            <w:rPr>
              <w:rFonts w:eastAsiaTheme="minorEastAsia"/>
              <w:noProof/>
              <w:szCs w:val="22"/>
            </w:rPr>
          </w:pPr>
          <w:hyperlink w:anchor="_Toc134098716" w:history="1">
            <w:r w:rsidRPr="00004EFA">
              <w:rPr>
                <w:rStyle w:val="a7"/>
                <w:rFonts w:ascii="楷体" w:eastAsia="楷体" w:hAnsi="楷体"/>
                <w:b/>
                <w:noProof/>
              </w:rPr>
              <w:t>焦炭：现货补跌中，承压运行</w:t>
            </w:r>
          </w:hyperlink>
        </w:p>
        <w:p w:rsidR="00B91D3D" w:rsidRDefault="00B91D3D">
          <w:pPr>
            <w:pStyle w:val="2"/>
            <w:tabs>
              <w:tab w:val="right" w:leader="dot" w:pos="8296"/>
            </w:tabs>
            <w:rPr>
              <w:rFonts w:eastAsiaTheme="minorEastAsia"/>
              <w:noProof/>
              <w:szCs w:val="22"/>
            </w:rPr>
          </w:pPr>
          <w:hyperlink w:anchor="_Toc134098717" w:history="1">
            <w:r w:rsidRPr="00004EFA">
              <w:rPr>
                <w:rStyle w:val="a7"/>
                <w:rFonts w:ascii="楷体" w:eastAsia="楷体" w:hAnsi="楷体"/>
                <w:b/>
                <w:noProof/>
              </w:rPr>
              <w:t>焦煤：现货下跌或仍未结束，偏弱运行</w:t>
            </w:r>
          </w:hyperlink>
        </w:p>
        <w:p w:rsidR="00B91D3D" w:rsidRDefault="00B91D3D">
          <w:pPr>
            <w:pStyle w:val="2"/>
            <w:tabs>
              <w:tab w:val="right" w:leader="dot" w:pos="8296"/>
            </w:tabs>
            <w:rPr>
              <w:rFonts w:eastAsiaTheme="minorEastAsia"/>
              <w:noProof/>
              <w:szCs w:val="22"/>
            </w:rPr>
          </w:pPr>
          <w:hyperlink w:anchor="_Toc134098718" w:history="1">
            <w:r w:rsidRPr="00004EFA">
              <w:rPr>
                <w:rStyle w:val="a7"/>
                <w:rFonts w:ascii="楷体" w:eastAsia="楷体" w:hAnsi="楷体"/>
                <w:b/>
                <w:noProof/>
              </w:rPr>
              <w:t>铜：维持偏弱运行</w:t>
            </w:r>
          </w:hyperlink>
        </w:p>
        <w:p w:rsidR="00B91D3D" w:rsidRDefault="00B91D3D">
          <w:pPr>
            <w:pStyle w:val="2"/>
            <w:tabs>
              <w:tab w:val="right" w:leader="dot" w:pos="8296"/>
            </w:tabs>
            <w:rPr>
              <w:rFonts w:eastAsiaTheme="minorEastAsia"/>
              <w:noProof/>
              <w:szCs w:val="22"/>
            </w:rPr>
          </w:pPr>
          <w:hyperlink w:anchor="_Toc134098719" w:history="1">
            <w:r w:rsidRPr="00004EFA">
              <w:rPr>
                <w:rStyle w:val="a7"/>
                <w:rFonts w:ascii="楷体" w:eastAsia="楷体" w:hAnsi="楷体"/>
                <w:b/>
                <w:noProof/>
              </w:rPr>
              <w:t>铝：铝价短期震荡为主，中期偏空看待</w:t>
            </w:r>
          </w:hyperlink>
        </w:p>
        <w:p w:rsidR="00B91D3D" w:rsidRDefault="00B91D3D">
          <w:pPr>
            <w:pStyle w:val="2"/>
            <w:tabs>
              <w:tab w:val="right" w:leader="dot" w:pos="8296"/>
            </w:tabs>
            <w:rPr>
              <w:rFonts w:eastAsiaTheme="minorEastAsia"/>
              <w:noProof/>
              <w:szCs w:val="22"/>
            </w:rPr>
          </w:pPr>
          <w:hyperlink w:anchor="_Toc134098720" w:history="1">
            <w:r w:rsidRPr="00004EFA">
              <w:rPr>
                <w:rStyle w:val="a7"/>
                <w:rFonts w:ascii="楷体" w:eastAsia="楷体" w:hAnsi="楷体"/>
                <w:b/>
                <w:noProof/>
              </w:rPr>
              <w:t>锌：供强需弱持续强化，锌价偏弱运行</w:t>
            </w:r>
          </w:hyperlink>
        </w:p>
        <w:p w:rsidR="00B91D3D" w:rsidRDefault="00B91D3D">
          <w:pPr>
            <w:pStyle w:val="2"/>
            <w:tabs>
              <w:tab w:val="right" w:leader="dot" w:pos="8296"/>
            </w:tabs>
            <w:rPr>
              <w:rFonts w:eastAsiaTheme="minorEastAsia"/>
              <w:noProof/>
              <w:szCs w:val="22"/>
            </w:rPr>
          </w:pPr>
          <w:hyperlink w:anchor="_Toc134098721" w:history="1">
            <w:r w:rsidRPr="00004EFA">
              <w:rPr>
                <w:rStyle w:val="a7"/>
                <w:rFonts w:ascii="楷体" w:eastAsia="楷体" w:hAnsi="楷体"/>
                <w:b/>
                <w:noProof/>
              </w:rPr>
              <w:t>镍：供应预期持续施压，逢高空思路不变</w:t>
            </w:r>
          </w:hyperlink>
        </w:p>
        <w:p w:rsidR="00B91D3D" w:rsidRDefault="00B91D3D">
          <w:pPr>
            <w:pStyle w:val="2"/>
            <w:tabs>
              <w:tab w:val="right" w:leader="dot" w:pos="8296"/>
            </w:tabs>
            <w:rPr>
              <w:rFonts w:eastAsiaTheme="minorEastAsia"/>
              <w:noProof/>
              <w:szCs w:val="22"/>
            </w:rPr>
          </w:pPr>
          <w:hyperlink w:anchor="_Toc134098722" w:history="1">
            <w:r w:rsidRPr="00004EFA">
              <w:rPr>
                <w:rStyle w:val="a7"/>
                <w:rFonts w:ascii="楷体" w:eastAsia="楷体" w:hAnsi="楷体"/>
                <w:b/>
                <w:noProof/>
              </w:rPr>
              <w:t>铅：五一节后宏观情绪转向，基本面维持铅价震荡为主</w:t>
            </w:r>
          </w:hyperlink>
        </w:p>
        <w:p w:rsidR="00B91D3D" w:rsidRDefault="00B91D3D">
          <w:pPr>
            <w:pStyle w:val="2"/>
            <w:tabs>
              <w:tab w:val="right" w:leader="dot" w:pos="8296"/>
            </w:tabs>
            <w:rPr>
              <w:rFonts w:eastAsiaTheme="minorEastAsia"/>
              <w:noProof/>
              <w:szCs w:val="22"/>
            </w:rPr>
          </w:pPr>
          <w:hyperlink w:anchor="_Toc134098723" w:history="1">
            <w:r w:rsidRPr="00004EFA">
              <w:rPr>
                <w:rStyle w:val="a7"/>
                <w:rFonts w:ascii="楷体" w:eastAsia="楷体" w:hAnsi="楷体"/>
                <w:b/>
                <w:noProof/>
              </w:rPr>
              <w:t>不锈钢：短期区间震荡为主</w:t>
            </w:r>
          </w:hyperlink>
        </w:p>
        <w:p w:rsidR="00B91D3D" w:rsidRDefault="00B91D3D">
          <w:pPr>
            <w:pStyle w:val="2"/>
            <w:tabs>
              <w:tab w:val="right" w:leader="dot" w:pos="8296"/>
            </w:tabs>
            <w:rPr>
              <w:rFonts w:eastAsiaTheme="minorEastAsia"/>
              <w:noProof/>
              <w:szCs w:val="22"/>
            </w:rPr>
          </w:pPr>
          <w:hyperlink w:anchor="_Toc134098724" w:history="1">
            <w:r w:rsidRPr="00004EFA">
              <w:rPr>
                <w:rStyle w:val="a7"/>
                <w:rFonts w:ascii="楷体" w:eastAsia="楷体" w:hAnsi="楷体"/>
                <w:b/>
                <w:noProof/>
              </w:rPr>
              <w:t>工业硅：短期西南开工低位，市场下行空间或有限</w:t>
            </w:r>
          </w:hyperlink>
        </w:p>
        <w:p w:rsidR="00B91D3D" w:rsidRDefault="00B91D3D">
          <w:pPr>
            <w:pStyle w:val="11"/>
            <w:tabs>
              <w:tab w:val="right" w:leader="dot" w:pos="8296"/>
            </w:tabs>
            <w:rPr>
              <w:rFonts w:eastAsiaTheme="minorEastAsia"/>
              <w:noProof/>
              <w:szCs w:val="22"/>
            </w:rPr>
          </w:pPr>
          <w:hyperlink w:anchor="_Toc134098725" w:history="1">
            <w:r w:rsidRPr="00004EFA">
              <w:rPr>
                <w:rStyle w:val="a7"/>
                <w:rFonts w:ascii="Times New Roman" w:eastAsia="楷体" w:hAnsi="Times New Roman"/>
                <w:b/>
                <w:noProof/>
              </w:rPr>
              <w:t>[</w:t>
            </w:r>
            <w:r w:rsidRPr="00004EFA">
              <w:rPr>
                <w:rStyle w:val="a7"/>
                <w:rFonts w:ascii="Times New Roman" w:eastAsia="楷体" w:hAnsi="Times New Roman"/>
                <w:b/>
                <w:noProof/>
              </w:rPr>
              <w:t>化工</w:t>
            </w:r>
            <w:r w:rsidRPr="00004EFA">
              <w:rPr>
                <w:rStyle w:val="a7"/>
                <w:rFonts w:ascii="Times New Roman" w:eastAsia="楷体" w:hAnsi="Times New Roman"/>
                <w:b/>
                <w:noProof/>
              </w:rPr>
              <w:t>]</w:t>
            </w:r>
          </w:hyperlink>
        </w:p>
        <w:p w:rsidR="00B91D3D" w:rsidRDefault="00B91D3D">
          <w:pPr>
            <w:pStyle w:val="2"/>
            <w:tabs>
              <w:tab w:val="right" w:leader="dot" w:pos="8296"/>
            </w:tabs>
            <w:rPr>
              <w:rFonts w:eastAsiaTheme="minorEastAsia"/>
              <w:noProof/>
              <w:szCs w:val="22"/>
            </w:rPr>
          </w:pPr>
          <w:hyperlink w:anchor="_Toc134098726" w:history="1">
            <w:r w:rsidRPr="00004EFA">
              <w:rPr>
                <w:rStyle w:val="a7"/>
                <w:rFonts w:ascii="Times New Roman" w:eastAsia="楷体" w:hAnsi="Times New Roman"/>
                <w:b/>
                <w:noProof/>
              </w:rPr>
              <w:t>天然橡胶</w:t>
            </w:r>
            <w:r w:rsidRPr="00004EFA">
              <w:rPr>
                <w:rStyle w:val="a7"/>
                <w:rFonts w:ascii="Times New Roman" w:eastAsia="楷体" w:hAnsi="Times New Roman"/>
                <w:b/>
                <w:noProof/>
              </w:rPr>
              <w:t>:</w:t>
            </w:r>
            <w:r w:rsidRPr="00004EFA">
              <w:rPr>
                <w:rStyle w:val="a7"/>
                <w:rFonts w:ascii="楷体" w:eastAsia="楷体" w:hAnsi="楷体"/>
                <w:b/>
                <w:noProof/>
              </w:rPr>
              <w:t xml:space="preserve"> 港口库存拐点暂不清晰 RU上涨受阻</w:t>
            </w:r>
          </w:hyperlink>
        </w:p>
        <w:p w:rsidR="00B91D3D" w:rsidRDefault="00B91D3D">
          <w:pPr>
            <w:pStyle w:val="2"/>
            <w:tabs>
              <w:tab w:val="right" w:leader="dot" w:pos="8296"/>
            </w:tabs>
            <w:rPr>
              <w:rFonts w:eastAsiaTheme="minorEastAsia"/>
              <w:noProof/>
              <w:szCs w:val="22"/>
            </w:rPr>
          </w:pPr>
          <w:hyperlink w:anchor="_Toc134098727" w:history="1">
            <w:r w:rsidRPr="00004EFA">
              <w:rPr>
                <w:rStyle w:val="a7"/>
                <w:rFonts w:ascii="楷体" w:eastAsia="楷体" w:hAnsi="楷体"/>
                <w:b/>
                <w:noProof/>
              </w:rPr>
              <w:t>PTA：油价走弱成本端支撑不足等待企稳</w:t>
            </w:r>
          </w:hyperlink>
        </w:p>
        <w:p w:rsidR="00B91D3D" w:rsidRDefault="00B91D3D">
          <w:pPr>
            <w:pStyle w:val="2"/>
            <w:tabs>
              <w:tab w:val="right" w:leader="dot" w:pos="8296"/>
            </w:tabs>
            <w:rPr>
              <w:rFonts w:eastAsiaTheme="minorEastAsia"/>
              <w:noProof/>
              <w:szCs w:val="22"/>
            </w:rPr>
          </w:pPr>
          <w:hyperlink w:anchor="_Toc134098728" w:history="1">
            <w:r w:rsidRPr="00004EFA">
              <w:rPr>
                <w:rStyle w:val="a7"/>
                <w:rFonts w:ascii="楷体" w:eastAsia="楷体" w:hAnsi="楷体"/>
                <w:b/>
                <w:noProof/>
              </w:rPr>
              <w:t>PVC：高库存+弱复苏 驱动不足</w:t>
            </w:r>
          </w:hyperlink>
        </w:p>
        <w:p w:rsidR="00B91D3D" w:rsidRDefault="00B91D3D">
          <w:pPr>
            <w:pStyle w:val="2"/>
            <w:tabs>
              <w:tab w:val="right" w:leader="dot" w:pos="8296"/>
            </w:tabs>
            <w:rPr>
              <w:rFonts w:eastAsiaTheme="minorEastAsia"/>
              <w:noProof/>
              <w:szCs w:val="22"/>
            </w:rPr>
          </w:pPr>
          <w:hyperlink w:anchor="_Toc134098729" w:history="1">
            <w:r w:rsidRPr="00004EFA">
              <w:rPr>
                <w:rStyle w:val="a7"/>
                <w:rFonts w:ascii="楷体" w:eastAsia="楷体" w:hAnsi="楷体"/>
                <w:b/>
                <w:noProof/>
              </w:rPr>
              <w:t>聚烯烃：成本回落终端需求不佳 聚烯烃或窄幅回落</w:t>
            </w:r>
          </w:hyperlink>
        </w:p>
        <w:p w:rsidR="00B91D3D" w:rsidRDefault="00B91D3D">
          <w:pPr>
            <w:pStyle w:val="2"/>
            <w:tabs>
              <w:tab w:val="right" w:leader="dot" w:pos="8296"/>
            </w:tabs>
            <w:rPr>
              <w:rFonts w:eastAsiaTheme="minorEastAsia"/>
              <w:noProof/>
              <w:szCs w:val="22"/>
            </w:rPr>
          </w:pPr>
          <w:hyperlink w:anchor="_Toc134098730" w:history="1">
            <w:r w:rsidRPr="00004EFA">
              <w:rPr>
                <w:rStyle w:val="a7"/>
                <w:rFonts w:ascii="楷体" w:eastAsia="楷体" w:hAnsi="楷体"/>
                <w:b/>
                <w:noProof/>
              </w:rPr>
              <w:t>MEG：近期供需改善驱动去库预期 09逢低可多配</w:t>
            </w:r>
          </w:hyperlink>
        </w:p>
        <w:p w:rsidR="00B91D3D" w:rsidRDefault="00B91D3D">
          <w:pPr>
            <w:pStyle w:val="2"/>
            <w:tabs>
              <w:tab w:val="right" w:leader="dot" w:pos="8296"/>
            </w:tabs>
            <w:rPr>
              <w:rFonts w:eastAsiaTheme="minorEastAsia"/>
              <w:noProof/>
              <w:szCs w:val="22"/>
            </w:rPr>
          </w:pPr>
          <w:hyperlink w:anchor="_Toc134098731" w:history="1">
            <w:r w:rsidRPr="00004EFA">
              <w:rPr>
                <w:rStyle w:val="a7"/>
                <w:rFonts w:ascii="楷体" w:eastAsia="楷体" w:hAnsi="楷体"/>
                <w:b/>
                <w:noProof/>
              </w:rPr>
              <w:t>玻璃：现货滞涨，多空博弈加剧</w:t>
            </w:r>
          </w:hyperlink>
        </w:p>
        <w:p w:rsidR="00B91D3D" w:rsidRDefault="00B91D3D">
          <w:pPr>
            <w:pStyle w:val="2"/>
            <w:tabs>
              <w:tab w:val="right" w:leader="dot" w:pos="8296"/>
            </w:tabs>
            <w:rPr>
              <w:rFonts w:eastAsiaTheme="minorEastAsia"/>
              <w:noProof/>
              <w:szCs w:val="22"/>
            </w:rPr>
          </w:pPr>
          <w:hyperlink w:anchor="_Toc134098732" w:history="1">
            <w:r w:rsidRPr="00004EFA">
              <w:rPr>
                <w:rStyle w:val="a7"/>
                <w:rFonts w:ascii="楷体" w:eastAsia="楷体" w:hAnsi="楷体"/>
                <w:b/>
                <w:noProof/>
              </w:rPr>
              <w:t>纯碱：现货价格阴跌，扩产预期交易较为充分</w:t>
            </w:r>
          </w:hyperlink>
        </w:p>
        <w:p w:rsidR="00B91D3D" w:rsidRDefault="00B91D3D">
          <w:pPr>
            <w:pStyle w:val="11"/>
            <w:tabs>
              <w:tab w:val="right" w:leader="dot" w:pos="8296"/>
            </w:tabs>
            <w:rPr>
              <w:rFonts w:eastAsiaTheme="minorEastAsia"/>
              <w:noProof/>
              <w:szCs w:val="22"/>
            </w:rPr>
          </w:pPr>
          <w:hyperlink w:anchor="_Toc134098733" w:history="1">
            <w:r w:rsidRPr="00004EFA">
              <w:rPr>
                <w:rStyle w:val="a7"/>
                <w:rFonts w:ascii="Times New Roman" w:eastAsia="楷体" w:hAnsi="Times New Roman"/>
                <w:b/>
                <w:noProof/>
              </w:rPr>
              <w:t>[</w:t>
            </w:r>
            <w:r w:rsidRPr="00004EFA">
              <w:rPr>
                <w:rStyle w:val="a7"/>
                <w:rFonts w:ascii="Times New Roman" w:eastAsia="楷体" w:hAnsi="Times New Roman"/>
                <w:b/>
                <w:noProof/>
              </w:rPr>
              <w:t>农产品</w:t>
            </w:r>
            <w:r w:rsidRPr="00004EFA">
              <w:rPr>
                <w:rStyle w:val="a7"/>
                <w:rFonts w:ascii="Times New Roman" w:eastAsia="楷体" w:hAnsi="Times New Roman"/>
                <w:b/>
                <w:noProof/>
              </w:rPr>
              <w:t>]</w:t>
            </w:r>
          </w:hyperlink>
        </w:p>
        <w:p w:rsidR="00B91D3D" w:rsidRDefault="00B91D3D">
          <w:pPr>
            <w:pStyle w:val="2"/>
            <w:tabs>
              <w:tab w:val="right" w:leader="dot" w:pos="8296"/>
            </w:tabs>
            <w:rPr>
              <w:rFonts w:eastAsiaTheme="minorEastAsia"/>
              <w:noProof/>
              <w:szCs w:val="22"/>
            </w:rPr>
          </w:pPr>
          <w:hyperlink w:anchor="_Toc134098734" w:history="1">
            <w:r w:rsidRPr="00004EFA">
              <w:rPr>
                <w:rStyle w:val="a7"/>
                <w:rFonts w:ascii="楷体" w:eastAsia="楷体" w:hAnsi="楷体"/>
                <w:b/>
                <w:noProof/>
              </w:rPr>
              <w:t>豆粕/菜粕：近强远弱，上方空间有限</w:t>
            </w:r>
          </w:hyperlink>
        </w:p>
        <w:p w:rsidR="00B91D3D" w:rsidRDefault="00B91D3D">
          <w:pPr>
            <w:pStyle w:val="2"/>
            <w:tabs>
              <w:tab w:val="right" w:leader="dot" w:pos="8296"/>
            </w:tabs>
            <w:rPr>
              <w:rFonts w:eastAsiaTheme="minorEastAsia"/>
              <w:noProof/>
              <w:szCs w:val="22"/>
            </w:rPr>
          </w:pPr>
          <w:hyperlink w:anchor="_Toc134098735" w:history="1">
            <w:r w:rsidRPr="00004EFA">
              <w:rPr>
                <w:rStyle w:val="a7"/>
                <w:rFonts w:ascii="楷体" w:eastAsia="楷体" w:hAnsi="楷体"/>
                <w:b/>
                <w:noProof/>
              </w:rPr>
              <w:t>油脂：短期宏观风险扰动，预计延续弱势</w:t>
            </w:r>
          </w:hyperlink>
        </w:p>
        <w:p w:rsidR="00B91D3D" w:rsidRDefault="00B91D3D">
          <w:pPr>
            <w:pStyle w:val="2"/>
            <w:tabs>
              <w:tab w:val="right" w:leader="dot" w:pos="8296"/>
            </w:tabs>
            <w:rPr>
              <w:rFonts w:eastAsiaTheme="minorEastAsia"/>
              <w:noProof/>
              <w:szCs w:val="22"/>
            </w:rPr>
          </w:pPr>
          <w:hyperlink w:anchor="_Toc134098736" w:history="1">
            <w:r w:rsidRPr="00004EFA">
              <w:rPr>
                <w:rStyle w:val="a7"/>
                <w:rFonts w:ascii="楷体" w:eastAsia="楷体" w:hAnsi="楷体"/>
                <w:b/>
                <w:bCs/>
                <w:noProof/>
              </w:rPr>
              <w:t>玉米与淀粉：</w:t>
            </w:r>
            <w:r w:rsidRPr="00004EFA">
              <w:rPr>
                <w:rStyle w:val="a7"/>
                <w:rFonts w:ascii="楷体" w:eastAsia="楷体" w:hAnsi="楷体"/>
                <w:b/>
                <w:noProof/>
              </w:rPr>
              <w:t>黑海谷物出口协议续约担忧带动CBOT美玉米期价反弹</w:t>
            </w:r>
          </w:hyperlink>
        </w:p>
        <w:p w:rsidR="00B91D3D" w:rsidRDefault="00B91D3D">
          <w:pPr>
            <w:pStyle w:val="2"/>
            <w:tabs>
              <w:tab w:val="right" w:leader="dot" w:pos="8296"/>
            </w:tabs>
            <w:rPr>
              <w:rFonts w:eastAsiaTheme="minorEastAsia"/>
              <w:noProof/>
              <w:szCs w:val="22"/>
            </w:rPr>
          </w:pPr>
          <w:hyperlink w:anchor="_Toc134098737" w:history="1">
            <w:r w:rsidRPr="00004EFA">
              <w:rPr>
                <w:rStyle w:val="a7"/>
                <w:rFonts w:ascii="楷体" w:eastAsia="楷体" w:hAnsi="楷体"/>
                <w:b/>
                <w:bCs/>
                <w:noProof/>
              </w:rPr>
              <w:t>畜禽养殖：五一长假期间现货先抑后扬</w:t>
            </w:r>
          </w:hyperlink>
        </w:p>
        <w:p w:rsidR="00B91D3D" w:rsidRDefault="00B91D3D">
          <w:pPr>
            <w:pStyle w:val="2"/>
            <w:tabs>
              <w:tab w:val="right" w:leader="dot" w:pos="8296"/>
            </w:tabs>
            <w:rPr>
              <w:rFonts w:eastAsiaTheme="minorEastAsia"/>
              <w:noProof/>
              <w:szCs w:val="22"/>
            </w:rPr>
          </w:pPr>
          <w:hyperlink w:anchor="_Toc134098738" w:history="1">
            <w:r w:rsidRPr="00004EFA">
              <w:rPr>
                <w:rStyle w:val="a7"/>
                <w:rFonts w:ascii="楷体" w:eastAsia="楷体" w:hAnsi="楷体"/>
                <w:b/>
                <w:noProof/>
              </w:rPr>
              <w:t>郑棉：预计15200-15600区间震荡整理，观望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409871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4098711"/>
      <w:bookmarkEnd w:id="3"/>
      <w:r>
        <w:rPr>
          <w:rFonts w:ascii="Times New Roman" w:eastAsia="楷体" w:hAnsi="Times New Roman" w:hint="eastAsia"/>
          <w:b/>
          <w:color w:val="000000" w:themeColor="text1"/>
          <w:sz w:val="24"/>
          <w:szCs w:val="24"/>
        </w:rPr>
        <w:t>股指：</w:t>
      </w:r>
      <w:bookmarkEnd w:id="5"/>
      <w:bookmarkEnd w:id="6"/>
      <w:r w:rsidR="00D55EAF" w:rsidRPr="00D55EAF">
        <w:rPr>
          <w:rFonts w:ascii="Times New Roman" w:eastAsia="楷体" w:hAnsi="Times New Roman" w:hint="eastAsia"/>
          <w:b/>
          <w:color w:val="000000" w:themeColor="text1"/>
          <w:sz w:val="24"/>
          <w:szCs w:val="24"/>
        </w:rPr>
        <w:t>关注低多机会</w:t>
      </w:r>
      <w:bookmarkEnd w:id="7"/>
    </w:p>
    <w:p w:rsidR="003F56A5" w:rsidRDefault="00D55EAF">
      <w:pPr>
        <w:ind w:leftChars="300" w:left="630"/>
        <w:rPr>
          <w:rFonts w:ascii="Times New Roman" w:eastAsia="楷体" w:hAnsi="Times New Roman"/>
          <w:color w:val="000000" w:themeColor="text1"/>
          <w:sz w:val="24"/>
          <w:szCs w:val="24"/>
        </w:rPr>
      </w:pPr>
      <w:r w:rsidRPr="00D55EAF">
        <w:rPr>
          <w:rFonts w:ascii="Times New Roman" w:eastAsia="楷体" w:hAnsi="Times New Roman" w:hint="eastAsia"/>
          <w:color w:val="000000" w:themeColor="text1"/>
          <w:sz w:val="24"/>
          <w:szCs w:val="24"/>
        </w:rPr>
        <w:t>假期外围股市偏弱，美联储暗示暂停加息但并进入降息周期门槛较高，鉴于此前市场鸽派预期较足，此次会议并为超市场预期，短期</w:t>
      </w:r>
      <w:r w:rsidRPr="00D55EAF">
        <w:rPr>
          <w:rFonts w:ascii="Times New Roman" w:eastAsia="楷体" w:hAnsi="Times New Roman" w:hint="eastAsia"/>
          <w:color w:val="000000" w:themeColor="text1"/>
          <w:sz w:val="24"/>
          <w:szCs w:val="24"/>
        </w:rPr>
        <w:t>A</w:t>
      </w:r>
      <w:r w:rsidRPr="00D55EAF">
        <w:rPr>
          <w:rFonts w:ascii="Times New Roman" w:eastAsia="楷体" w:hAnsi="Times New Roman" w:hint="eastAsia"/>
          <w:color w:val="000000" w:themeColor="text1"/>
          <w:sz w:val="24"/>
          <w:szCs w:val="24"/>
        </w:rPr>
        <w:t>股大概率仍以存量博弈为主，</w:t>
      </w:r>
      <w:r w:rsidRPr="00D55EAF">
        <w:rPr>
          <w:rFonts w:ascii="Times New Roman" w:eastAsia="楷体" w:hAnsi="Times New Roman" w:hint="eastAsia"/>
          <w:color w:val="000000" w:themeColor="text1"/>
          <w:sz w:val="24"/>
          <w:szCs w:val="24"/>
        </w:rPr>
        <w:t>A</w:t>
      </w:r>
      <w:r w:rsidRPr="00D55EAF">
        <w:rPr>
          <w:rFonts w:ascii="Times New Roman" w:eastAsia="楷体" w:hAnsi="Times New Roman" w:hint="eastAsia"/>
          <w:color w:val="000000" w:themeColor="text1"/>
          <w:sz w:val="24"/>
          <w:szCs w:val="24"/>
        </w:rPr>
        <w:t>股或先计价情绪扰动，再交易确定性方向</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409871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4098713"/>
      <w:r>
        <w:rPr>
          <w:rFonts w:ascii="Times New Roman" w:eastAsia="楷体" w:hAnsi="Times New Roman" w:hint="eastAsia"/>
          <w:b/>
          <w:color w:val="000000" w:themeColor="text1"/>
          <w:sz w:val="24"/>
          <w:szCs w:val="24"/>
        </w:rPr>
        <w:t>贵金属：</w:t>
      </w:r>
      <w:r w:rsidR="00D55EAF" w:rsidRPr="00D55EAF">
        <w:rPr>
          <w:rFonts w:ascii="Times New Roman" w:eastAsia="楷体" w:hAnsi="Times New Roman" w:hint="eastAsia"/>
          <w:b/>
          <w:color w:val="000000" w:themeColor="text1"/>
          <w:sz w:val="24"/>
          <w:szCs w:val="24"/>
        </w:rPr>
        <w:t>美联储暗示暂停加息，金价创近三年来新高</w:t>
      </w:r>
      <w:bookmarkEnd w:id="9"/>
    </w:p>
    <w:p w:rsidR="003F56A5" w:rsidRDefault="00D55EAF">
      <w:pPr>
        <w:ind w:leftChars="300" w:left="630"/>
        <w:rPr>
          <w:rFonts w:ascii="Times New Roman" w:eastAsia="楷体" w:hAnsi="Times New Roman"/>
          <w:sz w:val="24"/>
          <w:szCs w:val="24"/>
        </w:rPr>
      </w:pPr>
      <w:r w:rsidRPr="00D55EAF">
        <w:rPr>
          <w:rFonts w:ascii="Times New Roman" w:eastAsia="楷体" w:hAnsi="Times New Roman" w:hint="eastAsia"/>
          <w:color w:val="000000" w:themeColor="text1"/>
          <w:sz w:val="24"/>
          <w:szCs w:val="24"/>
        </w:rPr>
        <w:t>隔夜外盘</w:t>
      </w:r>
      <w:r w:rsidRPr="00D55EAF">
        <w:rPr>
          <w:rFonts w:ascii="Times New Roman" w:eastAsia="楷体" w:hAnsi="Times New Roman" w:hint="eastAsia"/>
          <w:color w:val="000000" w:themeColor="text1"/>
          <w:sz w:val="24"/>
          <w:szCs w:val="24"/>
        </w:rPr>
        <w:t>COMEX</w:t>
      </w:r>
      <w:r w:rsidRPr="00D55EAF">
        <w:rPr>
          <w:rFonts w:ascii="Times New Roman" w:eastAsia="楷体" w:hAnsi="Times New Roman" w:hint="eastAsia"/>
          <w:color w:val="000000" w:themeColor="text1"/>
          <w:sz w:val="24"/>
          <w:szCs w:val="24"/>
        </w:rPr>
        <w:t>金价大幅上涨，一度录得近三年新高的</w:t>
      </w:r>
      <w:r w:rsidRPr="00D55EAF">
        <w:rPr>
          <w:rFonts w:ascii="Times New Roman" w:eastAsia="楷体" w:hAnsi="Times New Roman" w:hint="eastAsia"/>
          <w:color w:val="000000" w:themeColor="text1"/>
          <w:sz w:val="24"/>
          <w:szCs w:val="24"/>
        </w:rPr>
        <w:t>2085.4</w:t>
      </w:r>
      <w:r w:rsidRPr="00D55EAF">
        <w:rPr>
          <w:rFonts w:ascii="Times New Roman" w:eastAsia="楷体" w:hAnsi="Times New Roman" w:hint="eastAsia"/>
          <w:color w:val="000000" w:themeColor="text1"/>
          <w:sz w:val="24"/>
          <w:szCs w:val="24"/>
        </w:rPr>
        <w:t>美元</w:t>
      </w:r>
      <w:r w:rsidRPr="00D55EAF">
        <w:rPr>
          <w:rFonts w:ascii="Times New Roman" w:eastAsia="楷体" w:hAnsi="Times New Roman" w:hint="eastAsia"/>
          <w:color w:val="000000" w:themeColor="text1"/>
          <w:sz w:val="24"/>
          <w:szCs w:val="24"/>
        </w:rPr>
        <w:t>/</w:t>
      </w:r>
      <w:r w:rsidRPr="00D55EAF">
        <w:rPr>
          <w:rFonts w:ascii="Times New Roman" w:eastAsia="楷体" w:hAnsi="Times New Roman" w:hint="eastAsia"/>
          <w:color w:val="000000" w:themeColor="text1"/>
          <w:sz w:val="24"/>
          <w:szCs w:val="24"/>
        </w:rPr>
        <w:t>盎司，</w:t>
      </w:r>
      <w:r w:rsidRPr="00D55EAF">
        <w:rPr>
          <w:rFonts w:ascii="Times New Roman" w:eastAsia="楷体" w:hAnsi="Times New Roman" w:hint="eastAsia"/>
          <w:color w:val="000000" w:themeColor="text1"/>
          <w:sz w:val="24"/>
          <w:szCs w:val="24"/>
        </w:rPr>
        <w:t>COMEX</w:t>
      </w:r>
      <w:r w:rsidRPr="00D55EAF">
        <w:rPr>
          <w:rFonts w:ascii="Times New Roman" w:eastAsia="楷体" w:hAnsi="Times New Roman" w:hint="eastAsia"/>
          <w:color w:val="000000" w:themeColor="text1"/>
          <w:sz w:val="24"/>
          <w:szCs w:val="24"/>
        </w:rPr>
        <w:t>银价涨</w:t>
      </w:r>
      <w:r w:rsidRPr="00D55EAF">
        <w:rPr>
          <w:rFonts w:ascii="Times New Roman" w:eastAsia="楷体" w:hAnsi="Times New Roman" w:hint="eastAsia"/>
          <w:color w:val="000000" w:themeColor="text1"/>
          <w:sz w:val="24"/>
          <w:szCs w:val="24"/>
        </w:rPr>
        <w:t>1.50%</w:t>
      </w:r>
      <w:r w:rsidRPr="00D55EAF">
        <w:rPr>
          <w:rFonts w:ascii="Times New Roman" w:eastAsia="楷体" w:hAnsi="Times New Roman" w:hint="eastAsia"/>
          <w:color w:val="000000" w:themeColor="text1"/>
          <w:sz w:val="24"/>
          <w:szCs w:val="24"/>
        </w:rPr>
        <w:t>至</w:t>
      </w:r>
      <w:r w:rsidRPr="00D55EAF">
        <w:rPr>
          <w:rFonts w:ascii="Times New Roman" w:eastAsia="楷体" w:hAnsi="Times New Roman" w:hint="eastAsia"/>
          <w:color w:val="000000" w:themeColor="text1"/>
          <w:sz w:val="24"/>
          <w:szCs w:val="24"/>
        </w:rPr>
        <w:t>26</w:t>
      </w:r>
      <w:r w:rsidRPr="00D55EAF">
        <w:rPr>
          <w:rFonts w:ascii="Times New Roman" w:eastAsia="楷体" w:hAnsi="Times New Roman" w:hint="eastAsia"/>
          <w:color w:val="000000" w:themeColor="text1"/>
          <w:sz w:val="24"/>
          <w:szCs w:val="24"/>
        </w:rPr>
        <w:t>美元</w:t>
      </w:r>
      <w:r w:rsidRPr="00D55EAF">
        <w:rPr>
          <w:rFonts w:ascii="Times New Roman" w:eastAsia="楷体" w:hAnsi="Times New Roman" w:hint="eastAsia"/>
          <w:color w:val="000000" w:themeColor="text1"/>
          <w:sz w:val="24"/>
          <w:szCs w:val="24"/>
        </w:rPr>
        <w:t>/</w:t>
      </w:r>
      <w:r w:rsidRPr="00D55EAF">
        <w:rPr>
          <w:rFonts w:ascii="Times New Roman" w:eastAsia="楷体" w:hAnsi="Times New Roman" w:hint="eastAsia"/>
          <w:color w:val="000000" w:themeColor="text1"/>
          <w:sz w:val="24"/>
          <w:szCs w:val="24"/>
        </w:rPr>
        <w:t>盎司。美联储如期加息</w:t>
      </w:r>
      <w:r w:rsidRPr="00D55EAF">
        <w:rPr>
          <w:rFonts w:ascii="Times New Roman" w:eastAsia="楷体" w:hAnsi="Times New Roman" w:hint="eastAsia"/>
          <w:color w:val="000000" w:themeColor="text1"/>
          <w:sz w:val="24"/>
          <w:szCs w:val="24"/>
        </w:rPr>
        <w:t>25</w:t>
      </w:r>
      <w:r w:rsidRPr="00D55EAF">
        <w:rPr>
          <w:rFonts w:ascii="Times New Roman" w:eastAsia="楷体" w:hAnsi="Times New Roman" w:hint="eastAsia"/>
          <w:color w:val="000000" w:themeColor="text1"/>
          <w:sz w:val="24"/>
          <w:szCs w:val="24"/>
        </w:rPr>
        <w:t>个基点，将联邦基金利率目标区间上调至</w:t>
      </w:r>
      <w:r w:rsidRPr="00D55EAF">
        <w:rPr>
          <w:rFonts w:ascii="Times New Roman" w:eastAsia="楷体" w:hAnsi="Times New Roman" w:hint="eastAsia"/>
          <w:color w:val="000000" w:themeColor="text1"/>
          <w:sz w:val="24"/>
          <w:szCs w:val="24"/>
        </w:rPr>
        <w:t>5%-5.25%</w:t>
      </w:r>
      <w:r w:rsidRPr="00D55EAF">
        <w:rPr>
          <w:rFonts w:ascii="Times New Roman" w:eastAsia="楷体" w:hAnsi="Times New Roman" w:hint="eastAsia"/>
          <w:color w:val="000000" w:themeColor="text1"/>
          <w:sz w:val="24"/>
          <w:szCs w:val="24"/>
        </w:rPr>
        <w:t>，本轮累计加息</w:t>
      </w:r>
      <w:r w:rsidRPr="00D55EAF">
        <w:rPr>
          <w:rFonts w:ascii="Times New Roman" w:eastAsia="楷体" w:hAnsi="Times New Roman" w:hint="eastAsia"/>
          <w:color w:val="000000" w:themeColor="text1"/>
          <w:sz w:val="24"/>
          <w:szCs w:val="24"/>
        </w:rPr>
        <w:t>500</w:t>
      </w:r>
      <w:r w:rsidRPr="00D55EAF">
        <w:rPr>
          <w:rFonts w:ascii="Times New Roman" w:eastAsia="楷体" w:hAnsi="Times New Roman" w:hint="eastAsia"/>
          <w:color w:val="000000" w:themeColor="text1"/>
          <w:sz w:val="24"/>
          <w:szCs w:val="24"/>
        </w:rPr>
        <w:t>个基点。议息决议声明中删除了“适宜进一步加息”的表述，暗示未来将暂停加息。鲍威尔主席在发布会中表示，原则上无需加息至太高的水平，而偏高的通胀不支持降息；预计美国不会爆发经济衰退。美国第一共和银行被监管机构接管并出售给摩根大通，其一季度存款下降约</w:t>
      </w:r>
      <w:r w:rsidRPr="00D55EAF">
        <w:rPr>
          <w:rFonts w:ascii="Times New Roman" w:eastAsia="楷体" w:hAnsi="Times New Roman" w:hint="eastAsia"/>
          <w:color w:val="000000" w:themeColor="text1"/>
          <w:sz w:val="24"/>
          <w:szCs w:val="24"/>
        </w:rPr>
        <w:t>40%</w:t>
      </w:r>
      <w:r w:rsidRPr="00D55EAF">
        <w:rPr>
          <w:rFonts w:ascii="Times New Roman" w:eastAsia="楷体" w:hAnsi="Times New Roman" w:hint="eastAsia"/>
          <w:color w:val="000000" w:themeColor="text1"/>
          <w:sz w:val="24"/>
          <w:szCs w:val="24"/>
        </w:rPr>
        <w:t>。美国西太平洋银行股价跌超</w:t>
      </w:r>
      <w:r w:rsidRPr="00D55EAF">
        <w:rPr>
          <w:rFonts w:ascii="Times New Roman" w:eastAsia="楷体" w:hAnsi="Times New Roman" w:hint="eastAsia"/>
          <w:color w:val="000000" w:themeColor="text1"/>
          <w:sz w:val="24"/>
          <w:szCs w:val="24"/>
        </w:rPr>
        <w:t>50%</w:t>
      </w:r>
      <w:r w:rsidRPr="00D55EAF">
        <w:rPr>
          <w:rFonts w:ascii="Times New Roman" w:eastAsia="楷体" w:hAnsi="Times New Roman" w:hint="eastAsia"/>
          <w:color w:val="000000" w:themeColor="text1"/>
          <w:sz w:val="24"/>
          <w:szCs w:val="24"/>
        </w:rPr>
        <w:t>，据报道该银行或考虑出售或分拆重组。另外，全球去美元化进程持续推进，此背景下贵金属将持续受益于其固有的货币属性。美联储货币政策边际转向、美国银行业危机或再度爆发，鸽派预期叠加避险情绪共同对贵金属价格形成支撑，内盘沪金、沪银料将跳空高开，建议把握沪金、沪银趋势性做多机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409871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4098715"/>
      <w:r>
        <w:rPr>
          <w:rFonts w:ascii="楷体" w:eastAsia="楷体" w:hAnsi="楷体" w:hint="eastAsia"/>
          <w:b/>
          <w:color w:val="000000" w:themeColor="text1"/>
          <w:sz w:val="24"/>
          <w:szCs w:val="24"/>
        </w:rPr>
        <w:t>螺纹钢：</w:t>
      </w:r>
      <w:bookmarkEnd w:id="15"/>
      <w:bookmarkEnd w:id="16"/>
      <w:r w:rsidR="00B91D3D" w:rsidRPr="00B91D3D">
        <w:rPr>
          <w:rFonts w:ascii="楷体" w:eastAsia="楷体" w:hAnsi="楷体" w:hint="eastAsia"/>
          <w:b/>
          <w:color w:val="000000" w:themeColor="text1"/>
          <w:sz w:val="24"/>
          <w:szCs w:val="24"/>
        </w:rPr>
        <w:t>驱动向下，承压运行，逢高空为主</w:t>
      </w:r>
      <w:bookmarkEnd w:id="17"/>
    </w:p>
    <w:p w:rsidR="003F56A5" w:rsidRDefault="00B91D3D">
      <w:pPr>
        <w:ind w:leftChars="300" w:left="630"/>
        <w:rPr>
          <w:rFonts w:ascii="楷体" w:eastAsia="楷体" w:hAnsi="楷体"/>
          <w:color w:val="000000" w:themeColor="text1"/>
          <w:sz w:val="24"/>
          <w:szCs w:val="24"/>
        </w:rPr>
      </w:pPr>
      <w:r w:rsidRPr="00B91D3D">
        <w:rPr>
          <w:rFonts w:ascii="楷体" w:eastAsia="楷体" w:hAnsi="楷体" w:hint="eastAsia"/>
          <w:color w:val="000000" w:themeColor="text1"/>
          <w:sz w:val="24"/>
          <w:szCs w:val="24"/>
        </w:rPr>
        <w:t>内需求无亮点，减产必要性较为突出，海外加息符合预期，但整体偏鹰派，外需环比向下较为明显。海外衰退或驱动价格下行，预计震荡区间（3580,3700）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4098716"/>
      <w:r>
        <w:rPr>
          <w:rFonts w:ascii="楷体" w:eastAsia="楷体" w:hAnsi="楷体" w:hint="eastAsia"/>
          <w:b/>
          <w:color w:val="000000" w:themeColor="text1"/>
          <w:sz w:val="24"/>
          <w:szCs w:val="24"/>
        </w:rPr>
        <w:t>焦炭：</w:t>
      </w:r>
      <w:bookmarkEnd w:id="18"/>
      <w:bookmarkEnd w:id="19"/>
      <w:r w:rsidR="00B91D3D" w:rsidRPr="00B91D3D">
        <w:rPr>
          <w:rFonts w:ascii="楷体" w:eastAsia="楷体" w:hAnsi="楷体" w:hint="eastAsia"/>
          <w:b/>
          <w:color w:val="000000" w:themeColor="text1"/>
          <w:sz w:val="24"/>
          <w:szCs w:val="24"/>
        </w:rPr>
        <w:t>现货补跌中，承压运行</w:t>
      </w:r>
      <w:bookmarkEnd w:id="20"/>
    </w:p>
    <w:p w:rsidR="003F56A5" w:rsidRDefault="00B91D3D">
      <w:pPr>
        <w:ind w:leftChars="300" w:left="630"/>
        <w:rPr>
          <w:rFonts w:ascii="楷体" w:eastAsia="楷体" w:hAnsi="楷体"/>
          <w:color w:val="000000" w:themeColor="text1"/>
          <w:sz w:val="24"/>
          <w:szCs w:val="24"/>
        </w:rPr>
      </w:pPr>
      <w:r w:rsidRPr="00B91D3D">
        <w:rPr>
          <w:rFonts w:ascii="楷体" w:eastAsia="楷体" w:hAnsi="楷体" w:hint="eastAsia"/>
          <w:color w:val="000000" w:themeColor="text1"/>
          <w:sz w:val="24"/>
          <w:szCs w:val="24"/>
        </w:rPr>
        <w:t>现货补跌中，前期盘面领跌下基差较大，但情绪仍较为悲观，焦炭偏弱运行，预计震荡区间（1980，2160）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4098717"/>
      <w:r>
        <w:rPr>
          <w:rFonts w:ascii="楷体" w:eastAsia="楷体" w:hAnsi="楷体" w:hint="eastAsia"/>
          <w:b/>
          <w:color w:val="000000" w:themeColor="text1"/>
          <w:sz w:val="24"/>
          <w:szCs w:val="24"/>
        </w:rPr>
        <w:t>焦煤：</w:t>
      </w:r>
      <w:r w:rsidR="00D55EAF" w:rsidRPr="00D55EAF">
        <w:rPr>
          <w:rFonts w:ascii="楷体" w:eastAsia="楷体" w:hAnsi="楷体" w:hint="eastAsia"/>
          <w:b/>
          <w:sz w:val="24"/>
          <w:szCs w:val="24"/>
        </w:rPr>
        <w:t>现货下跌或仍未结束，偏弱运行</w:t>
      </w:r>
      <w:bookmarkEnd w:id="21"/>
    </w:p>
    <w:p w:rsidR="003F56A5" w:rsidRDefault="00D55EAF">
      <w:pPr>
        <w:ind w:leftChars="300" w:left="630"/>
        <w:rPr>
          <w:rFonts w:ascii="楷体" w:eastAsia="楷体" w:hAnsi="楷体"/>
          <w:bCs/>
          <w:sz w:val="24"/>
          <w:szCs w:val="24"/>
        </w:rPr>
      </w:pPr>
      <w:r w:rsidRPr="00D55EAF">
        <w:rPr>
          <w:rFonts w:ascii="楷体" w:eastAsia="楷体" w:hAnsi="楷体" w:hint="eastAsia"/>
          <w:sz w:val="24"/>
          <w:szCs w:val="24"/>
        </w:rPr>
        <w:t>焦煤进入淡季但动力煤有望进入旺季，09价格被减产预期压制，短期估值处于低位，动力煤对焦煤具有弱支撑，但驱动不明显，或继续偏弱运行，预计震荡区间（1350,1420）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4098718"/>
      <w:r>
        <w:rPr>
          <w:rFonts w:ascii="楷体" w:eastAsia="楷体" w:hAnsi="楷体" w:hint="eastAsia"/>
          <w:b/>
          <w:color w:val="000000" w:themeColor="text1"/>
          <w:sz w:val="24"/>
          <w:szCs w:val="24"/>
        </w:rPr>
        <w:t>铜：</w:t>
      </w:r>
      <w:bookmarkEnd w:id="22"/>
      <w:bookmarkEnd w:id="23"/>
      <w:r w:rsidR="00B91D3D" w:rsidRPr="00B91D3D">
        <w:rPr>
          <w:rFonts w:ascii="楷体" w:eastAsia="楷体" w:hAnsi="楷体" w:hint="eastAsia"/>
          <w:b/>
          <w:color w:val="000000" w:themeColor="text1"/>
          <w:sz w:val="24"/>
          <w:szCs w:val="24"/>
        </w:rPr>
        <w:t>维持偏弱运行</w:t>
      </w:r>
      <w:bookmarkEnd w:id="24"/>
    </w:p>
    <w:p w:rsidR="00A71A7E" w:rsidRPr="00A71A7E" w:rsidRDefault="00B91D3D" w:rsidP="00291461">
      <w:pPr>
        <w:ind w:leftChars="300" w:left="630"/>
        <w:rPr>
          <w:rFonts w:ascii="楷体" w:eastAsia="楷体" w:hAnsi="楷体"/>
          <w:color w:val="000000" w:themeColor="text1"/>
          <w:sz w:val="24"/>
          <w:szCs w:val="24"/>
        </w:rPr>
      </w:pPr>
      <w:r w:rsidRPr="00B91D3D">
        <w:rPr>
          <w:rFonts w:ascii="楷体" w:eastAsia="楷体" w:hAnsi="楷体" w:hint="eastAsia"/>
          <w:color w:val="000000" w:themeColor="text1"/>
          <w:sz w:val="24"/>
          <w:szCs w:val="24"/>
        </w:rPr>
        <w:t>5月议息会议上美联储如期加息25bp，将政策利率联邦基金利率的目标区</w:t>
      </w:r>
      <w:r w:rsidRPr="00B91D3D">
        <w:rPr>
          <w:rFonts w:ascii="楷体" w:eastAsia="楷体" w:hAnsi="楷体" w:hint="eastAsia"/>
          <w:color w:val="000000" w:themeColor="text1"/>
          <w:sz w:val="24"/>
          <w:szCs w:val="24"/>
        </w:rPr>
        <w:lastRenderedPageBreak/>
        <w:t>间上调到5.0%-5.25%。但鲍威尔的讲话相对鹰派，他表示，强烈致力于将通胀率降回2%，如果需要，美联储准备采取更多措施。通胀需要一些时间才能下降，因此不支持降息。市场对金融系统风险和衰退的担忧仍存。不排除实体经济和金融体系的压力在下半年加速演绎。海外宏观持续施压铜价，预计价格偏弱运行，短期价格波动参考66000-68000</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4098719"/>
      <w:r>
        <w:rPr>
          <w:rFonts w:ascii="楷体" w:eastAsia="楷体" w:hAnsi="楷体" w:hint="eastAsia"/>
          <w:b/>
          <w:color w:val="000000" w:themeColor="text1"/>
          <w:sz w:val="24"/>
          <w:szCs w:val="24"/>
        </w:rPr>
        <w:t>铝：</w:t>
      </w:r>
      <w:bookmarkEnd w:id="25"/>
      <w:bookmarkEnd w:id="26"/>
      <w:r w:rsidR="00B91D3D" w:rsidRPr="00B91D3D">
        <w:rPr>
          <w:rFonts w:ascii="楷体" w:eastAsia="楷体" w:hAnsi="楷体" w:hint="eastAsia"/>
          <w:b/>
          <w:color w:val="000000" w:themeColor="text1"/>
          <w:sz w:val="24"/>
          <w:szCs w:val="24"/>
        </w:rPr>
        <w:t>铝价短期震荡为主，中期偏空看待</w:t>
      </w:r>
      <w:bookmarkEnd w:id="27"/>
    </w:p>
    <w:p w:rsidR="003F56A5" w:rsidRDefault="00B91D3D" w:rsidP="00CF7A9A">
      <w:pPr>
        <w:ind w:leftChars="300" w:left="630"/>
        <w:rPr>
          <w:rFonts w:ascii="楷体" w:eastAsia="楷体" w:hAnsi="楷体"/>
          <w:color w:val="000000" w:themeColor="text1"/>
          <w:sz w:val="24"/>
          <w:szCs w:val="24"/>
        </w:rPr>
      </w:pPr>
      <w:r w:rsidRPr="00B91D3D">
        <w:rPr>
          <w:rFonts w:ascii="楷体" w:eastAsia="楷体" w:hAnsi="楷体" w:hint="eastAsia"/>
          <w:color w:val="000000" w:themeColor="text1"/>
          <w:sz w:val="24"/>
          <w:szCs w:val="24"/>
        </w:rPr>
        <w:t>五一期间LME铝价先涨后跌，4月28日午市收盘2316.5美金/吨，5月3日早市开盘2355.5美金/吨，上涨1.68%，LME铝（0-3）升贴水迅速收正后再度回落。美联储召开为期两天的议息会议，5月如期落地25基点加息，第一共和国银行破产，海外银行危机仍存引发市场恐慌情绪，欧美4月制造业PMI环比回落，在高利率环境下海外经济衰退风险加剧。国内政策持续释放利好，而4月制造业PMI再度落入收缩区间，服务业消费“报复性”增长，工业景气度边际走弱。从基本面来看，贵州、四川持续复产、新投产，但整体节奏较慢，云南持续高温干旱降水补充不足，当地水电短缺或再度压缩工业产能，目前电解铝运行产能小幅走增，暂未受到减产消息面影响，后续西南地区进入丰水期云南前期减产产能将逐步恢复。海外需求依旧表现疲弱，国内铝市消费在三、四月旺季表现较好，国内社库持续去库，铝水比例走增，铝锭需求表现一般，五一节日前厂家囤货情况不及预期，市场成交以贸易商交易为主，“金三银四”消费旺季已过，终端有光伏装机、新能源汽车政策利好及消费增量支持，需求有支撑实际表现为弱修复。操作上，短期以波段高抛低吸为主，铝价震荡在18000-19000区间，中期因供应预期走增，需求有转弱趋向，建议偏空对待</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4098720"/>
      <w:r>
        <w:rPr>
          <w:rFonts w:ascii="楷体" w:eastAsia="楷体" w:hAnsi="楷体" w:hint="eastAsia"/>
          <w:b/>
          <w:color w:val="000000" w:themeColor="text1"/>
          <w:sz w:val="24"/>
          <w:szCs w:val="24"/>
        </w:rPr>
        <w:t>锌：</w:t>
      </w:r>
      <w:r w:rsidR="00B91D3D" w:rsidRPr="00B91D3D">
        <w:rPr>
          <w:rFonts w:ascii="楷体" w:eastAsia="楷体" w:hAnsi="楷体" w:hint="eastAsia"/>
          <w:b/>
          <w:color w:val="000000" w:themeColor="text1"/>
          <w:sz w:val="24"/>
          <w:szCs w:val="24"/>
        </w:rPr>
        <w:t>供强需弱持续强化，锌价偏弱运行</w:t>
      </w:r>
      <w:bookmarkEnd w:id="28"/>
    </w:p>
    <w:p w:rsidR="003F56A5" w:rsidRDefault="00B91D3D" w:rsidP="000B0648">
      <w:pPr>
        <w:ind w:leftChars="300" w:left="630"/>
        <w:rPr>
          <w:rFonts w:ascii="楷体" w:eastAsia="楷体" w:hAnsi="楷体"/>
          <w:color w:val="000000" w:themeColor="text1"/>
          <w:sz w:val="24"/>
          <w:szCs w:val="24"/>
        </w:rPr>
      </w:pPr>
      <w:r w:rsidRPr="00B91D3D">
        <w:rPr>
          <w:rFonts w:ascii="楷体" w:eastAsia="楷体" w:hAnsi="楷体" w:hint="eastAsia"/>
          <w:color w:val="000000" w:themeColor="text1"/>
          <w:sz w:val="24"/>
          <w:szCs w:val="24"/>
        </w:rPr>
        <w:t>五一期间伦锌价格持续走弱，4月28日午市收盘2638美金/吨，5月3日早市开盘2592美金/吨，下跌1.74%。第一共和国银行倒闭再度引发市场对流动性风险的担忧，预计美联储5月落地25基点加息，欧美经济数据表现不及预期，国内4月制造业PMI环比回落，全球高利率环境下市场经济压力走增，宏观情绪偏弱。从供应端来看，在能源危机影响逐步走弱的情况下，海外有强复产预期。国内月度锌产量维持高位，中游开工仍有高冶炼利润刺激，国内精炼锌供给现状偏宽松，云南干旱天气延续，第三次用电管控限制影响当地铅锌运行产能，短期供应复产受限支撑锌价，二季度云南若能进入汛期，当地锌厂复工复产，中期供应预期走强。海外需求受大环境疲弱影响提振乏力，疫情后国内市场需求判断过于乐观，需求虽有刚性支撑但不及预期。精锌下游消费依赖内需拉动，内需持续弱修复但难有超预期表现，国内精炼锌供需天平偏向供给增量大于需求。操作上，建议短中期锌价偏空对待，价格仍有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4098721"/>
      <w:r>
        <w:rPr>
          <w:rFonts w:ascii="楷体" w:eastAsia="楷体" w:hAnsi="楷体" w:hint="eastAsia"/>
          <w:b/>
          <w:color w:val="000000" w:themeColor="text1"/>
          <w:sz w:val="24"/>
          <w:szCs w:val="24"/>
        </w:rPr>
        <w:t>镍：</w:t>
      </w:r>
      <w:r w:rsidR="00B91D3D" w:rsidRPr="00B91D3D">
        <w:rPr>
          <w:rFonts w:ascii="楷体" w:eastAsia="楷体" w:hAnsi="楷体" w:hint="eastAsia"/>
          <w:b/>
          <w:color w:val="000000" w:themeColor="text1"/>
          <w:sz w:val="24"/>
          <w:szCs w:val="24"/>
        </w:rPr>
        <w:t>供应预期持续施压，逢高空思路不变</w:t>
      </w:r>
      <w:bookmarkEnd w:id="29"/>
    </w:p>
    <w:p w:rsidR="003F56A5" w:rsidRDefault="00B91D3D">
      <w:pPr>
        <w:ind w:leftChars="300" w:left="630"/>
        <w:rPr>
          <w:rFonts w:ascii="楷体" w:eastAsia="楷体" w:hAnsi="楷体"/>
          <w:color w:val="000000" w:themeColor="text1"/>
          <w:sz w:val="24"/>
          <w:szCs w:val="24"/>
        </w:rPr>
      </w:pPr>
      <w:r w:rsidRPr="00B91D3D">
        <w:rPr>
          <w:rFonts w:ascii="楷体" w:eastAsia="楷体" w:hAnsi="楷体" w:hint="eastAsia"/>
          <w:color w:val="000000" w:themeColor="text1"/>
          <w:sz w:val="24"/>
          <w:szCs w:val="24"/>
        </w:rPr>
        <w:t>目前镍市场供应预期有增量，电积镍逐渐修复，SMM预计4月全国精炼镍产量为1.80万吨，环比增2.27%，同比增39.21%。叠加二季度新产能落地，预计供应缺口收窄，镍价下行趋势不变。但当下纯镍低库存依旧保持去化，交割品问题暂时未解决，软逼仓风险仍存。从交易角度，我们建议</w:t>
      </w:r>
      <w:r w:rsidRPr="00B91D3D">
        <w:rPr>
          <w:rFonts w:ascii="楷体" w:eastAsia="楷体" w:hAnsi="楷体" w:hint="eastAsia"/>
          <w:color w:val="000000" w:themeColor="text1"/>
          <w:sz w:val="24"/>
          <w:szCs w:val="24"/>
        </w:rPr>
        <w:lastRenderedPageBreak/>
        <w:t>寻找相对高估值逢高空机会</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A3F85" w:rsidRDefault="0079299D" w:rsidP="008B13D2">
      <w:pPr>
        <w:ind w:leftChars="200" w:left="420"/>
        <w:outlineLvl w:val="1"/>
        <w:rPr>
          <w:rFonts w:ascii="楷体" w:eastAsia="楷体" w:hAnsi="楷体"/>
          <w:b/>
          <w:color w:val="000000" w:themeColor="text1"/>
          <w:sz w:val="24"/>
          <w:szCs w:val="24"/>
        </w:rPr>
      </w:pPr>
      <w:bookmarkStart w:id="30" w:name="_Toc134098722"/>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B91D3D" w:rsidRPr="00B91D3D">
        <w:rPr>
          <w:rFonts w:ascii="楷体" w:eastAsia="楷体" w:hAnsi="楷体" w:hint="eastAsia"/>
          <w:b/>
          <w:color w:val="000000" w:themeColor="text1"/>
          <w:sz w:val="24"/>
          <w:szCs w:val="24"/>
        </w:rPr>
        <w:t>五一节后宏观情绪转向，基本面维持铅价震荡为主</w:t>
      </w:r>
      <w:bookmarkEnd w:id="30"/>
    </w:p>
    <w:p w:rsidR="008B13D2" w:rsidRPr="008B13D2" w:rsidRDefault="00B91D3D" w:rsidP="008B13D2">
      <w:pPr>
        <w:ind w:leftChars="300" w:left="630"/>
        <w:rPr>
          <w:rFonts w:ascii="楷体" w:eastAsia="楷体" w:hAnsi="楷体"/>
          <w:color w:val="000000" w:themeColor="text1"/>
          <w:sz w:val="24"/>
          <w:szCs w:val="24"/>
        </w:rPr>
      </w:pPr>
      <w:r w:rsidRPr="00B91D3D">
        <w:rPr>
          <w:rFonts w:ascii="楷体" w:eastAsia="楷体" w:hAnsi="楷体" w:hint="eastAsia"/>
          <w:color w:val="000000" w:themeColor="text1"/>
          <w:sz w:val="24"/>
          <w:szCs w:val="24"/>
        </w:rPr>
        <w:t>联储如市场预期加息25基点，第一共和国银行倒闭引发市场对流动性的担忧，欧美经济数据表现趋弱，国内4月PMI表现不及预期，全球经济承压运行，宏观情绪偏弱。原生铅及再生铅厂家检修增加，铅矿进口利润窗口萎缩供应紧张，废旧电瓶货源流通偏紧。下游需求在消费淡季之下表现平淡，库存维持低位增库，库存走增后厂家囤货积极性走弱，预计铅价仍维持震荡态势，震荡区间15000-15500</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4098723"/>
      <w:r>
        <w:rPr>
          <w:rFonts w:ascii="楷体" w:eastAsia="楷体" w:hAnsi="楷体" w:hint="eastAsia"/>
          <w:b/>
          <w:color w:val="000000" w:themeColor="text1"/>
          <w:sz w:val="24"/>
          <w:szCs w:val="24"/>
        </w:rPr>
        <w:t>不锈钢：</w:t>
      </w:r>
      <w:r w:rsidR="00920372" w:rsidRPr="00920372">
        <w:rPr>
          <w:rFonts w:ascii="楷体" w:eastAsia="楷体" w:hAnsi="楷体" w:hint="eastAsia"/>
          <w:b/>
          <w:color w:val="000000" w:themeColor="text1"/>
          <w:sz w:val="24"/>
          <w:szCs w:val="24"/>
        </w:rPr>
        <w:t>短期区间震荡为主</w:t>
      </w:r>
      <w:bookmarkEnd w:id="31"/>
    </w:p>
    <w:p w:rsidR="003F56A5" w:rsidRDefault="00920372">
      <w:pPr>
        <w:ind w:leftChars="300" w:left="630"/>
        <w:rPr>
          <w:rFonts w:ascii="楷体" w:eastAsia="楷体" w:hAnsi="楷体"/>
          <w:color w:val="000000" w:themeColor="text1"/>
          <w:sz w:val="24"/>
          <w:szCs w:val="24"/>
        </w:rPr>
      </w:pPr>
      <w:r w:rsidRPr="00920372">
        <w:rPr>
          <w:rFonts w:ascii="楷体" w:eastAsia="楷体" w:hAnsi="楷体" w:hint="eastAsia"/>
          <w:color w:val="000000" w:themeColor="text1"/>
          <w:sz w:val="24"/>
          <w:szCs w:val="24"/>
        </w:rPr>
        <w:t>不锈钢社会库存延续明显去化态势，但价格反弹后钢厂利润明显修复导致增产意愿增加，供应端预期压力对价格形成压制，且周边金属市场整体偏弱给价格亦带来一定负面影响。原料镍铁价格暂稳于1100元/镍点，镍铁供应过剩下价格压力暂未完全解除。短期价格上下空间或均有限，参考14800-15500。操作上，短线多单继续持有</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4098724"/>
      <w:r>
        <w:rPr>
          <w:rFonts w:ascii="楷体" w:eastAsia="楷体" w:hAnsi="楷体" w:hint="eastAsia"/>
          <w:b/>
          <w:color w:val="000000" w:themeColor="text1"/>
          <w:sz w:val="24"/>
          <w:szCs w:val="24"/>
        </w:rPr>
        <w:t>工业硅：</w:t>
      </w:r>
      <w:r w:rsidR="00B91D3D" w:rsidRPr="00B91D3D">
        <w:rPr>
          <w:rFonts w:ascii="楷体" w:eastAsia="楷体" w:hAnsi="楷体" w:hint="eastAsia"/>
          <w:b/>
          <w:sz w:val="24"/>
          <w:szCs w:val="24"/>
        </w:rPr>
        <w:t>短期西南开工低位，市场下行空间或有限</w:t>
      </w:r>
      <w:bookmarkEnd w:id="32"/>
    </w:p>
    <w:p w:rsidR="003F56A5" w:rsidRDefault="00B91D3D" w:rsidP="007103A5">
      <w:pPr>
        <w:ind w:leftChars="300" w:left="630"/>
        <w:rPr>
          <w:rFonts w:ascii="楷体" w:eastAsia="楷体" w:hAnsi="楷体"/>
          <w:sz w:val="24"/>
          <w:szCs w:val="24"/>
        </w:rPr>
      </w:pPr>
      <w:r w:rsidRPr="00B91D3D">
        <w:rPr>
          <w:rFonts w:ascii="楷体" w:eastAsia="楷体" w:hAnsi="楷体" w:hint="eastAsia"/>
          <w:sz w:val="24"/>
          <w:szCs w:val="24"/>
        </w:rPr>
        <w:t>4月28日，Si2308主力合约呈震荡走势，收盘价153190元/吨，较上一收盘价涨跌幅+0.10%。从供应端来看，当前西南地区开工整体处于历史低位，5月电价下调幅度不大，预计开工将延续低位运行。从需求端来看，当前下游需求整体偏弱，主要受有机硅板块、以及出口市场拖累，预计5月需求较难出现明显改善，市场或仍将承压运行。综合而言，短期西南开工低位，市场下行空间或有限。但中长期成本重心下移明显，预计市场风格仍以偏弱为主，建议可逢高布局做空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409872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5" w:name="_Toc134098726"/>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D55EAF" w:rsidRPr="00D55EAF">
        <w:rPr>
          <w:rFonts w:ascii="楷体" w:eastAsia="楷体" w:hAnsi="楷体" w:hint="eastAsia"/>
          <w:b/>
          <w:sz w:val="24"/>
          <w:szCs w:val="24"/>
        </w:rPr>
        <w:t>港口库存拐点暂不清晰 RU上涨受阻</w:t>
      </w:r>
      <w:bookmarkEnd w:id="35"/>
    </w:p>
    <w:p w:rsidR="003F56A5" w:rsidRDefault="00D55EAF">
      <w:pPr>
        <w:ind w:leftChars="300" w:left="630"/>
        <w:rPr>
          <w:rFonts w:ascii="楷体" w:eastAsia="楷体" w:hAnsi="楷体"/>
          <w:sz w:val="24"/>
          <w:szCs w:val="24"/>
        </w:rPr>
      </w:pPr>
      <w:r w:rsidRPr="00D55EAF">
        <w:rPr>
          <w:rFonts w:ascii="楷体" w:eastAsia="楷体" w:hAnsi="楷体" w:hint="eastAsia"/>
          <w:sz w:val="24"/>
          <w:szCs w:val="24"/>
        </w:rPr>
        <w:t>点评：当前橡胶重回低位震荡格局。早前橡胶回暖，与云南产区受干旱和白粉病影响或将大幅减产有关，但因我国橡胶产量占全球不足10%，云南减产的扰动影响或有限，因此胶价上行的持续性仍有待观察。当前制约RU价格上行的主要矛盾还是港口库存的高企，因我国橡胶消费主要依赖进口，港口库存屡创新高也就证实了下游需求并未出现实质性的拐点和利好。橡胶其余基本面来看，供应端，近期国内外产区干旱，云南地区更是有白粉病的问题，原料价格窄幅走高，同时短时供应难有新增，为原料上涨提供主要助推。泰国宋卡原料价格基本与当前胶价持平，成本端支撑强劲。橡胶下游轮胎开工有所回落，五一部分企业安排3-5天的停工放假，以上因素拖拽样企业产能利用率走低。全钢胎市场销售压力较大，预计产能利用率后续回升幅度弱于半钢胎。终端汽车方面，尽管Q1汽车产销累计同比出现下滑，但并不算太差，而重卡销量景气度逐步转好，扭转此前21个月连续同比下滑的情况，进而推动橡胶用量最大的下游全钢胎的生产，所以橡胶价格在下游和终端支撑下，下行空间有限。出口方面，Q1轮胎累计出口</w:t>
      </w:r>
      <w:r w:rsidRPr="00D55EAF">
        <w:rPr>
          <w:rFonts w:ascii="楷体" w:eastAsia="楷体" w:hAnsi="楷体" w:hint="eastAsia"/>
          <w:sz w:val="24"/>
          <w:szCs w:val="24"/>
        </w:rPr>
        <w:lastRenderedPageBreak/>
        <w:t>量同比微幅回升，前期对海外市场经济衰退和轮胎消费疲软的预期被证实过度悲观。综合来看，目前橡胶除了港口库存累库这一历史性难题利空外，其余基本面情况虽并不亮眼但也没有明显利空，后期只要港口库存能得到抑制，甚至不需要出现明显拐点，胶价二季度都会探底回升。短时天胶市场在去库问题未得到解决前，上涨空间有限，同时谨防炒作冲高回落风险</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4098727"/>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B91D3D" w:rsidRPr="00B91D3D">
        <w:rPr>
          <w:rFonts w:ascii="楷体" w:eastAsia="楷体" w:hAnsi="楷体" w:hint="eastAsia"/>
          <w:b/>
          <w:color w:val="000000" w:themeColor="text1"/>
          <w:sz w:val="24"/>
          <w:szCs w:val="24"/>
        </w:rPr>
        <w:t>油价走弱成本端支撑不足等待企稳</w:t>
      </w:r>
      <w:bookmarkEnd w:id="36"/>
      <w:r>
        <w:rPr>
          <w:rFonts w:ascii="楷体" w:eastAsia="楷体" w:hAnsi="楷体" w:hint="eastAsia"/>
          <w:b/>
          <w:color w:val="000000" w:themeColor="text1"/>
          <w:sz w:val="24"/>
          <w:szCs w:val="24"/>
        </w:rPr>
        <w:t xml:space="preserve"> </w:t>
      </w:r>
    </w:p>
    <w:p w:rsidR="003F56A5" w:rsidRDefault="00B91D3D" w:rsidP="008E3B84">
      <w:pPr>
        <w:ind w:leftChars="300" w:left="630"/>
        <w:rPr>
          <w:rFonts w:ascii="楷体" w:eastAsia="楷体" w:hAnsi="楷体"/>
          <w:color w:val="000000" w:themeColor="text1"/>
          <w:sz w:val="24"/>
          <w:szCs w:val="24"/>
        </w:rPr>
      </w:pPr>
      <w:r w:rsidRPr="00B91D3D">
        <w:rPr>
          <w:rFonts w:ascii="楷体" w:eastAsia="楷体" w:hAnsi="楷体" w:hint="eastAsia"/>
          <w:color w:val="000000" w:themeColor="text1"/>
          <w:sz w:val="24"/>
          <w:szCs w:val="24"/>
        </w:rPr>
        <w:t>受美国银行危机以及债务上限临期影响，宏观层面短线金融市场避险情绪集中爆发，原油及大宗商品走势承压。供给方面，上周PTA装置基本无变化，蓬威90万吨PTA装置目前停车中，至 4.27 PTA负荷调整至80.9%。嘉通能源二期250万吨PTA投产，但恒力4#5月计划检修，供应端压力尚可。需求方面，上周聚酯减产检修装置继续增多，聚酯综合负荷再度下滑，其中部分工厂减产规划较多，近期在陆续兑现中。截至4.27，初步核算国内大陆地区聚酯负荷在85.9%（-1.5%）。展望后市，若聚酯没有超预期减产则总体刚需下滑有限。短期PTA底部支撑仍存，进一步下跌空间有限。PTA等待企稳，暂时观望。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4098728"/>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4098729"/>
      <w:r>
        <w:rPr>
          <w:rFonts w:ascii="楷体" w:eastAsia="楷体" w:hAnsi="楷体" w:hint="eastAsia"/>
          <w:b/>
          <w:color w:val="000000" w:themeColor="text1"/>
          <w:sz w:val="24"/>
          <w:szCs w:val="24"/>
        </w:rPr>
        <w:t>聚烯烃：</w:t>
      </w:r>
      <w:r w:rsidR="00D55EAF" w:rsidRPr="00D55EAF">
        <w:rPr>
          <w:rFonts w:ascii="楷体" w:eastAsia="楷体" w:hAnsi="楷体" w:hint="eastAsia"/>
          <w:b/>
          <w:color w:val="000000" w:themeColor="text1"/>
          <w:sz w:val="24"/>
          <w:szCs w:val="24"/>
        </w:rPr>
        <w:t>成本回落终端需求不佳 聚烯烃或窄幅回落</w:t>
      </w:r>
      <w:bookmarkEnd w:id="38"/>
    </w:p>
    <w:p w:rsidR="003F56A5" w:rsidRDefault="00D55EAF">
      <w:pPr>
        <w:ind w:leftChars="300" w:left="630"/>
        <w:rPr>
          <w:rFonts w:ascii="楷体" w:eastAsia="楷体" w:hAnsi="楷体"/>
          <w:bCs/>
          <w:sz w:val="24"/>
          <w:szCs w:val="24"/>
        </w:rPr>
      </w:pPr>
      <w:r w:rsidRPr="00D55EAF">
        <w:rPr>
          <w:rFonts w:ascii="楷体" w:eastAsia="楷体" w:hAnsi="楷体" w:hint="eastAsia"/>
          <w:color w:val="000000" w:themeColor="text1"/>
          <w:sz w:val="24"/>
          <w:szCs w:val="24"/>
        </w:rPr>
        <w:t>近期聚烯烃窄幅波动。库存方面，上周五国内国内PE库存环比4月14日下降2.58%，其中主要生产环节PE库存环比下降4.92%，PE样本港口库存环比下降1.44%，样本贸易企业库存环比增加0.65%。上周五国内PP库存环比4月14日下跌5.59%。其中主要生产环节PP库存、贸易环节库存、港口库存均有下降。成本方面，尽管美国原油库存连续三周下降，但美联储加息使得投资者对经济感到担忧， 国际油价继续大跌至六周以来最低；需求方面，PE下游方面，农膜生产逐渐进入平淡期，短时间内难有明显起色；PP下游方面，BOPP市场成交刚需有量，整体量较上一交易日增加，BOPP企业未交付订单多数在一周以内，个别可至5月中。综合来看，PE方面，成本端支撑减弱；供应方面，国内装置检修变化不大，供应压力仍存。需求方面，预计劳动节后下游有刚需拿货预期，虽然劳动节后不确定性较大，但是业者心态有在好转。综合来看，预计五一节后聚乙烯市场价格整</w:t>
      </w:r>
      <w:r w:rsidRPr="00D55EAF">
        <w:rPr>
          <w:rFonts w:ascii="楷体" w:eastAsia="楷体" w:hAnsi="楷体" w:hint="eastAsia"/>
          <w:color w:val="000000" w:themeColor="text1"/>
          <w:sz w:val="24"/>
          <w:szCs w:val="24"/>
        </w:rPr>
        <w:lastRenderedPageBreak/>
        <w:t>理为主。PP方面，需求进入季节性淡季之内，供应端增产压力不减，市场供过于求逐渐凸显，利空集聚，叠加下游订单逐渐转弱，市场趋势面临新一轮走低</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4098730"/>
      <w:r>
        <w:rPr>
          <w:rFonts w:ascii="楷体" w:eastAsia="楷体" w:hAnsi="楷体" w:hint="eastAsia"/>
          <w:b/>
          <w:color w:val="000000" w:themeColor="text1"/>
          <w:sz w:val="24"/>
          <w:szCs w:val="24"/>
        </w:rPr>
        <w:t>MEG：</w:t>
      </w:r>
      <w:r w:rsidR="00B91D3D" w:rsidRPr="00B91D3D">
        <w:rPr>
          <w:rFonts w:ascii="楷体" w:eastAsia="楷体" w:hAnsi="楷体" w:hint="eastAsia"/>
          <w:b/>
          <w:color w:val="000000" w:themeColor="text1"/>
          <w:sz w:val="24"/>
          <w:szCs w:val="24"/>
        </w:rPr>
        <w:t>近期供需改善驱动去库预期 09逢低可多配</w:t>
      </w:r>
      <w:bookmarkEnd w:id="39"/>
    </w:p>
    <w:p w:rsidR="003F56A5" w:rsidRDefault="00B91D3D" w:rsidP="00E45000">
      <w:pPr>
        <w:ind w:leftChars="300" w:left="630"/>
        <w:rPr>
          <w:rFonts w:ascii="楷体" w:eastAsia="楷体" w:hAnsi="楷体"/>
          <w:color w:val="000000" w:themeColor="text1"/>
          <w:sz w:val="24"/>
          <w:szCs w:val="24"/>
        </w:rPr>
      </w:pPr>
      <w:r w:rsidRPr="00B91D3D">
        <w:rPr>
          <w:rFonts w:ascii="楷体" w:eastAsia="楷体" w:hAnsi="楷体" w:hint="eastAsia"/>
          <w:color w:val="000000" w:themeColor="text1"/>
          <w:sz w:val="24"/>
          <w:szCs w:val="24"/>
        </w:rPr>
        <w:t>供需情况，4.24 华东主港地区MEG港口库存约114.3万吨附近，环比上期增加3.0万吨，后续来看主港到货计划将有所减少。5月中旬起浙石化将执行减产，后期内贸货源输送至港口数量也将同步缩减。截至4月27日，中国大陆地区乙二醇整体开工负荷在60.25%（+1.85%），其中煤制乙二醇开工负荷在61.88%（+0.43%）。 进口方面来看，预估4-5月上旬沙特等外盘货源到港量不多，外轮到货数量偏低。聚酯需求端来看，截止4.27 初步核算国内大陆地区聚酯负荷在85.9%（-1.5%）。本周江浙加弹综合开工率69%(+2%)，江浙织机综合开工率62%(+0%），江浙印染综合开工率68%（-5%）。上周江浙加弹开工小幅回升，印染开机继续下滑。坯布价格局部品种下行，主流常规品种现金流亏损。综合来看，近期国内乙二醇供应端一体化装置计划内停车与转产预期增多，如恒力石化、浙石化1#、海南炼化等。后期需要关注煤化工装置计划内重启的实际兑现力度如永城、濮阳、贵州黔西、及山西阳煤。随着一体化装置检修增多供应端的收缩，仍会加大库存去化力度，预计5月中上华东码头库存可以进一步下降。综合来看，5月份乙二醇仍有去库预期，关注后期EG 09 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4098731"/>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B91D3D" w:rsidRPr="00B91D3D">
        <w:rPr>
          <w:rFonts w:ascii="楷体" w:eastAsia="楷体" w:hAnsi="楷体" w:hint="eastAsia"/>
          <w:b/>
          <w:color w:val="000000" w:themeColor="text1"/>
          <w:sz w:val="24"/>
          <w:szCs w:val="24"/>
        </w:rPr>
        <w:t>现货滞涨，多空博弈加剧</w:t>
      </w:r>
      <w:bookmarkEnd w:id="40"/>
    </w:p>
    <w:p w:rsidR="00A71A7E" w:rsidRDefault="00B91D3D" w:rsidP="0079299D">
      <w:pPr>
        <w:ind w:leftChars="300" w:left="630"/>
        <w:rPr>
          <w:rFonts w:ascii="楷体" w:eastAsia="楷体" w:hAnsi="楷体"/>
          <w:color w:val="000000" w:themeColor="text1"/>
          <w:sz w:val="24"/>
          <w:szCs w:val="24"/>
        </w:rPr>
      </w:pPr>
      <w:r w:rsidRPr="00B91D3D">
        <w:rPr>
          <w:rFonts w:ascii="楷体" w:eastAsia="楷体" w:hAnsi="楷体" w:hint="eastAsia"/>
          <w:color w:val="000000" w:themeColor="text1"/>
          <w:sz w:val="24"/>
          <w:szCs w:val="24"/>
        </w:rPr>
        <w:t>玻璃纯碱走势分化趋势逐渐明显。玻璃经历22年去产能后的去库存阶段，中下游需求周期性修复带动厂贸博弈价格上涨，但目前来看估值已处于历史中高位置，价格短期已进入滞涨，后续考虑到行业景气度改善和复产产线增加的可能性，行业供给有望增加，需求端地产端订单持续性尚待观察。若恢复较慢，中下游持续高价囤货能力降有所减弱，再加上二季度末的雨季对施工需求影响，在产线复产+中间商承接能力减弱+雨季三大因素影响下，预计本轮浮法玻璃价格阶段性冲高节奏有望持续至5月底6月初，短期看行业景气度改善仍存一定空间，仍然建议以低多思路为主。参考区间（1750，1850）</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4098732"/>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B91D3D" w:rsidRPr="00B91D3D">
        <w:rPr>
          <w:rFonts w:ascii="楷体" w:eastAsia="楷体" w:hAnsi="楷体" w:hint="eastAsia"/>
          <w:b/>
          <w:color w:val="000000" w:themeColor="text1"/>
          <w:sz w:val="24"/>
          <w:szCs w:val="24"/>
        </w:rPr>
        <w:t>现货价格阴跌，扩产预期交易较为充分</w:t>
      </w:r>
      <w:bookmarkEnd w:id="41"/>
    </w:p>
    <w:p w:rsidR="00A71A7E" w:rsidRDefault="00B91D3D" w:rsidP="00A71A7E">
      <w:pPr>
        <w:ind w:leftChars="300" w:left="630"/>
        <w:rPr>
          <w:rFonts w:ascii="楷体" w:eastAsia="楷体" w:hAnsi="楷体"/>
          <w:bCs/>
          <w:sz w:val="24"/>
          <w:szCs w:val="24"/>
        </w:rPr>
      </w:pPr>
      <w:r w:rsidRPr="00B91D3D">
        <w:rPr>
          <w:rFonts w:ascii="楷体" w:eastAsia="楷体" w:hAnsi="楷体" w:hint="eastAsia"/>
          <w:color w:val="000000" w:themeColor="text1"/>
          <w:sz w:val="24"/>
          <w:szCs w:val="24"/>
        </w:rPr>
        <w:t>目前纯碱处于供给预增，需求疲软，多空博弈加剧阶段。4月受6月天然碱即将投产消息刺激，纯碱期价大跌，且进口增加，行业持续累库，现货开始阴跌，高开工高利润低库存格局打破，高位价格开始松动。供给压力下，碱厂和中下游对供给端压力更加敏感。 5月由于新增天然碱供给消息已交易较为充分， 9-1价差出现回转，短期看期价可能出现企稳态势，但价格能否企稳仍有博弈，重点关注进口情况带来的供给增量和高开工下装置检修损失量之间的博弈。但长期来看，在高利润的back模式下，我们仍建议以高空思路为主。参考区间（2080，2150）</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409873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4098734"/>
      <w:r w:rsidRPr="00147B03">
        <w:rPr>
          <w:rFonts w:ascii="楷体" w:eastAsia="楷体" w:hAnsi="楷体" w:hint="eastAsia"/>
          <w:b/>
          <w:color w:val="000000" w:themeColor="text1"/>
          <w:sz w:val="24"/>
          <w:szCs w:val="24"/>
        </w:rPr>
        <w:lastRenderedPageBreak/>
        <w:t>豆粕/菜粕</w:t>
      </w:r>
      <w:r w:rsidR="00CC3FFA">
        <w:rPr>
          <w:rFonts w:ascii="楷体" w:eastAsia="楷体" w:hAnsi="楷体" w:hint="eastAsia"/>
          <w:b/>
          <w:color w:val="000000" w:themeColor="text1"/>
          <w:sz w:val="24"/>
          <w:szCs w:val="24"/>
        </w:rPr>
        <w:t>：</w:t>
      </w:r>
      <w:r w:rsidR="00B91D3D" w:rsidRPr="00B91D3D">
        <w:rPr>
          <w:rFonts w:ascii="楷体" w:eastAsia="楷体" w:hAnsi="楷体" w:hint="eastAsia"/>
          <w:b/>
          <w:sz w:val="24"/>
          <w:szCs w:val="24"/>
        </w:rPr>
        <w:t>近强远弱，上方空间有限</w:t>
      </w:r>
      <w:bookmarkEnd w:id="43"/>
    </w:p>
    <w:p w:rsidR="003F56A5" w:rsidRDefault="00B91D3D">
      <w:pPr>
        <w:ind w:leftChars="300" w:left="630"/>
        <w:rPr>
          <w:rFonts w:ascii="楷体" w:eastAsia="楷体" w:hAnsi="楷体"/>
          <w:sz w:val="24"/>
          <w:szCs w:val="24"/>
        </w:rPr>
      </w:pPr>
      <w:r w:rsidRPr="00B91D3D">
        <w:rPr>
          <w:rFonts w:ascii="楷体" w:eastAsia="楷体" w:hAnsi="楷体" w:hint="eastAsia"/>
          <w:sz w:val="24"/>
          <w:szCs w:val="24"/>
        </w:rPr>
        <w:t>节日期间CBOT大豆承压偏弱运行，因美国大豆播种进度较快为19%，一周前为9%，上年同期为7%。这一水平远高于五年平均进度11%，且出口偏弱原油大幅下挫；而国内节前豆粕短期表现较美豆相比较强，主要在于现阶段供应还未修复。巴西当前收割进度达92%，面临较大卖压，巴西大豆贴水有所企稳但仍较弱，农户销售意愿较强，关注大豆销售进度，4月份预计出口1471万吨。国内市场，随着大豆卸港问题逐步改善，到厂大豆增加，油厂目前已陆续恢复开机，但华北地区油厂仍有停工检修计划，支撑豆粕现货报价上调。但大豆4-6月整体供给较宽松，根据机构预估4月份预计到港780万吨，5-6月均有1000万吨大豆到港，阶段性供应压力仍较大，关注后续油厂开工情况。下游养殖利润表现仍不佳，饲企和养殖企业等对豆粕饲用需求增量有限，当前价格优势仍不明显，短期价格反弹成交放量，但现货价格后续仍面临下行压力。菜粕供应端在进口菜籽持续增加下逐步修复，油厂开机及压榨维持较高水平，但菜籽二季度后供给预计减少。而需求方面在近期天气逐步回暖后，华南水产需求预计启动，同时在价差性价比方面仍在对豆粕进行替代，因此下方较豆粕支撑更强。策略方面，大豆大量到港已是现实，暂时的阶段性供给紧张将改善，预计现货上方仍存压，对于盘面谨慎看空，建议短线逢高布局空单，菜粕可关注9-1正套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4098735"/>
      <w:r>
        <w:rPr>
          <w:rFonts w:ascii="楷体" w:eastAsia="楷体" w:hAnsi="楷体" w:hint="eastAsia"/>
          <w:b/>
          <w:color w:val="000000" w:themeColor="text1"/>
          <w:sz w:val="24"/>
          <w:szCs w:val="24"/>
        </w:rPr>
        <w:t>油脂：</w:t>
      </w:r>
      <w:r w:rsidR="00B91D3D" w:rsidRPr="00B91D3D">
        <w:rPr>
          <w:rFonts w:ascii="楷体" w:eastAsia="楷体" w:hAnsi="楷体" w:hint="eastAsia"/>
          <w:b/>
          <w:sz w:val="24"/>
          <w:szCs w:val="24"/>
        </w:rPr>
        <w:t>短期宏观风险扰动，预计延续弱势</w:t>
      </w:r>
      <w:bookmarkEnd w:id="44"/>
    </w:p>
    <w:p w:rsidR="003F56A5" w:rsidRDefault="00B91D3D" w:rsidP="00792D31">
      <w:pPr>
        <w:ind w:leftChars="300" w:left="630"/>
        <w:rPr>
          <w:rFonts w:ascii="楷体" w:eastAsia="楷体" w:hAnsi="楷体"/>
          <w:sz w:val="24"/>
          <w:szCs w:val="24"/>
        </w:rPr>
      </w:pPr>
      <w:r w:rsidRPr="00B91D3D">
        <w:rPr>
          <w:rFonts w:ascii="楷体" w:eastAsia="楷体" w:hAnsi="楷体" w:hint="eastAsia"/>
          <w:sz w:val="24"/>
          <w:szCs w:val="24"/>
        </w:rPr>
        <w:t>五一节日期间，受累于宏观风险带来的经济衰退担忧，国际原油大幅下挫，带动外盘油脂走弱，或使内盘油脂继续承压。棕榈油在产地出口疲软下价格承压，产地方面4月后马来预计进入增产阶段，出口需求因主要消费国高库存及进口利润不佳受抑，也限制了棕榈油上方空间，船运机构显示马来西亚4月1-25日棕榈油出口量环比减少14-18.4%。而印尼计划于5月1日起将棕榈油国内市场义务(DMO)下调至每月30万吨。将把散油出口比率从1:6收紧至1:4，但贸易商手中仍有充足出口配额，因此政策影响有限。但国内棕榈油在需求增加及进口下滑下，去库或逐步加快，在进口利润持续倒挂下，出现洗船情况，二季度进口预计下滑。随着天气逐渐回暖，华南以外其他地区棕榈油餐饮及调和油需求预计逐步增加，并对价格构成支撑。豆油压力仍存，随着天气回暖，且在价格利好下提振棕榈油替代需求，豆油下游需求预计被逐步挤占。目前随着大部分油厂陆续开机豆油供给预计逐步修复，但短期存在压榨不及预期的情况，对价格构成支撑。但随着后续进口大豆集中供应，豆油供应存边际修复预期。菜油在供应边际改善下，上方压力仍存。随着进口加籽到港量维持高位，菜籽供应较稳定，1-3月累计进口菜籽166万吨，且4-6月份菜籽到港预计仍将维持偏高水平。当前油厂开工较稳定，叠加进口菜油供给也在增加，供应较为宽松。需求方面，随着豆油价格的回落，菜油替代优势减弱。短期油脂预计在供给增加下，上方压力仍存，建议短线逢高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4098736"/>
      <w:r>
        <w:rPr>
          <w:rFonts w:ascii="楷体" w:eastAsia="楷体" w:hAnsi="楷体" w:hint="eastAsia"/>
          <w:b/>
          <w:bCs/>
          <w:color w:val="000000" w:themeColor="text1"/>
        </w:rPr>
        <w:t>玉米与淀粉：</w:t>
      </w:r>
      <w:r w:rsidR="00B91D3D" w:rsidRPr="00B91D3D">
        <w:rPr>
          <w:rFonts w:ascii="楷体" w:eastAsia="楷体" w:hAnsi="楷体" w:hint="eastAsia"/>
          <w:b/>
        </w:rPr>
        <w:t>黑海谷物出口协议续约担忧带动CBOT美玉米期价反弹</w:t>
      </w:r>
      <w:bookmarkEnd w:id="45"/>
    </w:p>
    <w:p w:rsidR="00B91D3D" w:rsidRPr="00B91D3D" w:rsidRDefault="00B91D3D" w:rsidP="00B91D3D">
      <w:pPr>
        <w:pStyle w:val="paragraph"/>
        <w:spacing w:before="60" w:after="60"/>
        <w:ind w:leftChars="300" w:left="630"/>
        <w:rPr>
          <w:rFonts w:ascii="楷体" w:eastAsia="楷体" w:hAnsi="楷体" w:hint="eastAsia"/>
        </w:rPr>
      </w:pPr>
      <w:r w:rsidRPr="00B91D3D">
        <w:rPr>
          <w:rFonts w:ascii="楷体" w:eastAsia="楷体" w:hAnsi="楷体" w:hint="eastAsia"/>
        </w:rPr>
        <w:lastRenderedPageBreak/>
        <w:t>对于玉米而言，近期玉米期价持续大幅下跌，符合我们之前预期，核心在于性价比因素，主要体现在玉米期价跟随南方销区玉米现货走势，在持续下跌之后，国产玉米性价比有所提升，且玉米基差持续走强，玉米期价整体走平，即各个合约趋于同价，这会抑制玉米期价继续下跌的空间。在这种情况下，我们由前期谨慎看空转为中性，建议投资者前期空单离场后暂以观望为宜。</w:t>
      </w:r>
    </w:p>
    <w:p w:rsidR="003F56A5" w:rsidRDefault="00B91D3D" w:rsidP="00B91D3D">
      <w:pPr>
        <w:pStyle w:val="paragraph"/>
        <w:spacing w:before="60" w:beforeAutospacing="0" w:after="60" w:afterAutospacing="0"/>
        <w:ind w:leftChars="300" w:left="630"/>
        <w:rPr>
          <w:rFonts w:ascii="楷体" w:eastAsia="楷体" w:hAnsi="楷体"/>
        </w:rPr>
      </w:pPr>
      <w:r w:rsidRPr="00B91D3D">
        <w:rPr>
          <w:rFonts w:ascii="楷体" w:eastAsia="楷体" w:hAnsi="楷体" w:hint="eastAsia"/>
        </w:rPr>
        <w:t>对于淀粉而言，行业库存已有持续环比下降，考虑到现货生产利润亏损，行业开机率对应供应或继续低位，这意味着行业供需有望趋于改善，有利于价差继续走扩。对于前期的风险点即玉米原料端，我们亦倾向于认为其继续下跌空间受限。在这种情况下，我们建议持有淀粉-玉米价差走扩套利，激进投资者可轻仓介入做多，以前低作为止损</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4098737"/>
      <w:r>
        <w:rPr>
          <w:rFonts w:ascii="楷体" w:eastAsia="楷体" w:hAnsi="楷体" w:hint="eastAsia"/>
          <w:b/>
          <w:bCs/>
          <w:color w:val="000000" w:themeColor="text1"/>
        </w:rPr>
        <w:t>畜禽养殖：</w:t>
      </w:r>
      <w:r w:rsidR="00B91D3D" w:rsidRPr="00B91D3D">
        <w:rPr>
          <w:rFonts w:ascii="楷体" w:eastAsia="楷体" w:hAnsi="楷体" w:hint="eastAsia"/>
          <w:b/>
          <w:bCs/>
          <w:color w:val="000000" w:themeColor="text1"/>
        </w:rPr>
        <w:t>五一长假期间现货先抑后扬</w:t>
      </w:r>
      <w:bookmarkEnd w:id="46"/>
    </w:p>
    <w:p w:rsidR="00B91D3D" w:rsidRPr="00B91D3D" w:rsidRDefault="00B91D3D" w:rsidP="00B91D3D">
      <w:pPr>
        <w:pStyle w:val="paragraph"/>
        <w:spacing w:before="60" w:after="60"/>
        <w:ind w:leftChars="300" w:left="630"/>
        <w:rPr>
          <w:rFonts w:ascii="楷体" w:eastAsia="楷体" w:hAnsi="楷体" w:hint="eastAsia"/>
        </w:rPr>
      </w:pPr>
      <w:r w:rsidRPr="00B91D3D">
        <w:rPr>
          <w:rFonts w:ascii="楷体" w:eastAsia="楷体" w:hAnsi="楷体" w:hint="eastAsia"/>
        </w:rPr>
        <w:t>对于生猪而言， 3月以来现货表现不及我们之前预期，问题出在供应量，除了节后疫情对供应的阶段性影响之外，还集中在两个方面，其一是春节前堆积的供应量，其二是节前仔猪带来的生猪出栏量。对于需求层面，考虑到生猪餐饮食堂消费占比较大，随着疫情防控政策的放开，社会流动性提高，消费有望恢复至常年水平，除去宏观经济数据外，从节后鸡蛋和白羽鸡价格和利润处于历史同期高位水平可以得到印证。考虑到春节后生猪供应持续去化，4月中生猪现货价格有二次探底迹象，至少表明下方空间受限，且有迹象表明需求有所改善，在加上春节前后疫情和养殖利润状况或影响接下来的供应。在这种情况下，我们倾向于认为生猪供应压力释放或临近尾声，后期或逐步震荡回升。暂维持谨慎看多，建议投资者暂以观望为宜，后期择机入场。</w:t>
      </w:r>
    </w:p>
    <w:p w:rsidR="003F56A5" w:rsidRDefault="00B91D3D" w:rsidP="00B91D3D">
      <w:pPr>
        <w:pStyle w:val="paragraph"/>
        <w:spacing w:before="60" w:beforeAutospacing="0" w:after="60" w:afterAutospacing="0"/>
        <w:ind w:leftChars="300" w:left="630"/>
        <w:rPr>
          <w:rFonts w:ascii="楷体" w:eastAsia="楷体" w:hAnsi="楷体"/>
        </w:rPr>
      </w:pPr>
      <w:r w:rsidRPr="00B91D3D">
        <w:rPr>
          <w:rFonts w:ascii="楷体" w:eastAsia="楷体" w:hAnsi="楷体" w:hint="eastAsia"/>
        </w:rPr>
        <w:t>对于鸡蛋而言，目前的尴尬之处在于，春节以来的现货表现符合预期，这体现在近月相对强势上，市场转而反映远期供需改善的预期，这体现在远月合约的持续弱势上。这一预期存在一定的合理性，即养殖利润改善带动养殖户延迟淘汰，叠加补栏积极性上升，鸡苗价格上涨和2-3月鸡苗销量环比大幅增长，使得市场预计接下来供应趋于增加，现货高价难以持续。在整个市场强现实弱预期的大背景下，考虑到近月合约基差处于历史同期高位，仍未能带动期价上涨来实现基差修复，远月悲观预期目前更难以证伪。持中性观点，等待旺季合约跌至成本线，具备一定安全边际再行入场，在此之前，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4098738"/>
      <w:r>
        <w:rPr>
          <w:rFonts w:ascii="楷体" w:eastAsia="楷体" w:hAnsi="楷体" w:hint="eastAsia"/>
          <w:b/>
          <w:sz w:val="24"/>
          <w:szCs w:val="24"/>
        </w:rPr>
        <w:t>郑棉：</w:t>
      </w:r>
      <w:r w:rsidR="00D55EAF" w:rsidRPr="00D55EAF">
        <w:rPr>
          <w:rFonts w:ascii="楷体" w:eastAsia="楷体" w:hAnsi="楷体" w:hint="eastAsia"/>
          <w:b/>
          <w:sz w:val="24"/>
          <w:szCs w:val="24"/>
        </w:rPr>
        <w:t>预计15200-15600区间震荡整理，观望</w:t>
      </w:r>
      <w:bookmarkEnd w:id="47"/>
    </w:p>
    <w:p w:rsidR="003F56A5" w:rsidRDefault="00D55EAF" w:rsidP="00B17165">
      <w:pPr>
        <w:ind w:leftChars="300" w:left="630"/>
        <w:rPr>
          <w:rFonts w:ascii="楷体" w:eastAsia="楷体" w:hAnsi="楷体"/>
          <w:sz w:val="24"/>
          <w:szCs w:val="24"/>
        </w:rPr>
      </w:pPr>
      <w:r w:rsidRPr="00D55EAF">
        <w:rPr>
          <w:rFonts w:ascii="楷体" w:eastAsia="楷体" w:hAnsi="楷体" w:hint="eastAsia"/>
          <w:sz w:val="24"/>
          <w:szCs w:val="24"/>
        </w:rPr>
        <w:t>五一期间外盘冲高回落。国内节后市场中期关注焦点将从主要看供应端向两端都看转变。供应端天气利多不断，种植面积也有进一步缩减的可能，若五月四日欧盟和美联储双加息的宏观利空不显著，上旬时不排除在资金天气炒作利多推动下试探1.6万元/吨的可能。但是需求端走弱也是同样明显。坯布本已处于历年来次高水平，近期纱线累库速度也在增快，虽然因本年度银行资金支持，纺织行业的负反馈暂时还未传导至棉花，但棉价</w:t>
      </w:r>
      <w:r w:rsidRPr="00D55EAF">
        <w:rPr>
          <w:rFonts w:ascii="楷体" w:eastAsia="楷体" w:hAnsi="楷体" w:hint="eastAsia"/>
          <w:sz w:val="24"/>
          <w:szCs w:val="24"/>
        </w:rPr>
        <w:lastRenderedPageBreak/>
        <w:t>继续上涨对产业的压力无疑会变得越来越大。尤其是两个指标是突破性的。一个是纺织利润由正转负，中低支纱线的生产已经进入亏损阶段。第二个是在经过了一年多内外价差倒挂后，进口利润在4月最后一周打开。另外，在原油价格大幅回落后，涤纶短纤对棉花的替代性增加。因此，在供应端利多兑现的同时，需求端的利空也在不断累积，制约着上行空间</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298" w:rsidRDefault="00540298">
      <w:r>
        <w:separator/>
      </w:r>
    </w:p>
  </w:endnote>
  <w:endnote w:type="continuationSeparator" w:id="0">
    <w:p w:rsidR="00540298" w:rsidRDefault="0054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3427945" wp14:editId="083343E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91D3D">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91D3D">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298" w:rsidRDefault="00540298">
      <w:r>
        <w:separator/>
      </w:r>
    </w:p>
  </w:footnote>
  <w:footnote w:type="continuationSeparator" w:id="0">
    <w:p w:rsidR="00540298" w:rsidRDefault="005402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7B93F99B" wp14:editId="76DBA47E">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31BFD339" wp14:editId="27170C4C">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D55EAF">
      <w:rPr>
        <w:rFonts w:ascii="Times New Roman" w:eastAsia="楷体" w:hAnsi="Times New Roman" w:hint="eastAsia"/>
        <w:b/>
        <w:bCs/>
        <w:noProof/>
        <w:color w:val="833C0B"/>
        <w:sz w:val="21"/>
      </w:rPr>
      <w:t>2023</w:t>
    </w:r>
    <w:r w:rsidR="00D55EAF">
      <w:rPr>
        <w:rFonts w:ascii="Times New Roman" w:eastAsia="楷体" w:hAnsi="Times New Roman" w:hint="eastAsia"/>
        <w:b/>
        <w:bCs/>
        <w:noProof/>
        <w:color w:val="833C0B"/>
        <w:sz w:val="21"/>
      </w:rPr>
      <w:t>年</w:t>
    </w:r>
    <w:r w:rsidR="00D55EAF">
      <w:rPr>
        <w:rFonts w:ascii="Times New Roman" w:eastAsia="楷体" w:hAnsi="Times New Roman" w:hint="eastAsia"/>
        <w:b/>
        <w:bCs/>
        <w:noProof/>
        <w:color w:val="833C0B"/>
        <w:sz w:val="21"/>
      </w:rPr>
      <w:t>5</w:t>
    </w:r>
    <w:r w:rsidR="00D55EAF">
      <w:rPr>
        <w:rFonts w:ascii="Times New Roman" w:eastAsia="楷体" w:hAnsi="Times New Roman" w:hint="eastAsia"/>
        <w:b/>
        <w:bCs/>
        <w:noProof/>
        <w:color w:val="833C0B"/>
        <w:sz w:val="21"/>
      </w:rPr>
      <w:t>月</w:t>
    </w:r>
    <w:r w:rsidR="00D55EAF">
      <w:rPr>
        <w:rFonts w:ascii="Times New Roman" w:eastAsia="楷体" w:hAnsi="Times New Roman" w:hint="eastAsia"/>
        <w:b/>
        <w:bCs/>
        <w:noProof/>
        <w:color w:val="833C0B"/>
        <w:sz w:val="21"/>
      </w:rPr>
      <w:t>4</w:t>
    </w:r>
    <w:r w:rsidR="00D55EAF">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1461"/>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F85"/>
    <w:rsid w:val="004A65B5"/>
    <w:rsid w:val="004C5F3F"/>
    <w:rsid w:val="004E58A5"/>
    <w:rsid w:val="005145ED"/>
    <w:rsid w:val="00535DC9"/>
    <w:rsid w:val="00540298"/>
    <w:rsid w:val="00541F3F"/>
    <w:rsid w:val="00547DD7"/>
    <w:rsid w:val="005523A5"/>
    <w:rsid w:val="00576234"/>
    <w:rsid w:val="005818A8"/>
    <w:rsid w:val="0058734B"/>
    <w:rsid w:val="00591B89"/>
    <w:rsid w:val="00593B03"/>
    <w:rsid w:val="00593F40"/>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0D28"/>
    <w:rsid w:val="00822591"/>
    <w:rsid w:val="0083605E"/>
    <w:rsid w:val="00840F4E"/>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20372"/>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00CF"/>
    <w:rsid w:val="00AC52CB"/>
    <w:rsid w:val="00AC7ECD"/>
    <w:rsid w:val="00AD009F"/>
    <w:rsid w:val="00AF5EA0"/>
    <w:rsid w:val="00B10135"/>
    <w:rsid w:val="00B133D0"/>
    <w:rsid w:val="00B15418"/>
    <w:rsid w:val="00B17165"/>
    <w:rsid w:val="00B1737C"/>
    <w:rsid w:val="00B1758C"/>
    <w:rsid w:val="00B17639"/>
    <w:rsid w:val="00B443CE"/>
    <w:rsid w:val="00B4555A"/>
    <w:rsid w:val="00B53C56"/>
    <w:rsid w:val="00B606EF"/>
    <w:rsid w:val="00B618F8"/>
    <w:rsid w:val="00B72E2D"/>
    <w:rsid w:val="00B805BD"/>
    <w:rsid w:val="00B91D3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55EAF"/>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34EAB"/>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7B687-7B8A-4997-9C37-77799B5D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10</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98</cp:revision>
  <cp:lastPrinted>2023-04-20T02:18:00Z</cp:lastPrinted>
  <dcterms:created xsi:type="dcterms:W3CDTF">2022-11-15T10:06:00Z</dcterms:created>
  <dcterms:modified xsi:type="dcterms:W3CDTF">2023-05-04T05:17:00Z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