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bookmarkStart w:id="0" w:name="_GoBack"/>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bookmarkEnd w:id="0"/>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AC00CF"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3581032" w:history="1">
            <w:r w:rsidR="00AC00CF" w:rsidRPr="00C77644">
              <w:rPr>
                <w:rStyle w:val="a7"/>
                <w:rFonts w:ascii="Times New Roman" w:eastAsia="楷体" w:hAnsi="Times New Roman"/>
                <w:b/>
                <w:noProof/>
              </w:rPr>
              <w:t>[</w:t>
            </w:r>
            <w:r w:rsidR="00AC00CF" w:rsidRPr="00C77644">
              <w:rPr>
                <w:rStyle w:val="a7"/>
                <w:rFonts w:ascii="Times New Roman" w:eastAsia="楷体" w:hAnsi="Times New Roman"/>
                <w:b/>
                <w:noProof/>
              </w:rPr>
              <w:t>金融</w:t>
            </w:r>
            <w:r w:rsidR="00AC00CF" w:rsidRPr="00C77644">
              <w:rPr>
                <w:rStyle w:val="a7"/>
                <w:rFonts w:ascii="Times New Roman" w:eastAsia="楷体" w:hAnsi="Times New Roman"/>
                <w:b/>
                <w:noProof/>
              </w:rPr>
              <w:t>]</w:t>
            </w:r>
          </w:hyperlink>
        </w:p>
        <w:p w:rsidR="00AC00CF" w:rsidRDefault="00AC00CF">
          <w:pPr>
            <w:pStyle w:val="2"/>
            <w:tabs>
              <w:tab w:val="right" w:leader="dot" w:pos="8296"/>
            </w:tabs>
            <w:rPr>
              <w:rFonts w:eastAsiaTheme="minorEastAsia"/>
              <w:noProof/>
              <w:szCs w:val="22"/>
            </w:rPr>
          </w:pPr>
          <w:hyperlink w:anchor="_Toc133581033" w:history="1">
            <w:r w:rsidRPr="00C77644">
              <w:rPr>
                <w:rStyle w:val="a7"/>
                <w:rFonts w:ascii="Times New Roman" w:eastAsia="楷体" w:hAnsi="Times New Roman"/>
                <w:b/>
                <w:noProof/>
              </w:rPr>
              <w:t>股指：关注企稳后低多机会</w:t>
            </w:r>
          </w:hyperlink>
        </w:p>
        <w:p w:rsidR="00AC00CF" w:rsidRDefault="00AC00CF">
          <w:pPr>
            <w:pStyle w:val="11"/>
            <w:tabs>
              <w:tab w:val="right" w:leader="dot" w:pos="8296"/>
            </w:tabs>
            <w:rPr>
              <w:rFonts w:eastAsiaTheme="minorEastAsia"/>
              <w:noProof/>
              <w:szCs w:val="22"/>
            </w:rPr>
          </w:pPr>
          <w:hyperlink w:anchor="_Toc133581034" w:history="1">
            <w:r w:rsidRPr="00C77644">
              <w:rPr>
                <w:rStyle w:val="a7"/>
                <w:rFonts w:ascii="Times New Roman" w:eastAsia="楷体" w:hAnsi="Times New Roman"/>
                <w:b/>
                <w:noProof/>
              </w:rPr>
              <w:t>[</w:t>
            </w:r>
            <w:r w:rsidRPr="00C77644">
              <w:rPr>
                <w:rStyle w:val="a7"/>
                <w:rFonts w:ascii="Times New Roman" w:eastAsia="楷体" w:hAnsi="Times New Roman"/>
                <w:b/>
                <w:noProof/>
              </w:rPr>
              <w:t>贵金属</w:t>
            </w:r>
            <w:r w:rsidRPr="00C77644">
              <w:rPr>
                <w:rStyle w:val="a7"/>
                <w:rFonts w:ascii="Times New Roman" w:eastAsia="楷体" w:hAnsi="Times New Roman"/>
                <w:b/>
                <w:noProof/>
              </w:rPr>
              <w:t>]</w:t>
            </w:r>
          </w:hyperlink>
        </w:p>
        <w:p w:rsidR="00AC00CF" w:rsidRDefault="00AC00CF">
          <w:pPr>
            <w:pStyle w:val="2"/>
            <w:tabs>
              <w:tab w:val="right" w:leader="dot" w:pos="8296"/>
            </w:tabs>
            <w:rPr>
              <w:rFonts w:eastAsiaTheme="minorEastAsia"/>
              <w:noProof/>
              <w:szCs w:val="22"/>
            </w:rPr>
          </w:pPr>
          <w:hyperlink w:anchor="_Toc133581035" w:history="1">
            <w:r w:rsidRPr="00C77644">
              <w:rPr>
                <w:rStyle w:val="a7"/>
                <w:rFonts w:ascii="Times New Roman" w:eastAsia="楷体" w:hAnsi="Times New Roman"/>
                <w:b/>
                <w:noProof/>
              </w:rPr>
              <w:t>贵金属：静待美联储议息决议，沪金窄幅震荡</w:t>
            </w:r>
          </w:hyperlink>
        </w:p>
        <w:p w:rsidR="00AC00CF" w:rsidRDefault="00AC00CF">
          <w:pPr>
            <w:pStyle w:val="11"/>
            <w:tabs>
              <w:tab w:val="right" w:leader="dot" w:pos="8296"/>
            </w:tabs>
            <w:rPr>
              <w:rFonts w:eastAsiaTheme="minorEastAsia"/>
              <w:noProof/>
              <w:szCs w:val="22"/>
            </w:rPr>
          </w:pPr>
          <w:hyperlink w:anchor="_Toc133581036" w:history="1">
            <w:r w:rsidRPr="00C77644">
              <w:rPr>
                <w:rStyle w:val="a7"/>
                <w:rFonts w:ascii="Times New Roman" w:eastAsia="楷体" w:hAnsi="Times New Roman"/>
                <w:b/>
                <w:noProof/>
              </w:rPr>
              <w:t>[</w:t>
            </w:r>
            <w:r w:rsidRPr="00C77644">
              <w:rPr>
                <w:rStyle w:val="a7"/>
                <w:rFonts w:ascii="Times New Roman" w:eastAsia="楷体" w:hAnsi="Times New Roman"/>
                <w:b/>
                <w:noProof/>
              </w:rPr>
              <w:t>金属</w:t>
            </w:r>
            <w:r w:rsidRPr="00C77644">
              <w:rPr>
                <w:rStyle w:val="a7"/>
                <w:rFonts w:ascii="Times New Roman" w:eastAsia="楷体" w:hAnsi="Times New Roman"/>
                <w:b/>
                <w:noProof/>
              </w:rPr>
              <w:t>]</w:t>
            </w:r>
          </w:hyperlink>
        </w:p>
        <w:p w:rsidR="00AC00CF" w:rsidRDefault="00AC00CF">
          <w:pPr>
            <w:pStyle w:val="2"/>
            <w:tabs>
              <w:tab w:val="right" w:leader="dot" w:pos="8296"/>
            </w:tabs>
            <w:rPr>
              <w:rFonts w:eastAsiaTheme="minorEastAsia"/>
              <w:noProof/>
              <w:szCs w:val="22"/>
            </w:rPr>
          </w:pPr>
          <w:hyperlink w:anchor="_Toc133581037" w:history="1">
            <w:r w:rsidRPr="00C77644">
              <w:rPr>
                <w:rStyle w:val="a7"/>
                <w:rFonts w:ascii="楷体" w:eastAsia="楷体" w:hAnsi="楷体"/>
                <w:b/>
                <w:noProof/>
              </w:rPr>
              <w:t>螺纹钢：承压运行，注意节前控制风险</w:t>
            </w:r>
          </w:hyperlink>
        </w:p>
        <w:p w:rsidR="00AC00CF" w:rsidRDefault="00AC00CF">
          <w:pPr>
            <w:pStyle w:val="2"/>
            <w:tabs>
              <w:tab w:val="right" w:leader="dot" w:pos="8296"/>
            </w:tabs>
            <w:rPr>
              <w:rFonts w:eastAsiaTheme="minorEastAsia"/>
              <w:noProof/>
              <w:szCs w:val="22"/>
            </w:rPr>
          </w:pPr>
          <w:hyperlink w:anchor="_Toc133581038" w:history="1">
            <w:r w:rsidRPr="00C77644">
              <w:rPr>
                <w:rStyle w:val="a7"/>
                <w:rFonts w:ascii="楷体" w:eastAsia="楷体" w:hAnsi="楷体"/>
                <w:b/>
                <w:noProof/>
              </w:rPr>
              <w:t>焦炭：现货补跌中，估值过低下观望为主</w:t>
            </w:r>
          </w:hyperlink>
        </w:p>
        <w:p w:rsidR="00AC00CF" w:rsidRDefault="00AC00CF">
          <w:pPr>
            <w:pStyle w:val="2"/>
            <w:tabs>
              <w:tab w:val="right" w:leader="dot" w:pos="8296"/>
            </w:tabs>
            <w:rPr>
              <w:rFonts w:eastAsiaTheme="minorEastAsia"/>
              <w:noProof/>
              <w:szCs w:val="22"/>
            </w:rPr>
          </w:pPr>
          <w:hyperlink w:anchor="_Toc133581039" w:history="1">
            <w:r w:rsidRPr="00C77644">
              <w:rPr>
                <w:rStyle w:val="a7"/>
                <w:rFonts w:ascii="楷体" w:eastAsia="楷体" w:hAnsi="楷体"/>
                <w:b/>
                <w:noProof/>
              </w:rPr>
              <w:t>焦煤：现货补跌中，估值过低下观望为主</w:t>
            </w:r>
          </w:hyperlink>
        </w:p>
        <w:p w:rsidR="00AC00CF" w:rsidRDefault="00AC00CF">
          <w:pPr>
            <w:pStyle w:val="2"/>
            <w:tabs>
              <w:tab w:val="right" w:leader="dot" w:pos="8296"/>
            </w:tabs>
            <w:rPr>
              <w:rFonts w:eastAsiaTheme="minorEastAsia"/>
              <w:noProof/>
              <w:szCs w:val="22"/>
            </w:rPr>
          </w:pPr>
          <w:hyperlink w:anchor="_Toc133581040" w:history="1">
            <w:r w:rsidRPr="00C77644">
              <w:rPr>
                <w:rStyle w:val="a7"/>
                <w:rFonts w:ascii="楷体" w:eastAsia="楷体" w:hAnsi="楷体"/>
                <w:b/>
                <w:noProof/>
              </w:rPr>
              <w:t>铜：海外宏观偏空继续压制铜价，节前建议观望为主</w:t>
            </w:r>
          </w:hyperlink>
        </w:p>
        <w:p w:rsidR="00AC00CF" w:rsidRDefault="00AC00CF">
          <w:pPr>
            <w:pStyle w:val="2"/>
            <w:tabs>
              <w:tab w:val="right" w:leader="dot" w:pos="8296"/>
            </w:tabs>
            <w:rPr>
              <w:rFonts w:eastAsiaTheme="minorEastAsia"/>
              <w:noProof/>
              <w:szCs w:val="22"/>
            </w:rPr>
          </w:pPr>
          <w:hyperlink w:anchor="_Toc133581041" w:history="1">
            <w:r w:rsidRPr="00C77644">
              <w:rPr>
                <w:rStyle w:val="a7"/>
                <w:rFonts w:ascii="楷体" w:eastAsia="楷体" w:hAnsi="楷体"/>
                <w:b/>
                <w:noProof/>
              </w:rPr>
              <w:t>铝：铝价上方有压力，建议逢高布空</w:t>
            </w:r>
          </w:hyperlink>
        </w:p>
        <w:p w:rsidR="00AC00CF" w:rsidRDefault="00AC00CF">
          <w:pPr>
            <w:pStyle w:val="2"/>
            <w:tabs>
              <w:tab w:val="right" w:leader="dot" w:pos="8296"/>
            </w:tabs>
            <w:rPr>
              <w:rFonts w:eastAsiaTheme="minorEastAsia"/>
              <w:noProof/>
              <w:szCs w:val="22"/>
            </w:rPr>
          </w:pPr>
          <w:hyperlink w:anchor="_Toc133581042" w:history="1">
            <w:r w:rsidRPr="00C77644">
              <w:rPr>
                <w:rStyle w:val="a7"/>
                <w:rFonts w:ascii="楷体" w:eastAsia="楷体" w:hAnsi="楷体"/>
                <w:b/>
                <w:noProof/>
              </w:rPr>
              <w:t>锌：宏观及基本面影响偏空，锌价承压下行</w:t>
            </w:r>
          </w:hyperlink>
        </w:p>
        <w:p w:rsidR="00AC00CF" w:rsidRDefault="00AC00CF">
          <w:pPr>
            <w:pStyle w:val="2"/>
            <w:tabs>
              <w:tab w:val="right" w:leader="dot" w:pos="8296"/>
            </w:tabs>
            <w:rPr>
              <w:rFonts w:eastAsiaTheme="minorEastAsia"/>
              <w:noProof/>
              <w:szCs w:val="22"/>
            </w:rPr>
          </w:pPr>
          <w:hyperlink w:anchor="_Toc133581043" w:history="1">
            <w:r w:rsidRPr="00C77644">
              <w:rPr>
                <w:rStyle w:val="a7"/>
                <w:rFonts w:ascii="楷体" w:eastAsia="楷体" w:hAnsi="楷体"/>
                <w:b/>
                <w:noProof/>
              </w:rPr>
              <w:t>镍：供应预期施压，逢高空思路不变</w:t>
            </w:r>
          </w:hyperlink>
        </w:p>
        <w:p w:rsidR="00AC00CF" w:rsidRDefault="00AC00CF">
          <w:pPr>
            <w:pStyle w:val="2"/>
            <w:tabs>
              <w:tab w:val="right" w:leader="dot" w:pos="8296"/>
            </w:tabs>
            <w:rPr>
              <w:rFonts w:eastAsiaTheme="minorEastAsia"/>
              <w:noProof/>
              <w:szCs w:val="22"/>
            </w:rPr>
          </w:pPr>
          <w:hyperlink w:anchor="_Toc133581044" w:history="1">
            <w:r w:rsidRPr="00C77644">
              <w:rPr>
                <w:rStyle w:val="a7"/>
                <w:rFonts w:ascii="楷体" w:eastAsia="楷体" w:hAnsi="楷体"/>
                <w:b/>
                <w:noProof/>
              </w:rPr>
              <w:t>铅：淡季之下铅价维持震荡</w:t>
            </w:r>
          </w:hyperlink>
        </w:p>
        <w:p w:rsidR="00AC00CF" w:rsidRDefault="00AC00CF">
          <w:pPr>
            <w:pStyle w:val="2"/>
            <w:tabs>
              <w:tab w:val="right" w:leader="dot" w:pos="8296"/>
            </w:tabs>
            <w:rPr>
              <w:rFonts w:eastAsiaTheme="minorEastAsia"/>
              <w:noProof/>
              <w:szCs w:val="22"/>
            </w:rPr>
          </w:pPr>
          <w:hyperlink w:anchor="_Toc133581045" w:history="1">
            <w:r w:rsidRPr="00C77644">
              <w:rPr>
                <w:rStyle w:val="a7"/>
                <w:rFonts w:ascii="楷体" w:eastAsia="楷体" w:hAnsi="楷体"/>
                <w:b/>
                <w:noProof/>
              </w:rPr>
              <w:t>不锈钢：短期区间震荡为主</w:t>
            </w:r>
          </w:hyperlink>
        </w:p>
        <w:p w:rsidR="00AC00CF" w:rsidRDefault="00AC00CF">
          <w:pPr>
            <w:pStyle w:val="2"/>
            <w:tabs>
              <w:tab w:val="right" w:leader="dot" w:pos="8296"/>
            </w:tabs>
            <w:rPr>
              <w:rFonts w:eastAsiaTheme="minorEastAsia"/>
              <w:noProof/>
              <w:szCs w:val="22"/>
            </w:rPr>
          </w:pPr>
          <w:hyperlink w:anchor="_Toc133581046" w:history="1">
            <w:r w:rsidRPr="00C77644">
              <w:rPr>
                <w:rStyle w:val="a7"/>
                <w:rFonts w:ascii="楷体" w:eastAsia="楷体" w:hAnsi="楷体"/>
                <w:b/>
                <w:noProof/>
              </w:rPr>
              <w:t>工业硅：需求无改善，压制盘面反弹</w:t>
            </w:r>
          </w:hyperlink>
        </w:p>
        <w:p w:rsidR="00AC00CF" w:rsidRDefault="00AC00CF">
          <w:pPr>
            <w:pStyle w:val="11"/>
            <w:tabs>
              <w:tab w:val="right" w:leader="dot" w:pos="8296"/>
            </w:tabs>
            <w:rPr>
              <w:rFonts w:eastAsiaTheme="minorEastAsia"/>
              <w:noProof/>
              <w:szCs w:val="22"/>
            </w:rPr>
          </w:pPr>
          <w:hyperlink w:anchor="_Toc133581047" w:history="1">
            <w:r w:rsidRPr="00C77644">
              <w:rPr>
                <w:rStyle w:val="a7"/>
                <w:rFonts w:ascii="Times New Roman" w:eastAsia="楷体" w:hAnsi="Times New Roman"/>
                <w:b/>
                <w:noProof/>
              </w:rPr>
              <w:t>[</w:t>
            </w:r>
            <w:r w:rsidRPr="00C77644">
              <w:rPr>
                <w:rStyle w:val="a7"/>
                <w:rFonts w:ascii="Times New Roman" w:eastAsia="楷体" w:hAnsi="Times New Roman"/>
                <w:b/>
                <w:noProof/>
              </w:rPr>
              <w:t>化工</w:t>
            </w:r>
            <w:r w:rsidRPr="00C77644">
              <w:rPr>
                <w:rStyle w:val="a7"/>
                <w:rFonts w:ascii="Times New Roman" w:eastAsia="楷体" w:hAnsi="Times New Roman"/>
                <w:b/>
                <w:noProof/>
              </w:rPr>
              <w:t>]</w:t>
            </w:r>
          </w:hyperlink>
        </w:p>
        <w:p w:rsidR="00AC00CF" w:rsidRDefault="00AC00CF">
          <w:pPr>
            <w:pStyle w:val="2"/>
            <w:tabs>
              <w:tab w:val="right" w:leader="dot" w:pos="8296"/>
            </w:tabs>
            <w:rPr>
              <w:rFonts w:eastAsiaTheme="minorEastAsia"/>
              <w:noProof/>
              <w:szCs w:val="22"/>
            </w:rPr>
          </w:pPr>
          <w:hyperlink w:anchor="_Toc133581048" w:history="1">
            <w:r w:rsidRPr="00C77644">
              <w:rPr>
                <w:rStyle w:val="a7"/>
                <w:rFonts w:ascii="Times New Roman" w:eastAsia="楷体" w:hAnsi="Times New Roman"/>
                <w:b/>
                <w:noProof/>
              </w:rPr>
              <w:t>天然橡胶</w:t>
            </w:r>
            <w:r w:rsidRPr="00C77644">
              <w:rPr>
                <w:rStyle w:val="a7"/>
                <w:rFonts w:ascii="Times New Roman" w:eastAsia="楷体" w:hAnsi="Times New Roman"/>
                <w:b/>
                <w:noProof/>
              </w:rPr>
              <w:t>:</w:t>
            </w:r>
            <w:r w:rsidRPr="00C77644">
              <w:rPr>
                <w:rStyle w:val="a7"/>
                <w:rFonts w:ascii="楷体" w:eastAsia="楷体" w:hAnsi="楷体"/>
                <w:b/>
                <w:noProof/>
              </w:rPr>
              <w:t xml:space="preserve"> 节前累库严重 RU快速回落</w:t>
            </w:r>
          </w:hyperlink>
        </w:p>
        <w:p w:rsidR="00AC00CF" w:rsidRDefault="00AC00CF">
          <w:pPr>
            <w:pStyle w:val="2"/>
            <w:tabs>
              <w:tab w:val="right" w:leader="dot" w:pos="8296"/>
            </w:tabs>
            <w:rPr>
              <w:rFonts w:eastAsiaTheme="minorEastAsia"/>
              <w:noProof/>
              <w:szCs w:val="22"/>
            </w:rPr>
          </w:pPr>
          <w:hyperlink w:anchor="_Toc133581049" w:history="1">
            <w:r w:rsidRPr="00C77644">
              <w:rPr>
                <w:rStyle w:val="a7"/>
                <w:rFonts w:ascii="楷体" w:eastAsia="楷体" w:hAnsi="楷体"/>
                <w:b/>
                <w:noProof/>
              </w:rPr>
              <w:t>PTA：油价走弱成本端支撑不足等待企稳</w:t>
            </w:r>
          </w:hyperlink>
        </w:p>
        <w:p w:rsidR="00AC00CF" w:rsidRDefault="00AC00CF">
          <w:pPr>
            <w:pStyle w:val="2"/>
            <w:tabs>
              <w:tab w:val="right" w:leader="dot" w:pos="8296"/>
            </w:tabs>
            <w:rPr>
              <w:rFonts w:eastAsiaTheme="minorEastAsia"/>
              <w:noProof/>
              <w:szCs w:val="22"/>
            </w:rPr>
          </w:pPr>
          <w:hyperlink w:anchor="_Toc133581050" w:history="1">
            <w:r w:rsidRPr="00C77644">
              <w:rPr>
                <w:rStyle w:val="a7"/>
                <w:rFonts w:ascii="楷体" w:eastAsia="楷体" w:hAnsi="楷体"/>
                <w:b/>
                <w:noProof/>
              </w:rPr>
              <w:t>PVC：高库存+弱复苏 驱动不足</w:t>
            </w:r>
          </w:hyperlink>
        </w:p>
        <w:p w:rsidR="00AC00CF" w:rsidRDefault="00AC00CF">
          <w:pPr>
            <w:pStyle w:val="2"/>
            <w:tabs>
              <w:tab w:val="right" w:leader="dot" w:pos="8296"/>
            </w:tabs>
            <w:rPr>
              <w:rFonts w:eastAsiaTheme="minorEastAsia"/>
              <w:noProof/>
              <w:szCs w:val="22"/>
            </w:rPr>
          </w:pPr>
          <w:hyperlink w:anchor="_Toc133581051" w:history="1">
            <w:r w:rsidRPr="00C77644">
              <w:rPr>
                <w:rStyle w:val="a7"/>
                <w:rFonts w:ascii="楷体" w:eastAsia="楷体" w:hAnsi="楷体"/>
                <w:b/>
                <w:noProof/>
              </w:rPr>
              <w:t>聚烯烃：节前下游采购意愿不佳原油成本端回落 聚烯烃或窄幅回落</w:t>
            </w:r>
          </w:hyperlink>
        </w:p>
        <w:p w:rsidR="00AC00CF" w:rsidRDefault="00AC00CF">
          <w:pPr>
            <w:pStyle w:val="2"/>
            <w:tabs>
              <w:tab w:val="right" w:leader="dot" w:pos="8296"/>
            </w:tabs>
            <w:rPr>
              <w:rFonts w:eastAsiaTheme="minorEastAsia"/>
              <w:noProof/>
              <w:szCs w:val="22"/>
            </w:rPr>
          </w:pPr>
          <w:hyperlink w:anchor="_Toc133581052" w:history="1">
            <w:r w:rsidRPr="00C77644">
              <w:rPr>
                <w:rStyle w:val="a7"/>
                <w:rFonts w:ascii="楷体" w:eastAsia="楷体" w:hAnsi="楷体"/>
                <w:b/>
                <w:noProof/>
              </w:rPr>
              <w:t>MEG：近期供需改善驱动去库预期 09逢低可多配</w:t>
            </w:r>
          </w:hyperlink>
        </w:p>
        <w:p w:rsidR="00AC00CF" w:rsidRDefault="00AC00CF">
          <w:pPr>
            <w:pStyle w:val="2"/>
            <w:tabs>
              <w:tab w:val="right" w:leader="dot" w:pos="8296"/>
            </w:tabs>
            <w:rPr>
              <w:rFonts w:eastAsiaTheme="minorEastAsia"/>
              <w:noProof/>
              <w:szCs w:val="22"/>
            </w:rPr>
          </w:pPr>
          <w:hyperlink w:anchor="_Toc133581053" w:history="1">
            <w:r w:rsidRPr="00C77644">
              <w:rPr>
                <w:rStyle w:val="a7"/>
                <w:rFonts w:ascii="楷体" w:eastAsia="楷体" w:hAnsi="楷体"/>
                <w:b/>
                <w:noProof/>
              </w:rPr>
              <w:t>玻璃：多单减仓，现货涨价趋缓</w:t>
            </w:r>
          </w:hyperlink>
        </w:p>
        <w:p w:rsidR="00AC00CF" w:rsidRDefault="00AC00CF">
          <w:pPr>
            <w:pStyle w:val="2"/>
            <w:tabs>
              <w:tab w:val="right" w:leader="dot" w:pos="8296"/>
            </w:tabs>
            <w:rPr>
              <w:rFonts w:eastAsiaTheme="minorEastAsia"/>
              <w:noProof/>
              <w:szCs w:val="22"/>
            </w:rPr>
          </w:pPr>
          <w:hyperlink w:anchor="_Toc133581054" w:history="1">
            <w:r w:rsidRPr="00C77644">
              <w:rPr>
                <w:rStyle w:val="a7"/>
                <w:rFonts w:ascii="楷体" w:eastAsia="楷体" w:hAnsi="楷体"/>
                <w:b/>
                <w:noProof/>
              </w:rPr>
              <w:t>纯碱：下游观望情绪浓厚，本周继续累库</w:t>
            </w:r>
          </w:hyperlink>
        </w:p>
        <w:p w:rsidR="00AC00CF" w:rsidRDefault="00AC00CF">
          <w:pPr>
            <w:pStyle w:val="11"/>
            <w:tabs>
              <w:tab w:val="right" w:leader="dot" w:pos="8296"/>
            </w:tabs>
            <w:rPr>
              <w:rFonts w:eastAsiaTheme="minorEastAsia"/>
              <w:noProof/>
              <w:szCs w:val="22"/>
            </w:rPr>
          </w:pPr>
          <w:hyperlink w:anchor="_Toc133581055" w:history="1">
            <w:r w:rsidRPr="00C77644">
              <w:rPr>
                <w:rStyle w:val="a7"/>
                <w:rFonts w:ascii="Times New Roman" w:eastAsia="楷体" w:hAnsi="Times New Roman"/>
                <w:b/>
                <w:noProof/>
              </w:rPr>
              <w:t>[</w:t>
            </w:r>
            <w:r w:rsidRPr="00C77644">
              <w:rPr>
                <w:rStyle w:val="a7"/>
                <w:rFonts w:ascii="Times New Roman" w:eastAsia="楷体" w:hAnsi="Times New Roman"/>
                <w:b/>
                <w:noProof/>
              </w:rPr>
              <w:t>农产品</w:t>
            </w:r>
            <w:r w:rsidRPr="00C77644">
              <w:rPr>
                <w:rStyle w:val="a7"/>
                <w:rFonts w:ascii="Times New Roman" w:eastAsia="楷体" w:hAnsi="Times New Roman"/>
                <w:b/>
                <w:noProof/>
              </w:rPr>
              <w:t>]</w:t>
            </w:r>
          </w:hyperlink>
        </w:p>
        <w:p w:rsidR="00AC00CF" w:rsidRDefault="00AC00CF">
          <w:pPr>
            <w:pStyle w:val="2"/>
            <w:tabs>
              <w:tab w:val="right" w:leader="dot" w:pos="8296"/>
            </w:tabs>
            <w:rPr>
              <w:rFonts w:eastAsiaTheme="minorEastAsia"/>
              <w:noProof/>
              <w:szCs w:val="22"/>
            </w:rPr>
          </w:pPr>
          <w:hyperlink w:anchor="_Toc133581056" w:history="1">
            <w:r w:rsidRPr="00C77644">
              <w:rPr>
                <w:rStyle w:val="a7"/>
                <w:rFonts w:ascii="楷体" w:eastAsia="楷体" w:hAnsi="楷体"/>
                <w:b/>
                <w:noProof/>
              </w:rPr>
              <w:t>豆粕/菜粕：近强远弱，豆粕压力仍存</w:t>
            </w:r>
          </w:hyperlink>
        </w:p>
        <w:p w:rsidR="00AC00CF" w:rsidRDefault="00AC00CF">
          <w:pPr>
            <w:pStyle w:val="2"/>
            <w:tabs>
              <w:tab w:val="right" w:leader="dot" w:pos="8296"/>
            </w:tabs>
            <w:rPr>
              <w:rFonts w:eastAsiaTheme="minorEastAsia"/>
              <w:noProof/>
              <w:szCs w:val="22"/>
            </w:rPr>
          </w:pPr>
          <w:hyperlink w:anchor="_Toc133581057" w:history="1">
            <w:r w:rsidRPr="00C77644">
              <w:rPr>
                <w:rStyle w:val="a7"/>
                <w:rFonts w:ascii="楷体" w:eastAsia="楷体" w:hAnsi="楷体"/>
                <w:b/>
                <w:noProof/>
              </w:rPr>
              <w:t>油脂：震荡偏弱</w:t>
            </w:r>
          </w:hyperlink>
        </w:p>
        <w:p w:rsidR="00AC00CF" w:rsidRDefault="00AC00CF">
          <w:pPr>
            <w:pStyle w:val="2"/>
            <w:tabs>
              <w:tab w:val="right" w:leader="dot" w:pos="8296"/>
            </w:tabs>
            <w:rPr>
              <w:rFonts w:eastAsiaTheme="minorEastAsia"/>
              <w:noProof/>
              <w:szCs w:val="22"/>
            </w:rPr>
          </w:pPr>
          <w:hyperlink w:anchor="_Toc133581058" w:history="1">
            <w:r w:rsidRPr="00C77644">
              <w:rPr>
                <w:rStyle w:val="a7"/>
                <w:rFonts w:ascii="楷体" w:eastAsia="楷体" w:hAnsi="楷体"/>
                <w:b/>
                <w:bCs/>
                <w:noProof/>
              </w:rPr>
              <w:t>玉米与淀粉：</w:t>
            </w:r>
            <w:r w:rsidRPr="00C77644">
              <w:rPr>
                <w:rStyle w:val="a7"/>
                <w:rFonts w:ascii="楷体" w:eastAsia="楷体" w:hAnsi="楷体"/>
                <w:b/>
                <w:noProof/>
              </w:rPr>
              <w:t>期价再度大跌</w:t>
            </w:r>
          </w:hyperlink>
        </w:p>
        <w:p w:rsidR="00AC00CF" w:rsidRDefault="00AC00CF">
          <w:pPr>
            <w:pStyle w:val="2"/>
            <w:tabs>
              <w:tab w:val="right" w:leader="dot" w:pos="8296"/>
            </w:tabs>
            <w:rPr>
              <w:rFonts w:eastAsiaTheme="minorEastAsia"/>
              <w:noProof/>
              <w:szCs w:val="22"/>
            </w:rPr>
          </w:pPr>
          <w:hyperlink w:anchor="_Toc133581059" w:history="1">
            <w:r w:rsidRPr="00C77644">
              <w:rPr>
                <w:rStyle w:val="a7"/>
                <w:rFonts w:ascii="楷体" w:eastAsia="楷体" w:hAnsi="楷体"/>
                <w:b/>
                <w:bCs/>
                <w:noProof/>
              </w:rPr>
              <w:t>畜禽养殖：现货弱势难改市场悲观预期</w:t>
            </w:r>
          </w:hyperlink>
        </w:p>
        <w:p w:rsidR="00AC00CF" w:rsidRDefault="00AC00CF">
          <w:pPr>
            <w:pStyle w:val="2"/>
            <w:tabs>
              <w:tab w:val="right" w:leader="dot" w:pos="8296"/>
            </w:tabs>
            <w:rPr>
              <w:rFonts w:eastAsiaTheme="minorEastAsia"/>
              <w:noProof/>
              <w:szCs w:val="22"/>
            </w:rPr>
          </w:pPr>
          <w:hyperlink w:anchor="_Toc133581060" w:history="1">
            <w:r w:rsidRPr="00C77644">
              <w:rPr>
                <w:rStyle w:val="a7"/>
                <w:rFonts w:ascii="楷体" w:eastAsia="楷体" w:hAnsi="楷体"/>
                <w:b/>
                <w:noProof/>
              </w:rPr>
              <w:t>郑棉：出口数据较好，美棉反弹。郑棉偏强震荡，空单持有或观望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358103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3581033"/>
      <w:bookmarkEnd w:id="3"/>
      <w:r>
        <w:rPr>
          <w:rFonts w:ascii="Times New Roman" w:eastAsia="楷体" w:hAnsi="Times New Roman" w:hint="eastAsia"/>
          <w:b/>
          <w:color w:val="000000" w:themeColor="text1"/>
          <w:sz w:val="24"/>
          <w:szCs w:val="24"/>
        </w:rPr>
        <w:t>股指：</w:t>
      </w:r>
      <w:bookmarkEnd w:id="5"/>
      <w:bookmarkEnd w:id="6"/>
      <w:r w:rsidR="00AC00CF" w:rsidRPr="00AC00CF">
        <w:rPr>
          <w:rFonts w:ascii="Times New Roman" w:eastAsia="楷体" w:hAnsi="Times New Roman" w:hint="eastAsia"/>
          <w:b/>
          <w:color w:val="000000" w:themeColor="text1"/>
          <w:sz w:val="24"/>
          <w:szCs w:val="24"/>
        </w:rPr>
        <w:t>关注企稳后低多机会</w:t>
      </w:r>
      <w:bookmarkEnd w:id="7"/>
    </w:p>
    <w:p w:rsidR="003F56A5" w:rsidRDefault="00AC00CF">
      <w:pPr>
        <w:ind w:leftChars="300" w:left="630"/>
        <w:rPr>
          <w:rFonts w:ascii="Times New Roman" w:eastAsia="楷体" w:hAnsi="Times New Roman"/>
          <w:color w:val="000000" w:themeColor="text1"/>
          <w:sz w:val="24"/>
          <w:szCs w:val="24"/>
        </w:rPr>
      </w:pPr>
      <w:r w:rsidRPr="00AC00CF">
        <w:rPr>
          <w:rFonts w:ascii="Times New Roman" w:eastAsia="楷体" w:hAnsi="Times New Roman" w:hint="eastAsia"/>
          <w:color w:val="000000" w:themeColor="text1"/>
          <w:sz w:val="24"/>
          <w:szCs w:val="24"/>
        </w:rPr>
        <w:t>存量市下关注事件落地对于情绪的催化，一是月末会议是国内政策力度的观察窗口，二是</w:t>
      </w:r>
      <w:r w:rsidRPr="00AC00CF">
        <w:rPr>
          <w:rFonts w:ascii="Times New Roman" w:eastAsia="楷体" w:hAnsi="Times New Roman" w:hint="eastAsia"/>
          <w:color w:val="000000" w:themeColor="text1"/>
          <w:sz w:val="24"/>
          <w:szCs w:val="24"/>
        </w:rPr>
        <w:t>5</w:t>
      </w:r>
      <w:r w:rsidRPr="00AC00CF">
        <w:rPr>
          <w:rFonts w:ascii="Times New Roman" w:eastAsia="楷体" w:hAnsi="Times New Roman" w:hint="eastAsia"/>
          <w:color w:val="000000" w:themeColor="text1"/>
          <w:sz w:val="24"/>
          <w:szCs w:val="24"/>
        </w:rPr>
        <w:t>月美联储议息会议政策信号对海外流动性环境预期的影响，若情绪企稳则低位布局</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358103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3581035"/>
      <w:r>
        <w:rPr>
          <w:rFonts w:ascii="Times New Roman" w:eastAsia="楷体" w:hAnsi="Times New Roman" w:hint="eastAsia"/>
          <w:b/>
          <w:color w:val="000000" w:themeColor="text1"/>
          <w:sz w:val="24"/>
          <w:szCs w:val="24"/>
        </w:rPr>
        <w:t>贵金属：</w:t>
      </w:r>
      <w:r w:rsidR="00AC00CF" w:rsidRPr="00AC00CF">
        <w:rPr>
          <w:rFonts w:ascii="Times New Roman" w:eastAsia="楷体" w:hAnsi="Times New Roman" w:hint="eastAsia"/>
          <w:b/>
          <w:color w:val="000000" w:themeColor="text1"/>
          <w:sz w:val="24"/>
          <w:szCs w:val="24"/>
        </w:rPr>
        <w:t>静待美联储议息决议，沪金窄幅震荡</w:t>
      </w:r>
      <w:bookmarkEnd w:id="9"/>
    </w:p>
    <w:p w:rsidR="003F56A5" w:rsidRDefault="00AC00CF">
      <w:pPr>
        <w:ind w:leftChars="300" w:left="630"/>
        <w:rPr>
          <w:rFonts w:ascii="Times New Roman" w:eastAsia="楷体" w:hAnsi="Times New Roman"/>
          <w:sz w:val="24"/>
          <w:szCs w:val="24"/>
        </w:rPr>
      </w:pPr>
      <w:r w:rsidRPr="00AC00CF">
        <w:rPr>
          <w:rFonts w:ascii="Times New Roman" w:eastAsia="楷体" w:hAnsi="Times New Roman" w:hint="eastAsia"/>
          <w:color w:val="000000" w:themeColor="text1"/>
          <w:sz w:val="24"/>
          <w:szCs w:val="24"/>
        </w:rPr>
        <w:t>美国第一季度实际</w:t>
      </w:r>
      <w:r w:rsidRPr="00AC00CF">
        <w:rPr>
          <w:rFonts w:ascii="Times New Roman" w:eastAsia="楷体" w:hAnsi="Times New Roman" w:hint="eastAsia"/>
          <w:color w:val="000000" w:themeColor="text1"/>
          <w:sz w:val="24"/>
          <w:szCs w:val="24"/>
        </w:rPr>
        <w:t>GDP</w:t>
      </w:r>
      <w:r w:rsidRPr="00AC00CF">
        <w:rPr>
          <w:rFonts w:ascii="Times New Roman" w:eastAsia="楷体" w:hAnsi="Times New Roman" w:hint="eastAsia"/>
          <w:color w:val="000000" w:themeColor="text1"/>
          <w:sz w:val="24"/>
          <w:szCs w:val="24"/>
        </w:rPr>
        <w:t>年化季率初值录得</w:t>
      </w:r>
      <w:r w:rsidRPr="00AC00CF">
        <w:rPr>
          <w:rFonts w:ascii="Times New Roman" w:eastAsia="楷体" w:hAnsi="Times New Roman" w:hint="eastAsia"/>
          <w:color w:val="000000" w:themeColor="text1"/>
          <w:sz w:val="24"/>
          <w:szCs w:val="24"/>
        </w:rPr>
        <w:t>1.1%</w:t>
      </w:r>
      <w:r w:rsidRPr="00AC00CF">
        <w:rPr>
          <w:rFonts w:ascii="Times New Roman" w:eastAsia="楷体" w:hAnsi="Times New Roman" w:hint="eastAsia"/>
          <w:color w:val="000000" w:themeColor="text1"/>
          <w:sz w:val="24"/>
          <w:szCs w:val="24"/>
        </w:rPr>
        <w:t>，低于前值及预期。一季度美国核心</w:t>
      </w:r>
      <w:r w:rsidRPr="00AC00CF">
        <w:rPr>
          <w:rFonts w:ascii="Times New Roman" w:eastAsia="楷体" w:hAnsi="Times New Roman" w:hint="eastAsia"/>
          <w:color w:val="000000" w:themeColor="text1"/>
          <w:sz w:val="24"/>
          <w:szCs w:val="24"/>
        </w:rPr>
        <w:t>PCE</w:t>
      </w:r>
      <w:r w:rsidRPr="00AC00CF">
        <w:rPr>
          <w:rFonts w:ascii="Times New Roman" w:eastAsia="楷体" w:hAnsi="Times New Roman" w:hint="eastAsia"/>
          <w:color w:val="000000" w:themeColor="text1"/>
          <w:sz w:val="24"/>
          <w:szCs w:val="24"/>
        </w:rPr>
        <w:t>通胀指数年化季率初值为</w:t>
      </w:r>
      <w:r w:rsidRPr="00AC00CF">
        <w:rPr>
          <w:rFonts w:ascii="Times New Roman" w:eastAsia="楷体" w:hAnsi="Times New Roman" w:hint="eastAsia"/>
          <w:color w:val="000000" w:themeColor="text1"/>
          <w:sz w:val="24"/>
          <w:szCs w:val="24"/>
        </w:rPr>
        <w:t>4.9%</w:t>
      </w:r>
      <w:r w:rsidRPr="00AC00CF">
        <w:rPr>
          <w:rFonts w:ascii="Times New Roman" w:eastAsia="楷体" w:hAnsi="Times New Roman" w:hint="eastAsia"/>
          <w:color w:val="000000" w:themeColor="text1"/>
          <w:sz w:val="24"/>
          <w:szCs w:val="24"/>
        </w:rPr>
        <w:t>，略高于预期。欧元区</w:t>
      </w:r>
      <w:r w:rsidRPr="00AC00CF">
        <w:rPr>
          <w:rFonts w:ascii="Times New Roman" w:eastAsia="楷体" w:hAnsi="Times New Roman" w:hint="eastAsia"/>
          <w:color w:val="000000" w:themeColor="text1"/>
          <w:sz w:val="24"/>
          <w:szCs w:val="24"/>
        </w:rPr>
        <w:t>3</w:t>
      </w:r>
      <w:r w:rsidRPr="00AC00CF">
        <w:rPr>
          <w:rFonts w:ascii="Times New Roman" w:eastAsia="楷体" w:hAnsi="Times New Roman" w:hint="eastAsia"/>
          <w:color w:val="000000" w:themeColor="text1"/>
          <w:sz w:val="24"/>
          <w:szCs w:val="24"/>
        </w:rPr>
        <w:t>月经济景气指数录得</w:t>
      </w:r>
      <w:r w:rsidRPr="00AC00CF">
        <w:rPr>
          <w:rFonts w:ascii="Times New Roman" w:eastAsia="楷体" w:hAnsi="Times New Roman" w:hint="eastAsia"/>
          <w:color w:val="000000" w:themeColor="text1"/>
          <w:sz w:val="24"/>
          <w:szCs w:val="24"/>
        </w:rPr>
        <w:t>99.3</w:t>
      </w:r>
      <w:r w:rsidRPr="00AC00CF">
        <w:rPr>
          <w:rFonts w:ascii="Times New Roman" w:eastAsia="楷体" w:hAnsi="Times New Roman" w:hint="eastAsia"/>
          <w:color w:val="000000" w:themeColor="text1"/>
          <w:sz w:val="24"/>
          <w:szCs w:val="24"/>
        </w:rPr>
        <w:t>，略低于此前预期。隔夜沪金小幅低开后维持窄幅震荡，沪银夜盘盘初跌</w:t>
      </w:r>
      <w:r w:rsidRPr="00AC00CF">
        <w:rPr>
          <w:rFonts w:ascii="Times New Roman" w:eastAsia="楷体" w:hAnsi="Times New Roman" w:hint="eastAsia"/>
          <w:color w:val="000000" w:themeColor="text1"/>
          <w:sz w:val="24"/>
          <w:szCs w:val="24"/>
        </w:rPr>
        <w:t>1%</w:t>
      </w:r>
      <w:r w:rsidRPr="00AC00CF">
        <w:rPr>
          <w:rFonts w:ascii="Times New Roman" w:eastAsia="楷体" w:hAnsi="Times New Roman" w:hint="eastAsia"/>
          <w:color w:val="000000" w:themeColor="text1"/>
          <w:sz w:val="24"/>
          <w:szCs w:val="24"/>
        </w:rPr>
        <w:t>后反弹收复过半跌幅。下周美联储将召开</w:t>
      </w:r>
      <w:r w:rsidRPr="00AC00CF">
        <w:rPr>
          <w:rFonts w:ascii="Times New Roman" w:eastAsia="楷体" w:hAnsi="Times New Roman" w:hint="eastAsia"/>
          <w:color w:val="000000" w:themeColor="text1"/>
          <w:sz w:val="24"/>
          <w:szCs w:val="24"/>
        </w:rPr>
        <w:t>5</w:t>
      </w:r>
      <w:r w:rsidRPr="00AC00CF">
        <w:rPr>
          <w:rFonts w:ascii="Times New Roman" w:eastAsia="楷体" w:hAnsi="Times New Roman" w:hint="eastAsia"/>
          <w:color w:val="000000" w:themeColor="text1"/>
          <w:sz w:val="24"/>
          <w:szCs w:val="24"/>
        </w:rPr>
        <w:t>月议息会议，重点关注美联储货币政策动向，市场预测本次或将最后加息</w:t>
      </w:r>
      <w:r w:rsidRPr="00AC00CF">
        <w:rPr>
          <w:rFonts w:ascii="Times New Roman" w:eastAsia="楷体" w:hAnsi="Times New Roman" w:hint="eastAsia"/>
          <w:color w:val="000000" w:themeColor="text1"/>
          <w:sz w:val="24"/>
          <w:szCs w:val="24"/>
        </w:rPr>
        <w:t>25bp</w:t>
      </w:r>
      <w:r w:rsidRPr="00AC00CF">
        <w:rPr>
          <w:rFonts w:ascii="Times New Roman" w:eastAsia="楷体" w:hAnsi="Times New Roman" w:hint="eastAsia"/>
          <w:color w:val="000000" w:themeColor="text1"/>
          <w:sz w:val="24"/>
          <w:szCs w:val="24"/>
        </w:rPr>
        <w:t>。阿根廷宣布将停止使用美元来支付从中国进口的商品，转而使用人民币结算。全球去美元化进程推进，此背景下贵金属将持续受益于其固有的货币属性，建议沪金、沪银维持偏多思路</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358103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3581037"/>
      <w:r>
        <w:rPr>
          <w:rFonts w:ascii="楷体" w:eastAsia="楷体" w:hAnsi="楷体" w:hint="eastAsia"/>
          <w:b/>
          <w:color w:val="000000" w:themeColor="text1"/>
          <w:sz w:val="24"/>
          <w:szCs w:val="24"/>
        </w:rPr>
        <w:t>螺纹钢：</w:t>
      </w:r>
      <w:bookmarkEnd w:id="15"/>
      <w:bookmarkEnd w:id="16"/>
      <w:r w:rsidR="00291461" w:rsidRPr="00291461">
        <w:rPr>
          <w:rFonts w:ascii="楷体" w:eastAsia="楷体" w:hAnsi="楷体" w:hint="eastAsia"/>
          <w:b/>
          <w:color w:val="000000" w:themeColor="text1"/>
          <w:sz w:val="24"/>
          <w:szCs w:val="24"/>
        </w:rPr>
        <w:t>承压运行，注意节前控制风险</w:t>
      </w:r>
      <w:bookmarkEnd w:id="17"/>
    </w:p>
    <w:p w:rsidR="003F56A5" w:rsidRDefault="00291461">
      <w:pPr>
        <w:ind w:leftChars="300" w:left="630"/>
        <w:rPr>
          <w:rFonts w:ascii="楷体" w:eastAsia="楷体" w:hAnsi="楷体"/>
          <w:color w:val="000000" w:themeColor="text1"/>
          <w:sz w:val="24"/>
          <w:szCs w:val="24"/>
        </w:rPr>
      </w:pPr>
      <w:r w:rsidRPr="00291461">
        <w:rPr>
          <w:rFonts w:ascii="楷体" w:eastAsia="楷体" w:hAnsi="楷体" w:hint="eastAsia"/>
          <w:color w:val="000000" w:themeColor="text1"/>
          <w:sz w:val="24"/>
          <w:szCs w:val="24"/>
        </w:rPr>
        <w:t>需求未有亮点，但减产速度较慢，现实产量压力依旧，节前最后一个交易日波动将放大，建议观望为主，预计震荡区间（3660,3730）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3581038"/>
      <w:r>
        <w:rPr>
          <w:rFonts w:ascii="楷体" w:eastAsia="楷体" w:hAnsi="楷体" w:hint="eastAsia"/>
          <w:b/>
          <w:color w:val="000000" w:themeColor="text1"/>
          <w:sz w:val="24"/>
          <w:szCs w:val="24"/>
        </w:rPr>
        <w:t>焦炭：</w:t>
      </w:r>
      <w:bookmarkEnd w:id="18"/>
      <w:bookmarkEnd w:id="19"/>
      <w:r w:rsidR="00291461" w:rsidRPr="00291461">
        <w:rPr>
          <w:rFonts w:ascii="楷体" w:eastAsia="楷体" w:hAnsi="楷体" w:hint="eastAsia"/>
          <w:b/>
          <w:color w:val="000000" w:themeColor="text1"/>
          <w:sz w:val="24"/>
          <w:szCs w:val="24"/>
        </w:rPr>
        <w:t>现货补跌中，估值过低下观望为主</w:t>
      </w:r>
      <w:bookmarkEnd w:id="20"/>
    </w:p>
    <w:p w:rsidR="003F56A5" w:rsidRDefault="00291461">
      <w:pPr>
        <w:ind w:leftChars="300" w:left="630"/>
        <w:rPr>
          <w:rFonts w:ascii="楷体" w:eastAsia="楷体" w:hAnsi="楷体"/>
          <w:color w:val="000000" w:themeColor="text1"/>
          <w:sz w:val="24"/>
          <w:szCs w:val="24"/>
        </w:rPr>
      </w:pPr>
      <w:r w:rsidRPr="00291461">
        <w:rPr>
          <w:rFonts w:ascii="楷体" w:eastAsia="楷体" w:hAnsi="楷体" w:hint="eastAsia"/>
          <w:color w:val="000000" w:themeColor="text1"/>
          <w:sz w:val="24"/>
          <w:szCs w:val="24"/>
        </w:rPr>
        <w:t>焦炭港口现货价继续下行，五一前补库不及预期，下行趋势不改。建议短期观望为主，焦炭震荡区间（2120，2170）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3581039"/>
      <w:r>
        <w:rPr>
          <w:rFonts w:ascii="楷体" w:eastAsia="楷体" w:hAnsi="楷体" w:hint="eastAsia"/>
          <w:b/>
          <w:color w:val="000000" w:themeColor="text1"/>
          <w:sz w:val="24"/>
          <w:szCs w:val="24"/>
        </w:rPr>
        <w:t>焦煤：</w:t>
      </w:r>
      <w:r w:rsidR="00433C64" w:rsidRPr="00433C64">
        <w:rPr>
          <w:rFonts w:ascii="楷体" w:eastAsia="楷体" w:hAnsi="楷体" w:hint="eastAsia"/>
          <w:b/>
          <w:sz w:val="24"/>
          <w:szCs w:val="24"/>
        </w:rPr>
        <w:t>现货补跌中，估值过低下观望为主</w:t>
      </w:r>
      <w:bookmarkEnd w:id="21"/>
    </w:p>
    <w:p w:rsidR="003F56A5" w:rsidRDefault="00AC00CF">
      <w:pPr>
        <w:ind w:leftChars="300" w:left="630"/>
        <w:rPr>
          <w:rFonts w:ascii="楷体" w:eastAsia="楷体" w:hAnsi="楷体"/>
          <w:bCs/>
          <w:sz w:val="24"/>
          <w:szCs w:val="24"/>
        </w:rPr>
      </w:pPr>
      <w:r w:rsidRPr="00AC00CF">
        <w:rPr>
          <w:rFonts w:ascii="楷体" w:eastAsia="楷体" w:hAnsi="楷体" w:hint="eastAsia"/>
          <w:sz w:val="24"/>
          <w:szCs w:val="24"/>
        </w:rPr>
        <w:t>05合约交割因素压制估值，焦煤进入淡季但动力煤有望进入旺季，09价格被减产预期压制，短期估值处于低位，建议观望为主，预计震荡区间（1350,1420）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3581040"/>
      <w:r>
        <w:rPr>
          <w:rFonts w:ascii="楷体" w:eastAsia="楷体" w:hAnsi="楷体" w:hint="eastAsia"/>
          <w:b/>
          <w:color w:val="000000" w:themeColor="text1"/>
          <w:sz w:val="24"/>
          <w:szCs w:val="24"/>
        </w:rPr>
        <w:t>铜：</w:t>
      </w:r>
      <w:bookmarkEnd w:id="22"/>
      <w:bookmarkEnd w:id="23"/>
      <w:r w:rsidR="00291461" w:rsidRPr="00291461">
        <w:rPr>
          <w:rFonts w:ascii="楷体" w:eastAsia="楷体" w:hAnsi="楷体" w:hint="eastAsia"/>
          <w:b/>
          <w:color w:val="000000" w:themeColor="text1"/>
          <w:sz w:val="24"/>
          <w:szCs w:val="24"/>
        </w:rPr>
        <w:t>海外宏观偏空继续压制铜价，节前建议观望为主</w:t>
      </w:r>
      <w:bookmarkEnd w:id="24"/>
    </w:p>
    <w:p w:rsidR="00291461" w:rsidRPr="00291461" w:rsidRDefault="00291461" w:rsidP="00291461">
      <w:pPr>
        <w:ind w:leftChars="300" w:left="630"/>
        <w:rPr>
          <w:rFonts w:ascii="楷体" w:eastAsia="楷体" w:hAnsi="楷体" w:hint="eastAsia"/>
          <w:color w:val="000000" w:themeColor="text1"/>
          <w:sz w:val="24"/>
          <w:szCs w:val="24"/>
        </w:rPr>
      </w:pPr>
      <w:r w:rsidRPr="00291461">
        <w:rPr>
          <w:rFonts w:ascii="楷体" w:eastAsia="楷体" w:hAnsi="楷体" w:hint="eastAsia"/>
          <w:color w:val="000000" w:themeColor="text1"/>
          <w:sz w:val="24"/>
          <w:szCs w:val="24"/>
        </w:rPr>
        <w:t>(1)宏观：美国商务部经济分析局公布数据显示，美国一季度实际GDP年化季环比初值为1.1%，不仅较前值的2.6%大幅放缓，为连续两个季度放缓，且远不及预期1.9%。</w:t>
      </w:r>
    </w:p>
    <w:p w:rsidR="00291461" w:rsidRPr="00291461" w:rsidRDefault="00291461" w:rsidP="00291461">
      <w:pPr>
        <w:ind w:leftChars="300" w:left="630"/>
        <w:rPr>
          <w:rFonts w:ascii="楷体" w:eastAsia="楷体" w:hAnsi="楷体" w:hint="eastAsia"/>
          <w:color w:val="000000" w:themeColor="text1"/>
          <w:sz w:val="24"/>
          <w:szCs w:val="24"/>
        </w:rPr>
      </w:pPr>
      <w:r w:rsidRPr="00291461">
        <w:rPr>
          <w:rFonts w:ascii="楷体" w:eastAsia="楷体" w:hAnsi="楷体" w:hint="eastAsia"/>
          <w:color w:val="000000" w:themeColor="text1"/>
          <w:sz w:val="24"/>
          <w:szCs w:val="24"/>
        </w:rPr>
        <w:t>(2)库存：4月27日，SHFE仓单那库存59251吨，减425吨。LME仓单库存62675吨，增850吨。</w:t>
      </w:r>
    </w:p>
    <w:p w:rsidR="00291461" w:rsidRPr="00291461" w:rsidRDefault="00291461" w:rsidP="00291461">
      <w:pPr>
        <w:ind w:leftChars="300" w:left="630"/>
        <w:rPr>
          <w:rFonts w:ascii="楷体" w:eastAsia="楷体" w:hAnsi="楷体" w:hint="eastAsia"/>
          <w:color w:val="000000" w:themeColor="text1"/>
          <w:sz w:val="24"/>
          <w:szCs w:val="24"/>
        </w:rPr>
      </w:pPr>
      <w:r w:rsidRPr="00291461">
        <w:rPr>
          <w:rFonts w:ascii="楷体" w:eastAsia="楷体" w:hAnsi="楷体" w:hint="eastAsia"/>
          <w:color w:val="000000" w:themeColor="text1"/>
          <w:sz w:val="24"/>
          <w:szCs w:val="24"/>
        </w:rPr>
        <w:t>(3)精废价差：4月27日，Mysteel精废价差1208，收窄78。目前价差在</w:t>
      </w:r>
      <w:r w:rsidRPr="00291461">
        <w:rPr>
          <w:rFonts w:ascii="楷体" w:eastAsia="楷体" w:hAnsi="楷体" w:hint="eastAsia"/>
          <w:color w:val="000000" w:themeColor="text1"/>
          <w:sz w:val="24"/>
          <w:szCs w:val="24"/>
        </w:rPr>
        <w:lastRenderedPageBreak/>
        <w:t>合理价差1366之下。</w:t>
      </w:r>
    </w:p>
    <w:p w:rsidR="00291461" w:rsidRPr="00291461" w:rsidRDefault="00291461" w:rsidP="00291461">
      <w:pPr>
        <w:ind w:leftChars="300" w:left="630"/>
        <w:rPr>
          <w:rFonts w:ascii="楷体" w:eastAsia="楷体" w:hAnsi="楷体"/>
          <w:color w:val="000000" w:themeColor="text1"/>
          <w:sz w:val="24"/>
          <w:szCs w:val="24"/>
        </w:rPr>
      </w:pPr>
    </w:p>
    <w:p w:rsidR="00A71A7E" w:rsidRPr="00A71A7E" w:rsidRDefault="00291461" w:rsidP="00291461">
      <w:pPr>
        <w:ind w:leftChars="300" w:left="630"/>
        <w:rPr>
          <w:rFonts w:ascii="楷体" w:eastAsia="楷体" w:hAnsi="楷体"/>
          <w:color w:val="000000" w:themeColor="text1"/>
          <w:sz w:val="24"/>
          <w:szCs w:val="24"/>
        </w:rPr>
      </w:pPr>
      <w:r w:rsidRPr="00291461">
        <w:rPr>
          <w:rFonts w:ascii="楷体" w:eastAsia="楷体" w:hAnsi="楷体" w:hint="eastAsia"/>
          <w:color w:val="000000" w:themeColor="text1"/>
          <w:sz w:val="24"/>
          <w:szCs w:val="24"/>
        </w:rPr>
        <w:t>综述：美国第一季度经济增长放缓速度超过预期。此外，美联储高度关注的通胀指标--剔除食品和能源的核心PCE物价指数环比上升4.9%，超过预期的4.7%。海外整体宏观情绪仍偏空，经济增长放缓叠加银行业及美债风险尚未消除，铜价受金融属性影响承压运行。临近五一长假，受内外盘联动影响，为控制风险操作上建议观望为主</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3581041"/>
      <w:r>
        <w:rPr>
          <w:rFonts w:ascii="楷体" w:eastAsia="楷体" w:hAnsi="楷体" w:hint="eastAsia"/>
          <w:b/>
          <w:color w:val="000000" w:themeColor="text1"/>
          <w:sz w:val="24"/>
          <w:szCs w:val="24"/>
        </w:rPr>
        <w:t>铝：</w:t>
      </w:r>
      <w:bookmarkEnd w:id="25"/>
      <w:bookmarkEnd w:id="26"/>
      <w:r w:rsidR="00291461" w:rsidRPr="00291461">
        <w:rPr>
          <w:rFonts w:ascii="楷体" w:eastAsia="楷体" w:hAnsi="楷体" w:hint="eastAsia"/>
          <w:b/>
          <w:color w:val="000000" w:themeColor="text1"/>
          <w:sz w:val="24"/>
          <w:szCs w:val="24"/>
        </w:rPr>
        <w:t>铝价上方有压力，建议逢高布空</w:t>
      </w:r>
      <w:bookmarkEnd w:id="27"/>
    </w:p>
    <w:p w:rsidR="003F56A5" w:rsidRDefault="00291461" w:rsidP="00CF7A9A">
      <w:pPr>
        <w:ind w:leftChars="300" w:left="630"/>
        <w:rPr>
          <w:rFonts w:ascii="楷体" w:eastAsia="楷体" w:hAnsi="楷体"/>
          <w:color w:val="000000" w:themeColor="text1"/>
          <w:sz w:val="24"/>
          <w:szCs w:val="24"/>
        </w:rPr>
      </w:pPr>
      <w:r w:rsidRPr="00291461">
        <w:rPr>
          <w:rFonts w:ascii="楷体" w:eastAsia="楷体" w:hAnsi="楷体" w:hint="eastAsia"/>
          <w:color w:val="000000" w:themeColor="text1"/>
          <w:sz w:val="24"/>
          <w:szCs w:val="24"/>
        </w:rPr>
        <w:t>美国一季度经济增长不及预期，美国PCE数据环比走增超出预期，海外市场通胀与衰退并存，宏观情绪偏空。海外供应在天然气电价走弱的情况下有复产预期，短期内完成复产可能性较小，国内一季度电解铝供应稳中走强，铝水比例走增，铝锭压铸减少，电解铝利润走阔刺激冶炼生产。西南、西北地区限电再度受扰，云南深度干旱、青海用电负荷管理影响当地电解铝产能运行，供应端放量受限，社库维持去库，下游海外消费疲弱，内需处于季节性旺季。短期铝价仍有支撑，后续观望国内限电影响及消费步入淡季市场的变化情况，铝价上方空间实际有限，偏弱震荡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3581042"/>
      <w:r>
        <w:rPr>
          <w:rFonts w:ascii="楷体" w:eastAsia="楷体" w:hAnsi="楷体" w:hint="eastAsia"/>
          <w:b/>
          <w:color w:val="000000" w:themeColor="text1"/>
          <w:sz w:val="24"/>
          <w:szCs w:val="24"/>
        </w:rPr>
        <w:t>锌：</w:t>
      </w:r>
      <w:r w:rsidR="00AC00CF" w:rsidRPr="00AC00CF">
        <w:rPr>
          <w:rFonts w:ascii="楷体" w:eastAsia="楷体" w:hAnsi="楷体" w:hint="eastAsia"/>
          <w:b/>
          <w:color w:val="000000" w:themeColor="text1"/>
          <w:sz w:val="24"/>
          <w:szCs w:val="24"/>
        </w:rPr>
        <w:t>宏观及基本面影响偏空，锌价承压下行</w:t>
      </w:r>
      <w:bookmarkEnd w:id="28"/>
    </w:p>
    <w:p w:rsidR="003F56A5" w:rsidRDefault="00AC00CF" w:rsidP="000B0648">
      <w:pPr>
        <w:ind w:leftChars="300" w:left="630"/>
        <w:rPr>
          <w:rFonts w:ascii="楷体" w:eastAsia="楷体" w:hAnsi="楷体"/>
          <w:color w:val="000000" w:themeColor="text1"/>
          <w:sz w:val="24"/>
          <w:szCs w:val="24"/>
        </w:rPr>
      </w:pPr>
      <w:r w:rsidRPr="00AC00CF">
        <w:rPr>
          <w:rFonts w:ascii="楷体" w:eastAsia="楷体" w:hAnsi="楷体" w:hint="eastAsia"/>
          <w:color w:val="000000" w:themeColor="text1"/>
          <w:sz w:val="24"/>
          <w:szCs w:val="24"/>
        </w:rPr>
        <w:t>美国一季度经济增长数据不及市场预期表现，联储加息仍在路上，海外经济压力走增，市场情绪偏空。基本面来看，欧洲部分炼厂宣布复产但整体复产节奏偏缓，锌精矿供应宽松，国内冶炼加工费持续走低但仍位于历史高位，冶炼厂生产积极性仍存，国内精锌产量同比走增，炼厂基本满负荷生产。需求整体维持刚需，镀锌开工周度环比走弱，市场订单平淡，海内外库存低位去库。锌价短期有支撑，基本面表现供强需弱，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3581043"/>
      <w:r>
        <w:rPr>
          <w:rFonts w:ascii="楷体" w:eastAsia="楷体" w:hAnsi="楷体" w:hint="eastAsia"/>
          <w:b/>
          <w:color w:val="000000" w:themeColor="text1"/>
          <w:sz w:val="24"/>
          <w:szCs w:val="24"/>
        </w:rPr>
        <w:t>镍：</w:t>
      </w:r>
      <w:r w:rsidR="00291461" w:rsidRPr="00291461">
        <w:rPr>
          <w:rFonts w:ascii="楷体" w:eastAsia="楷体" w:hAnsi="楷体" w:hint="eastAsia"/>
          <w:b/>
          <w:color w:val="000000" w:themeColor="text1"/>
          <w:sz w:val="24"/>
          <w:szCs w:val="24"/>
        </w:rPr>
        <w:t>供应预期施压，逢高空思路不变</w:t>
      </w:r>
      <w:bookmarkEnd w:id="29"/>
    </w:p>
    <w:p w:rsidR="003F56A5" w:rsidRDefault="00291461">
      <w:pPr>
        <w:ind w:leftChars="300" w:left="630"/>
        <w:rPr>
          <w:rFonts w:ascii="楷体" w:eastAsia="楷体" w:hAnsi="楷体"/>
          <w:color w:val="000000" w:themeColor="text1"/>
          <w:sz w:val="24"/>
          <w:szCs w:val="24"/>
        </w:rPr>
      </w:pPr>
      <w:r w:rsidRPr="00291461">
        <w:rPr>
          <w:rFonts w:ascii="楷体" w:eastAsia="楷体" w:hAnsi="楷体" w:hint="eastAsia"/>
          <w:color w:val="000000" w:themeColor="text1"/>
          <w:sz w:val="24"/>
          <w:szCs w:val="24"/>
        </w:rPr>
        <w:t>目前镍市场供应预期有增量，电积镍逐渐修复，SMM预计4月全国精炼镍产量为1.80万吨，环比增2.27%，同比增39.21%。叠加二季度新产能落地，预计供应缺口收窄，镍价下行趋势不变。但当下纯镍低库存依旧保持去化，交割品问题暂时未解决，软逼仓风险仍存。从交易角度，我们建议寻找相对高估值逢高空机会</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358104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AC00CF" w:rsidRPr="00AC00CF">
        <w:rPr>
          <w:rFonts w:ascii="楷体" w:eastAsia="楷体" w:hAnsi="楷体" w:hint="eastAsia"/>
          <w:b/>
          <w:color w:val="000000" w:themeColor="text1"/>
          <w:sz w:val="24"/>
          <w:szCs w:val="24"/>
        </w:rPr>
        <w:t>淡季之下铅价维持震荡</w:t>
      </w:r>
      <w:bookmarkEnd w:id="30"/>
    </w:p>
    <w:p w:rsidR="008B13D2" w:rsidRPr="008B13D2" w:rsidRDefault="00AC00CF" w:rsidP="008B13D2">
      <w:pPr>
        <w:ind w:leftChars="300" w:left="630"/>
        <w:rPr>
          <w:rFonts w:ascii="楷体" w:eastAsia="楷体" w:hAnsi="楷体"/>
          <w:color w:val="000000" w:themeColor="text1"/>
          <w:sz w:val="24"/>
          <w:szCs w:val="24"/>
        </w:rPr>
      </w:pPr>
      <w:r w:rsidRPr="00AC00CF">
        <w:rPr>
          <w:rFonts w:ascii="楷体" w:eastAsia="楷体" w:hAnsi="楷体" w:hint="eastAsia"/>
          <w:color w:val="000000" w:themeColor="text1"/>
          <w:sz w:val="24"/>
          <w:szCs w:val="24"/>
        </w:rPr>
        <w:t>欧美加息态度偏鹰，美国一季度经济数据表现偏弱，海外经济衰退风险走增。铅精矿价格走升，港口库存增加，原生铅炼厂淡季之下订单较少，原生铅产量走低，产能开工率下跌，再生铅炼厂开工率持续回落，部分新产检修，再生铅利润走缩影响生产积极性，下游需求维持，铅蓄电池开工率周度环比持平，下游逢低入市拿货补库，海外库存去库，国内库存走增，显性库存维持低位。多空交织之下，铅价震荡为主，波动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3581045"/>
      <w:r>
        <w:rPr>
          <w:rFonts w:ascii="楷体" w:eastAsia="楷体" w:hAnsi="楷体" w:hint="eastAsia"/>
          <w:b/>
          <w:color w:val="000000" w:themeColor="text1"/>
          <w:sz w:val="24"/>
          <w:szCs w:val="24"/>
        </w:rPr>
        <w:t>不锈钢：</w:t>
      </w:r>
      <w:r w:rsidR="00920372" w:rsidRPr="00920372">
        <w:rPr>
          <w:rFonts w:ascii="楷体" w:eastAsia="楷体" w:hAnsi="楷体" w:hint="eastAsia"/>
          <w:b/>
          <w:color w:val="000000" w:themeColor="text1"/>
          <w:sz w:val="24"/>
          <w:szCs w:val="24"/>
        </w:rPr>
        <w:t>短期区间震荡为主</w:t>
      </w:r>
      <w:bookmarkEnd w:id="31"/>
    </w:p>
    <w:p w:rsidR="003F56A5" w:rsidRDefault="00920372">
      <w:pPr>
        <w:ind w:leftChars="300" w:left="630"/>
        <w:rPr>
          <w:rFonts w:ascii="楷体" w:eastAsia="楷体" w:hAnsi="楷体"/>
          <w:color w:val="000000" w:themeColor="text1"/>
          <w:sz w:val="24"/>
          <w:szCs w:val="24"/>
        </w:rPr>
      </w:pPr>
      <w:r w:rsidRPr="00920372">
        <w:rPr>
          <w:rFonts w:ascii="楷体" w:eastAsia="楷体" w:hAnsi="楷体" w:hint="eastAsia"/>
          <w:color w:val="000000" w:themeColor="text1"/>
          <w:sz w:val="24"/>
          <w:szCs w:val="24"/>
        </w:rPr>
        <w:t>不锈钢社会库存延续明显去化态势，但价格反弹后钢厂利润明显修复导致</w:t>
      </w:r>
      <w:r w:rsidRPr="00920372">
        <w:rPr>
          <w:rFonts w:ascii="楷体" w:eastAsia="楷体" w:hAnsi="楷体" w:hint="eastAsia"/>
          <w:color w:val="000000" w:themeColor="text1"/>
          <w:sz w:val="24"/>
          <w:szCs w:val="24"/>
        </w:rPr>
        <w:lastRenderedPageBreak/>
        <w:t>增产意愿增加，供应端预期压力对价格形成压制，且周边金属市场整体偏弱给价格亦带来一定负面影响。原料镍铁价格暂稳于1100元/镍点，镍铁供应过剩下价格压力暂未完全解除。短期价格上下空间或均有限，参考14800-15500。操作上，短线多单继续持有</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3581046"/>
      <w:r>
        <w:rPr>
          <w:rFonts w:ascii="楷体" w:eastAsia="楷体" w:hAnsi="楷体" w:hint="eastAsia"/>
          <w:b/>
          <w:color w:val="000000" w:themeColor="text1"/>
          <w:sz w:val="24"/>
          <w:szCs w:val="24"/>
        </w:rPr>
        <w:t>工业硅：</w:t>
      </w:r>
      <w:r w:rsidR="00291461" w:rsidRPr="00291461">
        <w:rPr>
          <w:rFonts w:ascii="楷体" w:eastAsia="楷体" w:hAnsi="楷体" w:hint="eastAsia"/>
          <w:b/>
          <w:sz w:val="24"/>
          <w:szCs w:val="24"/>
        </w:rPr>
        <w:t>需求无改善，压制盘面反弹</w:t>
      </w:r>
      <w:bookmarkEnd w:id="32"/>
    </w:p>
    <w:p w:rsidR="003F56A5" w:rsidRDefault="00291461" w:rsidP="007103A5">
      <w:pPr>
        <w:ind w:leftChars="300" w:left="630"/>
        <w:rPr>
          <w:rFonts w:ascii="楷体" w:eastAsia="楷体" w:hAnsi="楷体"/>
          <w:sz w:val="24"/>
          <w:szCs w:val="24"/>
        </w:rPr>
      </w:pPr>
      <w:r w:rsidRPr="00291461">
        <w:rPr>
          <w:rFonts w:ascii="楷体" w:eastAsia="楷体" w:hAnsi="楷体" w:hint="eastAsia"/>
          <w:sz w:val="24"/>
          <w:szCs w:val="24"/>
        </w:rPr>
        <w:t>4月27日，Si2308主力合约呈下行走势，收盘价15175元/吨，较上一收盘价涨跌幅-0.98%。下游分行业来看，铝合金方面，开工率基本维持稳定，节前备货心态略有不足，对工业硅按需采购;有机硅方面，单体企业行业开工率基本稳定，DMC价格暂稳在14800-15500元/吨附近低位运行，5月份部分单体产能结束检修恢复生产，行业开工水平或小幅提升;多晶硅方面，开工率维持高位，招标陆续结束，磨粉企业多按需采购心态。整体来看，需求较难明显改善，仍是压制市场反弹的主导因素，建议逢高可布短空</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358104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358104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291461" w:rsidRPr="00291461">
        <w:rPr>
          <w:rFonts w:ascii="楷体" w:eastAsia="楷体" w:hAnsi="楷体" w:hint="eastAsia"/>
          <w:b/>
          <w:sz w:val="24"/>
          <w:szCs w:val="24"/>
        </w:rPr>
        <w:t>节前累库严重 RU快速回落</w:t>
      </w:r>
      <w:bookmarkEnd w:id="35"/>
    </w:p>
    <w:p w:rsidR="003F56A5" w:rsidRDefault="00291461">
      <w:pPr>
        <w:ind w:leftChars="300" w:left="630"/>
        <w:rPr>
          <w:rFonts w:ascii="楷体" w:eastAsia="楷体" w:hAnsi="楷体"/>
          <w:sz w:val="24"/>
          <w:szCs w:val="24"/>
        </w:rPr>
      </w:pPr>
      <w:r w:rsidRPr="00291461">
        <w:rPr>
          <w:rFonts w:ascii="楷体" w:eastAsia="楷体" w:hAnsi="楷体" w:hint="eastAsia"/>
          <w:sz w:val="24"/>
          <w:szCs w:val="24"/>
        </w:rPr>
        <w:t>点评：近期橡胶在冲高后回落。早前橡胶回暖，与云南产区受干旱和白粉病影响或将大幅减产有关，但因我国橡胶产量占全球不足10%，云南减产的扰动影响或有限，因此胶价上行的持续性仍有待观察。当前制约RU价格上行的主要矛盾还是港口库存的高企，因我国橡胶消费主要依赖进口，港口库存屡创新高也就证实了下游需求并未出现实质性的拐点和利好。橡胶其余基本面来看，供应端，近期国内外产区干旱，云南地区更是有白粉病的问题，原料价格窄幅走高，同时短时供应难有新增，为原料上涨提供主要助推。泰国宋卡原料价格基本与当前胶价持平，成本端支撑强劲。橡胶下游轮胎节前开工小幅回落。终端汽车方面，尽管Q1汽车产销累计同比出现下滑，但并不算太差，而重卡销量景气度逐步转好，扭转此前21个月连续同比下滑的情况，进而推动橡胶用量最大的下游全钢胎的生产，所以橡胶价格在下游和终端支撑下，下行空间有限。出口方面，Q1轮胎累计出口量同比微幅回升，前期对海外市场经济衰退和轮胎消费疲软的预期被证实过度悲观。综合来看，目前橡胶除了港口库存累库这一历史性难题利空外，其余基本面情况尚属良好，后期只要港口库存能得到抑制，甚至不需要出现明显拐点，胶价二季度都会探底回升。短时天胶市场在库存高位累库下上涨空间有限，或低位震荡整理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358104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AC00CF" w:rsidRPr="00AC00CF">
        <w:rPr>
          <w:rFonts w:ascii="楷体" w:eastAsia="楷体" w:hAnsi="楷体" w:hint="eastAsia"/>
          <w:b/>
          <w:color w:val="000000" w:themeColor="text1"/>
          <w:sz w:val="24"/>
          <w:szCs w:val="24"/>
        </w:rPr>
        <w:t>油价走弱成本端支撑不足等待企稳</w:t>
      </w:r>
      <w:bookmarkEnd w:id="36"/>
      <w:r>
        <w:rPr>
          <w:rFonts w:ascii="楷体" w:eastAsia="楷体" w:hAnsi="楷体" w:hint="eastAsia"/>
          <w:b/>
          <w:color w:val="000000" w:themeColor="text1"/>
          <w:sz w:val="24"/>
          <w:szCs w:val="24"/>
        </w:rPr>
        <w:t xml:space="preserve"> </w:t>
      </w:r>
    </w:p>
    <w:p w:rsidR="003F56A5" w:rsidRDefault="00AC00CF" w:rsidP="008E3B84">
      <w:pPr>
        <w:ind w:leftChars="300" w:left="630"/>
        <w:rPr>
          <w:rFonts w:ascii="楷体" w:eastAsia="楷体" w:hAnsi="楷体"/>
          <w:color w:val="000000" w:themeColor="text1"/>
          <w:sz w:val="24"/>
          <w:szCs w:val="24"/>
        </w:rPr>
      </w:pPr>
      <w:r w:rsidRPr="00AC00CF">
        <w:rPr>
          <w:rFonts w:ascii="楷体" w:eastAsia="楷体" w:hAnsi="楷体" w:hint="eastAsia"/>
          <w:color w:val="000000" w:themeColor="text1"/>
          <w:sz w:val="24"/>
          <w:szCs w:val="24"/>
        </w:rPr>
        <w:t>宏观层面短线金融市场避险情绪缓解，下跌压力减轻。从5月开始产油国大规模减产仍支撑市场，原油盘面受基本面结构支撑有再度走强的驱动。当下PX检修集中季，PX负荷偏低，市场仍交易美出行高峰带动的汽油需求上升对PX的影响。供给方面，本周PTA装置基本无变化，蓬威90万吨PTA装置目前停车中，至 4.27 PTA负荷调整至80.9%。嘉通能源二期250万吨PTA装置试车中，预计月底出产品。PTA新增投产叠加存量装置负荷上调，供应整体增量明显。库存方面，本周PTA社会库存量约在269.75万</w:t>
      </w:r>
      <w:r w:rsidRPr="00AC00CF">
        <w:rPr>
          <w:rFonts w:ascii="楷体" w:eastAsia="楷体" w:hAnsi="楷体" w:hint="eastAsia"/>
          <w:color w:val="000000" w:themeColor="text1"/>
          <w:sz w:val="24"/>
          <w:szCs w:val="24"/>
        </w:rPr>
        <w:lastRenderedPageBreak/>
        <w:t>吨，环比+6.32万吨。需求方面，本周聚酯减产检修装置继续增多，聚酯综合负荷再度下滑，其中部分工厂减产规划较多，近期在陆续兑现中。截至4.27，初步核算国内大陆地区聚酯负荷在85.9%（-1.5%）。展望后市，若聚酯没有超预期减产则总体刚需下滑有限。短期PTA底部支撑仍存，进一步下跌空间有限。PTA等待企稳，暂时观望。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358105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3581051"/>
      <w:r>
        <w:rPr>
          <w:rFonts w:ascii="楷体" w:eastAsia="楷体" w:hAnsi="楷体" w:hint="eastAsia"/>
          <w:b/>
          <w:color w:val="000000" w:themeColor="text1"/>
          <w:sz w:val="24"/>
          <w:szCs w:val="24"/>
        </w:rPr>
        <w:t>聚烯烃：</w:t>
      </w:r>
      <w:r w:rsidR="00920372" w:rsidRPr="00920372">
        <w:rPr>
          <w:rFonts w:ascii="楷体" w:eastAsia="楷体" w:hAnsi="楷体" w:hint="eastAsia"/>
          <w:b/>
          <w:color w:val="000000" w:themeColor="text1"/>
          <w:sz w:val="24"/>
          <w:szCs w:val="24"/>
        </w:rPr>
        <w:t>节前下游采购意愿不佳原油成本端回落 聚烯烃或窄幅回落</w:t>
      </w:r>
      <w:bookmarkEnd w:id="38"/>
    </w:p>
    <w:p w:rsidR="003F56A5" w:rsidRDefault="00920372">
      <w:pPr>
        <w:ind w:leftChars="300" w:left="630"/>
        <w:rPr>
          <w:rFonts w:ascii="楷体" w:eastAsia="楷体" w:hAnsi="楷体"/>
          <w:bCs/>
          <w:sz w:val="24"/>
          <w:szCs w:val="24"/>
        </w:rPr>
      </w:pPr>
      <w:r w:rsidRPr="00920372">
        <w:rPr>
          <w:rFonts w:ascii="楷体" w:eastAsia="楷体" w:hAnsi="楷体" w:hint="eastAsia"/>
          <w:color w:val="000000" w:themeColor="text1"/>
          <w:sz w:val="24"/>
          <w:szCs w:val="24"/>
        </w:rPr>
        <w:t>近期聚烯烃窄幅上涨。库存方面，上周五国内国内PE库存环比4月14日下降2.58%，其中主要生产环节PE库存环比下降4.92%，PE样本港口库存环比下降1.44%，样本贸易企业库存环比增加0.65%。上周五国内PP库存环比4月14日下跌5.59%。其中主要生产环节PP库存、贸易环节库存、港口库存均有下降。成本方面，尽管美国原油库存下降幅度超过预期，但对美国这个世界最大经济体衰退担忧加剧， 国际油价继续大幅度下跌近4%。目前油制PE利润大约为-44元/吨，油制PP利润大约为-676.78元/吨，目前利润有所下降；需求方面，PE下游方面，原料端今日原油价格上涨，为聚乙烯成本面提供支撑；供应方面，国内装置检修变化不大，供应压力仍存；需求方面，农膜开工下滑明显，下游工厂对高价抵触明显，农膜企业对PE价格提振有限。综合来看，预计聚乙烯市场价格或维持震荡运行为主。PP下游方面，BOPP市场成交刚需有量，整体量较上一交易日增加，BOPP企业未交付订单多数在一周以内，个别可至4月底。综合来看，PE方面，原油走势延续回落，聚乙烯成本面支撑有所减弱；供应方面，国内检修装置多为近期重启，新增检修减少，供应压力小幅回升；需求方面，下游产能利用率小幅下滑，新增订单跟进缓慢，需求难以放量，综合来看，预计聚乙烯市场价格或震荡偏弱运行为主。PP方面，昨日聚丙烯市场走势依旧偏弱，原油下行带动现货价格小幅走低，社会库存去化趋势缓慢，临近五一假期，下游并未表现出集中采买迹象，反馈下游季节性需求订单逐步放缓，需求端缺乏支撑，短期聚丙烯震荡偏弱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3581052"/>
      <w:r>
        <w:rPr>
          <w:rFonts w:ascii="楷体" w:eastAsia="楷体" w:hAnsi="楷体" w:hint="eastAsia"/>
          <w:b/>
          <w:color w:val="000000" w:themeColor="text1"/>
          <w:sz w:val="24"/>
          <w:szCs w:val="24"/>
        </w:rPr>
        <w:t>MEG：</w:t>
      </w:r>
      <w:r w:rsidR="00AC00CF" w:rsidRPr="00AC00CF">
        <w:rPr>
          <w:rFonts w:ascii="楷体" w:eastAsia="楷体" w:hAnsi="楷体" w:hint="eastAsia"/>
          <w:b/>
          <w:color w:val="000000" w:themeColor="text1"/>
          <w:sz w:val="24"/>
          <w:szCs w:val="24"/>
        </w:rPr>
        <w:t>近期供需改善驱动去库预期 09逢低可多配</w:t>
      </w:r>
      <w:bookmarkEnd w:id="39"/>
    </w:p>
    <w:p w:rsidR="003F56A5" w:rsidRDefault="00AC00CF" w:rsidP="00E45000">
      <w:pPr>
        <w:ind w:leftChars="300" w:left="630"/>
        <w:rPr>
          <w:rFonts w:ascii="楷体" w:eastAsia="楷体" w:hAnsi="楷体"/>
          <w:color w:val="000000" w:themeColor="text1"/>
          <w:sz w:val="24"/>
          <w:szCs w:val="24"/>
        </w:rPr>
      </w:pPr>
      <w:r w:rsidRPr="00AC00CF">
        <w:rPr>
          <w:rFonts w:ascii="楷体" w:eastAsia="楷体" w:hAnsi="楷体" w:hint="eastAsia"/>
          <w:color w:val="000000" w:themeColor="text1"/>
          <w:sz w:val="24"/>
          <w:szCs w:val="24"/>
        </w:rPr>
        <w:t>供需情况，4.24 华东主港地区MEG港口库存约114.3万吨附近，环比上</w:t>
      </w:r>
      <w:r w:rsidRPr="00AC00CF">
        <w:rPr>
          <w:rFonts w:ascii="楷体" w:eastAsia="楷体" w:hAnsi="楷体" w:hint="eastAsia"/>
          <w:color w:val="000000" w:themeColor="text1"/>
          <w:sz w:val="24"/>
          <w:szCs w:val="24"/>
        </w:rPr>
        <w:lastRenderedPageBreak/>
        <w:t>期增加3.0万吨，后续来看主港到货计划将有所减少。5月中旬起浙石化将执行减产，后期内贸货源输送至港口数量也将同步缩减。截至4月27日，中国大陆地区乙二醇整体开工负荷在60.25%（+1.85%），其中煤制乙二醇开工负荷在61.88%（+0.43%）。 进口方面来看，预估4-5月上旬沙特等外盘货源到港量不多，外轮到货数量偏低。聚酯需求端来看，截止4.27 初步核算国内大陆地区聚酯负荷在85.9%（-1.5%）。本周江浙加弹综合开工率69%(+2%)，江浙织机综合开工率62%(+0%），江浙印染综合开工率68%（-5%）。本周江浙加弹开工小幅回升，印染开机继续下滑。坯布价格局部品种下行，主流常规品种现金流亏损。综合来看，近期国内乙二醇供应端一体化装置计划内停车与转产预期增多，如恒力石化、浙石化1#、海南炼化等。后期需要关注煤化工装置计划内重启的实际兑现力度如永城、濮阳、贵州黔西、及山西阳煤。随着一体化装置检修增多供应端的收缩，仍会加大库存去化力度，预计5月中上华东码头库存可以进一步下降。综合来看，5月份乙二醇仍有去库预期，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358105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291461" w:rsidRPr="00291461">
        <w:rPr>
          <w:rFonts w:ascii="楷体" w:eastAsia="楷体" w:hAnsi="楷体" w:hint="eastAsia"/>
          <w:b/>
          <w:color w:val="000000" w:themeColor="text1"/>
          <w:sz w:val="24"/>
          <w:szCs w:val="24"/>
        </w:rPr>
        <w:t>多单减仓，现货涨价趋缓</w:t>
      </w:r>
      <w:bookmarkEnd w:id="40"/>
    </w:p>
    <w:p w:rsidR="00A71A7E" w:rsidRDefault="00291461" w:rsidP="0079299D">
      <w:pPr>
        <w:ind w:leftChars="300" w:left="630"/>
        <w:rPr>
          <w:rFonts w:ascii="楷体" w:eastAsia="楷体" w:hAnsi="楷体"/>
          <w:color w:val="000000" w:themeColor="text1"/>
          <w:sz w:val="24"/>
          <w:szCs w:val="24"/>
        </w:rPr>
      </w:pPr>
      <w:r w:rsidRPr="00291461">
        <w:rPr>
          <w:rFonts w:ascii="楷体" w:eastAsia="楷体" w:hAnsi="楷体" w:hint="eastAsia"/>
          <w:color w:val="000000" w:themeColor="text1"/>
          <w:sz w:val="24"/>
          <w:szCs w:val="24"/>
        </w:rPr>
        <w:t>今日浮法玻璃现货价格2135，较上一交易+14，周度总库存4574.6万重箱，环比-9.07%，同比-34.24%。折库存天数20.1天，较上期-2天。本周浮法玻璃各地区生产企业普遍出货较好，平均产销率在116%，较上周下降18%，整体延续去库，节前下游对高价原片有所抵触。盘面上，节前多空双平，前期多单止盈离场，成交量下滑，节前建议观望。整体来看，在需求未证伪前，仍以低多思路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358105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291461" w:rsidRPr="00291461">
        <w:rPr>
          <w:rFonts w:ascii="楷体" w:eastAsia="楷体" w:hAnsi="楷体" w:hint="eastAsia"/>
          <w:b/>
          <w:color w:val="000000" w:themeColor="text1"/>
          <w:sz w:val="24"/>
          <w:szCs w:val="24"/>
        </w:rPr>
        <w:t>下游观望情绪浓厚，本周继续累库</w:t>
      </w:r>
      <w:bookmarkEnd w:id="41"/>
    </w:p>
    <w:p w:rsidR="00A71A7E" w:rsidRDefault="00291461" w:rsidP="00A71A7E">
      <w:pPr>
        <w:ind w:leftChars="300" w:left="630"/>
        <w:rPr>
          <w:rFonts w:ascii="楷体" w:eastAsia="楷体" w:hAnsi="楷体"/>
          <w:bCs/>
          <w:sz w:val="24"/>
          <w:szCs w:val="24"/>
        </w:rPr>
      </w:pPr>
      <w:r w:rsidRPr="00291461">
        <w:rPr>
          <w:rFonts w:ascii="楷体" w:eastAsia="楷体" w:hAnsi="楷体" w:hint="eastAsia"/>
          <w:color w:val="000000" w:themeColor="text1"/>
          <w:sz w:val="24"/>
          <w:szCs w:val="24"/>
        </w:rPr>
        <w:t>今日国内纯碱市场延续弱势，观望情绪浓郁，多单议为主。本周国内纯碱厂家总库存44.42万吨，环比增加5.74万吨，上涨14.84%。周产量57.31万吨，环比上周+1.44万吨，周内纯碱整体开工率94.36%，环比涨1.42%。下游需求偏弱，采购不积极，碱厂库存继续增加，月底多等待新一轮价格出台。预计短期纯碱延续弱势。盘面弱势反弹，仓单上多空双平，成交和持仓量均有下降。5月仍有累库预期</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35810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358105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291461" w:rsidRPr="00291461">
        <w:rPr>
          <w:rFonts w:ascii="楷体" w:eastAsia="楷体" w:hAnsi="楷体" w:hint="eastAsia"/>
          <w:b/>
          <w:sz w:val="24"/>
          <w:szCs w:val="24"/>
        </w:rPr>
        <w:t>近强远弱，豆粕压力仍存</w:t>
      </w:r>
      <w:bookmarkEnd w:id="43"/>
    </w:p>
    <w:p w:rsidR="003F56A5" w:rsidRDefault="00291461">
      <w:pPr>
        <w:ind w:leftChars="300" w:left="630"/>
        <w:rPr>
          <w:rFonts w:ascii="楷体" w:eastAsia="楷体" w:hAnsi="楷体"/>
          <w:sz w:val="24"/>
          <w:szCs w:val="24"/>
        </w:rPr>
      </w:pPr>
      <w:r w:rsidRPr="00291461">
        <w:rPr>
          <w:rFonts w:ascii="楷体" w:eastAsia="楷体" w:hAnsi="楷体" w:hint="eastAsia"/>
          <w:sz w:val="24"/>
          <w:szCs w:val="24"/>
        </w:rPr>
        <w:t>当前天气良好，美国大豆播种进度为9%，一周前为4%，上年同期为3%。这一水平远高于五年平均进度4%，叠加出口数据偏差，CBOT大豆偏弱运行；而国内豆粕短期表现较美豆相比较强，主要在于现阶段供应还未修复。巴西当前收割进度达92%，面临较大卖压，巴西大豆贴水虽有所企稳但仍较弱，农户销售意愿较强，关注大豆销售进度，4月份预计出口1471万吨。国内市场，随着大豆卸港问题逐步改善，到厂大豆增加，油厂目前已陆续恢复开机，但华北地区油厂仍有停工检修计划，支撑豆粕现货报价上调。但大豆4-6月整体供给较宽松，根据机构预估4月份预计到港780万吨，5-6月均有1000万吨大豆到港，阶段性供应压力仍较大，关注后续油厂开</w:t>
      </w:r>
      <w:r w:rsidRPr="00291461">
        <w:rPr>
          <w:rFonts w:ascii="楷体" w:eastAsia="楷体" w:hAnsi="楷体" w:hint="eastAsia"/>
          <w:sz w:val="24"/>
          <w:szCs w:val="24"/>
        </w:rPr>
        <w:lastRenderedPageBreak/>
        <w:t>工情况。下游养殖利润表现仍不佳，饲企和养殖企业等对豆粕饲用需求偏弱，当前价格优势仍不明显，短期价格反弹成交放量，但现货价格后续仍面临下行压力。菜粕供应端在进口菜籽持续增加下逐步修复，油厂开机及压榨维持较高水平，但菜籽二季度后供给预计减少。而需求方面在近期天气逐步回暖后，华南水产需求预计启动，同时在价差性价比方面仍在对豆粕进行替代，因此下方较豆粕支撑更强。策略方面，大豆大量到港已是现实，暂时的阶段性供给紧张将改善，预计现货上方仍存压，对于盘面谨慎看空，建议逢高布局空单，菜粕可关注9-1正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3581057"/>
      <w:r>
        <w:rPr>
          <w:rFonts w:ascii="楷体" w:eastAsia="楷体" w:hAnsi="楷体" w:hint="eastAsia"/>
          <w:b/>
          <w:color w:val="000000" w:themeColor="text1"/>
          <w:sz w:val="24"/>
          <w:szCs w:val="24"/>
        </w:rPr>
        <w:t>油脂：</w:t>
      </w:r>
      <w:r w:rsidR="00291461" w:rsidRPr="00291461">
        <w:rPr>
          <w:rFonts w:ascii="楷体" w:eastAsia="楷体" w:hAnsi="楷体" w:hint="eastAsia"/>
          <w:b/>
          <w:sz w:val="24"/>
          <w:szCs w:val="24"/>
        </w:rPr>
        <w:t>震荡偏弱</w:t>
      </w:r>
      <w:bookmarkEnd w:id="44"/>
    </w:p>
    <w:p w:rsidR="003F56A5" w:rsidRDefault="00291461" w:rsidP="00792D31">
      <w:pPr>
        <w:ind w:leftChars="300" w:left="630"/>
        <w:rPr>
          <w:rFonts w:ascii="楷体" w:eastAsia="楷体" w:hAnsi="楷体"/>
          <w:sz w:val="24"/>
          <w:szCs w:val="24"/>
        </w:rPr>
      </w:pPr>
      <w:r w:rsidRPr="00291461">
        <w:rPr>
          <w:rFonts w:ascii="楷体" w:eastAsia="楷体" w:hAnsi="楷体" w:hint="eastAsia"/>
          <w:sz w:val="24"/>
          <w:szCs w:val="24"/>
        </w:rPr>
        <w:t>受外盘走势拖累，油脂跟随下行，叠加国内节前备货临近尾声，对油脂支撑减弱。棕榈油在产地出口疲软下价格承压，产地方面4月后马来预计进入增产阶段，出口需求因主要消费国高库存及进口利润不佳受抑，也限制了棕榈油上方空间，船运机构显示马来西亚4月1-25日棕榈油出口量环比减少14-18.4%。而印尼计划于5月1日起将棕榈油国内市场义务(DMO)下调至每月30万吨。将把棕榈油出口比率从1:6收紧至1:4，但贸易商手中仍有充足出口配额，因此政策影响有限。但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后续进口大豆集中供应，豆油供应存边际修复预期。菜油在供应边际改善下，上方压力仍存。随着进口加籽到港量逐步增加，菜籽库存维持高位，1-2月累计进口菜籽106万吨，且4-6月份菜籽到港预计仍将维持偏高水平。当前油厂开工较稳定，叠加进口菜油供给也在增加，供应较为宽松。需求方面，随着豆油价格的回落，菜油替代优势减弱。短期油脂预计在供给增加下，上方压力仍存，建议短线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3581058"/>
      <w:r>
        <w:rPr>
          <w:rFonts w:ascii="楷体" w:eastAsia="楷体" w:hAnsi="楷体" w:hint="eastAsia"/>
          <w:b/>
          <w:bCs/>
          <w:color w:val="000000" w:themeColor="text1"/>
        </w:rPr>
        <w:t>玉米与淀粉：</w:t>
      </w:r>
      <w:r w:rsidR="00AC00CF" w:rsidRPr="00AC00CF">
        <w:rPr>
          <w:rFonts w:ascii="楷体" w:eastAsia="楷体" w:hAnsi="楷体" w:hint="eastAsia"/>
          <w:b/>
        </w:rPr>
        <w:t>期价再度大跌</w:t>
      </w:r>
      <w:bookmarkEnd w:id="45"/>
    </w:p>
    <w:p w:rsidR="00AC00CF" w:rsidRPr="00AC00CF" w:rsidRDefault="00AC00CF" w:rsidP="00AC00CF">
      <w:pPr>
        <w:pStyle w:val="paragraph"/>
        <w:spacing w:before="60" w:after="60"/>
        <w:ind w:leftChars="300" w:left="630"/>
        <w:rPr>
          <w:rFonts w:ascii="楷体" w:eastAsia="楷体" w:hAnsi="楷体" w:hint="eastAsia"/>
        </w:rPr>
      </w:pPr>
      <w:r w:rsidRPr="00AC00CF">
        <w:rPr>
          <w:rFonts w:ascii="楷体" w:eastAsia="楷体" w:hAnsi="楷体" w:hint="eastAsia"/>
        </w:rPr>
        <w:t>对于玉米而言，近期玉米期价持续大幅下跌，符合我们之前预期，核心在于性价比因素，主要体现在玉米期价跟随南方销区玉米现货走势，在持续下跌之后，国产玉米性价比有所提升，且玉米基差持续走强，玉米期价整体走平，即各个合约趋于同价，这会抑制玉米期价继续下跌的空间。综上所述，我们维持谨慎看空观点，建议前期空单可以考虑择机获利离场。</w:t>
      </w:r>
    </w:p>
    <w:p w:rsidR="003F56A5" w:rsidRDefault="00AC00CF" w:rsidP="00AC00CF">
      <w:pPr>
        <w:pStyle w:val="paragraph"/>
        <w:spacing w:before="60" w:beforeAutospacing="0" w:after="60" w:afterAutospacing="0"/>
        <w:ind w:leftChars="300" w:left="630"/>
        <w:rPr>
          <w:rFonts w:ascii="楷体" w:eastAsia="楷体" w:hAnsi="楷体"/>
        </w:rPr>
      </w:pPr>
      <w:r w:rsidRPr="00AC00CF">
        <w:rPr>
          <w:rFonts w:ascii="楷体" w:eastAsia="楷体" w:hAnsi="楷体" w:hint="eastAsia"/>
        </w:rPr>
        <w:t>对于淀粉而言，近期淀粉-玉米价差表现分化，近月继续走扩，这主要源于行业开机率带动行业库存出现下滑，而远月合约价差变动不大，或需要源于玉米原料端和副产品端的不确定性。结合淀粉基差和盘面生产利润来看，短期价差或有反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3581059"/>
      <w:r>
        <w:rPr>
          <w:rFonts w:ascii="楷体" w:eastAsia="楷体" w:hAnsi="楷体" w:hint="eastAsia"/>
          <w:b/>
          <w:bCs/>
          <w:color w:val="000000" w:themeColor="text1"/>
        </w:rPr>
        <w:lastRenderedPageBreak/>
        <w:t>畜禽养殖：</w:t>
      </w:r>
      <w:r w:rsidR="00AC00CF" w:rsidRPr="00AC00CF">
        <w:rPr>
          <w:rFonts w:ascii="楷体" w:eastAsia="楷体" w:hAnsi="楷体" w:hint="eastAsia"/>
          <w:b/>
          <w:bCs/>
          <w:color w:val="000000" w:themeColor="text1"/>
        </w:rPr>
        <w:t>现货弱势难改市场悲观预期</w:t>
      </w:r>
      <w:bookmarkEnd w:id="46"/>
    </w:p>
    <w:p w:rsidR="00AC00CF" w:rsidRPr="00AC00CF" w:rsidRDefault="00AC00CF" w:rsidP="00AC00CF">
      <w:pPr>
        <w:pStyle w:val="paragraph"/>
        <w:spacing w:before="60" w:after="60"/>
        <w:ind w:leftChars="300" w:left="630"/>
        <w:rPr>
          <w:rFonts w:ascii="楷体" w:eastAsia="楷体" w:hAnsi="楷体" w:hint="eastAsia"/>
        </w:rPr>
      </w:pPr>
      <w:r w:rsidRPr="00AC00CF">
        <w:rPr>
          <w:rFonts w:ascii="楷体" w:eastAsia="楷体" w:hAnsi="楷体" w:hint="eastAsia"/>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近期生猪现货价格再度下跌至节后低点之后止跌反弹，结合春节前后疫情和养殖利润状况来看，生猪供应压力或释放完毕，后期或逐步震荡回升，接下来重点关注现货走势，因市场预期或随之发生改变。在这种情况下，转为谨慎看多，建议谨慎投资者观望，激进投资者可考虑择机做多，或者介入正套操作。</w:t>
      </w:r>
    </w:p>
    <w:p w:rsidR="003F56A5" w:rsidRDefault="00AC00CF" w:rsidP="00AC00CF">
      <w:pPr>
        <w:pStyle w:val="paragraph"/>
        <w:spacing w:before="60" w:beforeAutospacing="0" w:after="60" w:afterAutospacing="0"/>
        <w:ind w:leftChars="300" w:left="630"/>
        <w:rPr>
          <w:rFonts w:ascii="楷体" w:eastAsia="楷体" w:hAnsi="楷体"/>
        </w:rPr>
      </w:pPr>
      <w:r w:rsidRPr="00AC00CF">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强现实弱预期的情况下，市场总体矛盾并不突出，后期更多跟踪养殖行业补栏积极性情况和现货价格走势来判断市场预期能否实现，这更多体现在近月合约上。观点转为中性，建议前期5月合约多单择机离场，转为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3581060"/>
      <w:r>
        <w:rPr>
          <w:rFonts w:ascii="楷体" w:eastAsia="楷体" w:hAnsi="楷体" w:hint="eastAsia"/>
          <w:b/>
          <w:sz w:val="24"/>
          <w:szCs w:val="24"/>
        </w:rPr>
        <w:t>郑棉：</w:t>
      </w:r>
      <w:r w:rsidR="00AC00CF" w:rsidRPr="00AC00CF">
        <w:rPr>
          <w:rFonts w:ascii="楷体" w:eastAsia="楷体" w:hAnsi="楷体" w:hint="eastAsia"/>
          <w:b/>
          <w:sz w:val="24"/>
          <w:szCs w:val="24"/>
        </w:rPr>
        <w:t>出口数据较好，美棉反弹。郑棉偏强震荡，空单持有或观望</w:t>
      </w:r>
      <w:bookmarkEnd w:id="47"/>
    </w:p>
    <w:p w:rsidR="003F56A5" w:rsidRDefault="00AC00CF" w:rsidP="00B17165">
      <w:pPr>
        <w:ind w:leftChars="300" w:left="630"/>
        <w:rPr>
          <w:rFonts w:ascii="楷体" w:eastAsia="楷体" w:hAnsi="楷体"/>
          <w:sz w:val="24"/>
          <w:szCs w:val="24"/>
        </w:rPr>
      </w:pPr>
      <w:r w:rsidRPr="00AC00CF">
        <w:rPr>
          <w:rFonts w:ascii="楷体" w:eastAsia="楷体" w:hAnsi="楷体" w:hint="eastAsia"/>
          <w:sz w:val="24"/>
          <w:szCs w:val="24"/>
        </w:rPr>
        <w:t>五一临近，5月4日时欧美纷纷进行议息会议，欧美双加息的概率较大。市场对于经济陷入衰退担忧情绪加重，国际商品市场提前回落以规避风险。国内文华商品指数破位下行，但股市因对政策抱有期待开始反弹。棉花基本面方面，巴西棉价屡创新低，印度产业负反馈较强。美棉种植进度顺利，但本周出口数据较好，美棉先跌后涨仍在前期震荡区间内。国内资金则对供应端关注较多，因第三期植棉意向调查中种植意向再度调减，以及近期寒潮对农产品价格的提振。内强外弱，郑棉走势和国际分化，进口窗口即将打开。制约仍存，预计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D28" w:rsidRDefault="00820D28">
      <w:r>
        <w:separator/>
      </w:r>
    </w:p>
  </w:endnote>
  <w:endnote w:type="continuationSeparator" w:id="0">
    <w:p w:rsidR="00820D28" w:rsidRDefault="0082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C0E50F9" wp14:editId="2C4545B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C00CF">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C00CF">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D28" w:rsidRDefault="00820D28">
      <w:r>
        <w:separator/>
      </w:r>
    </w:p>
  </w:footnote>
  <w:footnote w:type="continuationSeparator" w:id="0">
    <w:p w:rsidR="00820D28" w:rsidRDefault="00820D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005747EF" wp14:editId="2F6F4DF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88F339F" wp14:editId="28BC4DEE">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291461">
      <w:rPr>
        <w:rFonts w:ascii="Times New Roman" w:eastAsia="楷体" w:hAnsi="Times New Roman" w:hint="eastAsia"/>
        <w:b/>
        <w:bCs/>
        <w:noProof/>
        <w:color w:val="833C0B"/>
        <w:sz w:val="21"/>
      </w:rPr>
      <w:t>2023</w:t>
    </w:r>
    <w:r w:rsidR="00291461">
      <w:rPr>
        <w:rFonts w:ascii="Times New Roman" w:eastAsia="楷体" w:hAnsi="Times New Roman" w:hint="eastAsia"/>
        <w:b/>
        <w:bCs/>
        <w:noProof/>
        <w:color w:val="833C0B"/>
        <w:sz w:val="21"/>
      </w:rPr>
      <w:t>年</w:t>
    </w:r>
    <w:r w:rsidR="00291461">
      <w:rPr>
        <w:rFonts w:ascii="Times New Roman" w:eastAsia="楷体" w:hAnsi="Times New Roman" w:hint="eastAsia"/>
        <w:b/>
        <w:bCs/>
        <w:noProof/>
        <w:color w:val="833C0B"/>
        <w:sz w:val="21"/>
      </w:rPr>
      <w:t>4</w:t>
    </w:r>
    <w:r w:rsidR="00291461">
      <w:rPr>
        <w:rFonts w:ascii="Times New Roman" w:eastAsia="楷体" w:hAnsi="Times New Roman" w:hint="eastAsia"/>
        <w:b/>
        <w:bCs/>
        <w:noProof/>
        <w:color w:val="833C0B"/>
        <w:sz w:val="21"/>
      </w:rPr>
      <w:t>月</w:t>
    </w:r>
    <w:r w:rsidR="00291461">
      <w:rPr>
        <w:rFonts w:ascii="Times New Roman" w:eastAsia="楷体" w:hAnsi="Times New Roman" w:hint="eastAsia"/>
        <w:b/>
        <w:bCs/>
        <w:noProof/>
        <w:color w:val="833C0B"/>
        <w:sz w:val="21"/>
      </w:rPr>
      <w:t>28</w:t>
    </w:r>
    <w:r w:rsidR="00291461">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0D28"/>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BE39C-026B-4BAF-83A5-057DD577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9</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96</cp:revision>
  <cp:lastPrinted>2023-04-20T02:18:00Z</cp:lastPrinted>
  <dcterms:created xsi:type="dcterms:W3CDTF">2022-11-15T10:06:00Z</dcterms:created>
  <dcterms:modified xsi:type="dcterms:W3CDTF">2023-04-28T05:30:00Z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