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6A5" w:rsidRDefault="00CC3FFA">
      <w:pPr>
        <w:jc w:val="center"/>
        <w:rPr>
          <w:rFonts w:ascii="Times New Roman" w:eastAsia="楷体" w:hAnsi="Times New Roman" w:cs="Times New Roman"/>
          <w:b/>
          <w:color w:val="823C0B"/>
          <w:sz w:val="32"/>
          <w:szCs w:val="32"/>
        </w:rPr>
      </w:pPr>
      <w:r>
        <w:rPr>
          <w:rFonts w:ascii="Times New Roman" w:eastAsia="楷体" w:hAnsi="Times New Roman" w:cs="Times New Roman"/>
          <w:b/>
          <w:color w:val="823C0B"/>
          <w:sz w:val="32"/>
          <w:szCs w:val="32"/>
        </w:rPr>
        <w:t>广州期货早间直通车</w:t>
      </w:r>
    </w:p>
    <w:p w:rsidR="003F56A5" w:rsidRDefault="003F56A5">
      <w:pPr>
        <w:jc w:val="right"/>
        <w:rPr>
          <w:rFonts w:ascii="Times New Roman" w:eastAsia="楷体" w:hAnsi="Times New Roman" w:cs="Times New Roman"/>
          <w:b/>
          <w:color w:val="823C0B"/>
          <w:sz w:val="24"/>
        </w:rPr>
      </w:pPr>
    </w:p>
    <w:p w:rsidR="003F56A5" w:rsidRDefault="00CC3FFA">
      <w:pPr>
        <w:jc w:val="center"/>
        <w:rPr>
          <w:rFonts w:ascii="Times New Roman" w:eastAsia="楷体" w:hAnsi="Times New Roman" w:cs="Times New Roman"/>
          <w:b/>
          <w:color w:val="823C0B"/>
          <w:sz w:val="24"/>
        </w:rPr>
      </w:pPr>
      <w:r>
        <w:rPr>
          <w:rFonts w:ascii="Times New Roman" w:eastAsia="楷体" w:hAnsi="Times New Roman" w:cs="Times New Roman"/>
          <w:b/>
          <w:color w:val="823C0B"/>
          <w:sz w:val="24"/>
        </w:rPr>
        <w:t>投资咨询业务资格：证监许可【</w:t>
      </w:r>
      <w:r>
        <w:rPr>
          <w:rFonts w:ascii="Times New Roman" w:eastAsia="楷体" w:hAnsi="Times New Roman" w:cs="Times New Roman"/>
          <w:b/>
          <w:color w:val="823C0B"/>
          <w:sz w:val="24"/>
        </w:rPr>
        <w:t>2012</w:t>
      </w:r>
      <w:r>
        <w:rPr>
          <w:rFonts w:ascii="Times New Roman" w:eastAsia="楷体" w:hAnsi="Times New Roman" w:cs="Times New Roman"/>
          <w:b/>
          <w:color w:val="823C0B"/>
          <w:sz w:val="24"/>
        </w:rPr>
        <w:t>】</w:t>
      </w:r>
      <w:r>
        <w:rPr>
          <w:rFonts w:ascii="Times New Roman" w:eastAsia="楷体" w:hAnsi="Times New Roman" w:cs="Times New Roman"/>
          <w:b/>
          <w:color w:val="823C0B"/>
          <w:sz w:val="24"/>
        </w:rPr>
        <w:t>1497</w:t>
      </w:r>
      <w:r>
        <w:rPr>
          <w:rFonts w:ascii="Times New Roman" w:eastAsia="楷体" w:hAnsi="Times New Roman" w:cs="Times New Roman"/>
          <w:b/>
          <w:color w:val="823C0B"/>
          <w:sz w:val="24"/>
        </w:rPr>
        <w:t>号</w:t>
      </w:r>
    </w:p>
    <w:p w:rsidR="003F56A5" w:rsidRDefault="003F56A5">
      <w:pPr>
        <w:jc w:val="center"/>
        <w:rPr>
          <w:rFonts w:ascii="Times New Roman" w:eastAsia="楷体" w:hAnsi="Times New Roman"/>
          <w:b/>
          <w:color w:val="823C0B"/>
          <w:sz w:val="30"/>
          <w:szCs w:val="30"/>
        </w:rPr>
      </w:pPr>
    </w:p>
    <w:p w:rsidR="003F56A5" w:rsidRDefault="00CC3FFA">
      <w:pPr>
        <w:jc w:val="center"/>
        <w:rPr>
          <w:rFonts w:ascii="Times New Roman" w:eastAsia="楷体" w:hAnsi="Times New Roman"/>
          <w:b/>
        </w:rPr>
      </w:pPr>
      <w:r>
        <w:rPr>
          <w:rFonts w:ascii="Times New Roman" w:eastAsia="楷体" w:hAnsi="Times New Roman" w:hint="eastAsia"/>
          <w:b/>
          <w:color w:val="823C0B"/>
          <w:sz w:val="30"/>
          <w:szCs w:val="30"/>
        </w:rPr>
        <w:t>评论品种一览</w:t>
      </w:r>
    </w:p>
    <w:sdt>
      <w:sdtPr>
        <w:rPr>
          <w:rFonts w:asciiTheme="minorHAnsi" w:eastAsia="宋体" w:hAnsiTheme="minorHAnsi" w:cstheme="minorBidi"/>
          <w:b/>
          <w:bCs/>
          <w:color w:val="auto"/>
          <w:kern w:val="2"/>
          <w:sz w:val="21"/>
          <w:szCs w:val="21"/>
          <w:lang w:val="zh-CN"/>
        </w:rPr>
        <w:id w:val="1355533930"/>
        <w:docPartObj>
          <w:docPartGallery w:val="Table of Contents"/>
          <w:docPartUnique/>
        </w:docPartObj>
      </w:sdtPr>
      <w:sdtEndPr/>
      <w:sdtContent>
        <w:p w:rsidR="003F56A5" w:rsidRDefault="003F56A5">
          <w:pPr>
            <w:pStyle w:val="TOC1"/>
            <w:rPr>
              <w:b/>
              <w:bCs/>
            </w:rPr>
          </w:pPr>
        </w:p>
        <w:p w:rsidR="00BC5F45" w:rsidRDefault="00CC3FFA">
          <w:pPr>
            <w:pStyle w:val="11"/>
            <w:tabs>
              <w:tab w:val="right" w:leader="dot" w:pos="8296"/>
            </w:tabs>
            <w:rPr>
              <w:rFonts w:eastAsiaTheme="minorEastAsia"/>
              <w:noProof/>
              <w:szCs w:val="22"/>
            </w:rPr>
          </w:pPr>
          <w:r>
            <w:rPr>
              <w:b/>
              <w:bCs/>
            </w:rPr>
            <w:fldChar w:fldCharType="begin"/>
          </w:r>
          <w:r>
            <w:rPr>
              <w:b/>
              <w:bCs/>
            </w:rPr>
            <w:instrText xml:space="preserve"> TOC \o "1-3" \n \h \z \u </w:instrText>
          </w:r>
          <w:r>
            <w:rPr>
              <w:b/>
              <w:bCs/>
            </w:rPr>
            <w:fldChar w:fldCharType="separate"/>
          </w:r>
          <w:bookmarkStart w:id="0" w:name="_GoBack"/>
          <w:bookmarkEnd w:id="0"/>
          <w:r w:rsidR="00BC5F45" w:rsidRPr="00537A18">
            <w:rPr>
              <w:rStyle w:val="a7"/>
              <w:noProof/>
            </w:rPr>
            <w:fldChar w:fldCharType="begin"/>
          </w:r>
          <w:r w:rsidR="00BC5F45" w:rsidRPr="00537A18">
            <w:rPr>
              <w:rStyle w:val="a7"/>
              <w:noProof/>
            </w:rPr>
            <w:instrText xml:space="preserve"> </w:instrText>
          </w:r>
          <w:r w:rsidR="00BC5F45">
            <w:rPr>
              <w:noProof/>
            </w:rPr>
            <w:instrText>HYPERLINK \l "_Toc132704351"</w:instrText>
          </w:r>
          <w:r w:rsidR="00BC5F45" w:rsidRPr="00537A18">
            <w:rPr>
              <w:rStyle w:val="a7"/>
              <w:noProof/>
            </w:rPr>
            <w:instrText xml:space="preserve"> </w:instrText>
          </w:r>
          <w:r w:rsidR="00BC5F45" w:rsidRPr="00537A18">
            <w:rPr>
              <w:rStyle w:val="a7"/>
              <w:noProof/>
            </w:rPr>
          </w:r>
          <w:r w:rsidR="00BC5F45" w:rsidRPr="00537A18">
            <w:rPr>
              <w:rStyle w:val="a7"/>
              <w:noProof/>
            </w:rPr>
            <w:fldChar w:fldCharType="separate"/>
          </w:r>
          <w:r w:rsidR="00BC5F45" w:rsidRPr="00537A18">
            <w:rPr>
              <w:rStyle w:val="a7"/>
              <w:rFonts w:ascii="Times New Roman" w:eastAsia="楷体" w:hAnsi="Times New Roman"/>
              <w:b/>
              <w:noProof/>
            </w:rPr>
            <w:t>[</w:t>
          </w:r>
          <w:r w:rsidR="00BC5F45" w:rsidRPr="00537A18">
            <w:rPr>
              <w:rStyle w:val="a7"/>
              <w:rFonts w:ascii="Times New Roman" w:eastAsia="楷体" w:hAnsi="Times New Roman"/>
              <w:b/>
              <w:noProof/>
            </w:rPr>
            <w:t>金融</w:t>
          </w:r>
          <w:r w:rsidR="00BC5F45" w:rsidRPr="00537A18">
            <w:rPr>
              <w:rStyle w:val="a7"/>
              <w:rFonts w:ascii="Times New Roman" w:eastAsia="楷体" w:hAnsi="Times New Roman"/>
              <w:b/>
              <w:noProof/>
            </w:rPr>
            <w:t>]</w:t>
          </w:r>
          <w:r w:rsidR="00BC5F45" w:rsidRPr="00537A18">
            <w:rPr>
              <w:rStyle w:val="a7"/>
              <w:noProof/>
            </w:rPr>
            <w:fldChar w:fldCharType="end"/>
          </w:r>
        </w:p>
        <w:p w:rsidR="00BC5F45" w:rsidRDefault="00BC5F45">
          <w:pPr>
            <w:pStyle w:val="2"/>
            <w:tabs>
              <w:tab w:val="right" w:leader="dot" w:pos="8296"/>
            </w:tabs>
            <w:rPr>
              <w:rFonts w:eastAsiaTheme="minorEastAsia"/>
              <w:noProof/>
              <w:szCs w:val="22"/>
            </w:rPr>
          </w:pPr>
          <w:hyperlink w:anchor="_Toc132704352" w:history="1">
            <w:r w:rsidRPr="00537A18">
              <w:rPr>
                <w:rStyle w:val="a7"/>
                <w:rFonts w:ascii="Times New Roman" w:eastAsia="楷体" w:hAnsi="Times New Roman"/>
                <w:b/>
                <w:noProof/>
              </w:rPr>
              <w:t>股指：</w:t>
            </w:r>
            <w:r w:rsidRPr="00537A18">
              <w:rPr>
                <w:rStyle w:val="a7"/>
                <w:rFonts w:ascii="Times New Roman" w:eastAsia="楷体" w:hAnsi="Times New Roman"/>
                <w:b/>
                <w:noProof/>
              </w:rPr>
              <w:t>IH</w:t>
            </w:r>
            <w:r w:rsidRPr="00537A18">
              <w:rPr>
                <w:rStyle w:val="a7"/>
                <w:rFonts w:ascii="Times New Roman" w:eastAsia="楷体" w:hAnsi="Times New Roman"/>
                <w:b/>
                <w:noProof/>
              </w:rPr>
              <w:t>多单持有</w:t>
            </w:r>
          </w:hyperlink>
        </w:p>
        <w:p w:rsidR="00BC5F45" w:rsidRDefault="00BC5F45">
          <w:pPr>
            <w:pStyle w:val="11"/>
            <w:tabs>
              <w:tab w:val="right" w:leader="dot" w:pos="8296"/>
            </w:tabs>
            <w:rPr>
              <w:rFonts w:eastAsiaTheme="minorEastAsia"/>
              <w:noProof/>
              <w:szCs w:val="22"/>
            </w:rPr>
          </w:pPr>
          <w:hyperlink w:anchor="_Toc132704353" w:history="1">
            <w:r w:rsidRPr="00537A18">
              <w:rPr>
                <w:rStyle w:val="a7"/>
                <w:rFonts w:ascii="Times New Roman" w:eastAsia="楷体" w:hAnsi="Times New Roman"/>
                <w:b/>
                <w:noProof/>
              </w:rPr>
              <w:t>[</w:t>
            </w:r>
            <w:r w:rsidRPr="00537A18">
              <w:rPr>
                <w:rStyle w:val="a7"/>
                <w:rFonts w:ascii="Times New Roman" w:eastAsia="楷体" w:hAnsi="Times New Roman"/>
                <w:b/>
                <w:noProof/>
              </w:rPr>
              <w:t>贵金属</w:t>
            </w:r>
            <w:r w:rsidRPr="00537A18">
              <w:rPr>
                <w:rStyle w:val="a7"/>
                <w:rFonts w:ascii="Times New Roman" w:eastAsia="楷体" w:hAnsi="Times New Roman"/>
                <w:b/>
                <w:noProof/>
              </w:rPr>
              <w:t>]</w:t>
            </w:r>
          </w:hyperlink>
        </w:p>
        <w:p w:rsidR="00BC5F45" w:rsidRDefault="00BC5F45">
          <w:pPr>
            <w:pStyle w:val="2"/>
            <w:tabs>
              <w:tab w:val="right" w:leader="dot" w:pos="8296"/>
            </w:tabs>
            <w:rPr>
              <w:rFonts w:eastAsiaTheme="minorEastAsia"/>
              <w:noProof/>
              <w:szCs w:val="22"/>
            </w:rPr>
          </w:pPr>
          <w:hyperlink w:anchor="_Toc132704354" w:history="1">
            <w:r w:rsidRPr="00537A18">
              <w:rPr>
                <w:rStyle w:val="a7"/>
                <w:rFonts w:ascii="Times New Roman" w:eastAsia="楷体" w:hAnsi="Times New Roman"/>
                <w:b/>
                <w:noProof/>
              </w:rPr>
              <w:t>贵金属：纽约联储制造业指数好于预期，贵金属价格回落</w:t>
            </w:r>
          </w:hyperlink>
        </w:p>
        <w:p w:rsidR="00BC5F45" w:rsidRDefault="00BC5F45">
          <w:pPr>
            <w:pStyle w:val="11"/>
            <w:tabs>
              <w:tab w:val="right" w:leader="dot" w:pos="8296"/>
            </w:tabs>
            <w:rPr>
              <w:rFonts w:eastAsiaTheme="minorEastAsia"/>
              <w:noProof/>
              <w:szCs w:val="22"/>
            </w:rPr>
          </w:pPr>
          <w:hyperlink w:anchor="_Toc132704355" w:history="1">
            <w:r w:rsidRPr="00537A18">
              <w:rPr>
                <w:rStyle w:val="a7"/>
                <w:rFonts w:ascii="Times New Roman" w:eastAsia="楷体" w:hAnsi="Times New Roman"/>
                <w:b/>
                <w:noProof/>
              </w:rPr>
              <w:t>[</w:t>
            </w:r>
            <w:r w:rsidRPr="00537A18">
              <w:rPr>
                <w:rStyle w:val="a7"/>
                <w:rFonts w:ascii="Times New Roman" w:eastAsia="楷体" w:hAnsi="Times New Roman"/>
                <w:b/>
                <w:noProof/>
              </w:rPr>
              <w:t>金属</w:t>
            </w:r>
            <w:r w:rsidRPr="00537A18">
              <w:rPr>
                <w:rStyle w:val="a7"/>
                <w:rFonts w:ascii="Times New Roman" w:eastAsia="楷体" w:hAnsi="Times New Roman"/>
                <w:b/>
                <w:noProof/>
              </w:rPr>
              <w:t>]</w:t>
            </w:r>
          </w:hyperlink>
        </w:p>
        <w:p w:rsidR="00BC5F45" w:rsidRDefault="00BC5F45">
          <w:pPr>
            <w:pStyle w:val="2"/>
            <w:tabs>
              <w:tab w:val="right" w:leader="dot" w:pos="8296"/>
            </w:tabs>
            <w:rPr>
              <w:rFonts w:eastAsiaTheme="minorEastAsia"/>
              <w:noProof/>
              <w:szCs w:val="22"/>
            </w:rPr>
          </w:pPr>
          <w:hyperlink w:anchor="_Toc132704356" w:history="1">
            <w:r w:rsidRPr="00537A18">
              <w:rPr>
                <w:rStyle w:val="a7"/>
                <w:rFonts w:ascii="楷体" w:eastAsia="楷体" w:hAnsi="楷体"/>
                <w:b/>
                <w:noProof/>
              </w:rPr>
              <w:t>螺纹钢：成交情绪向好，关注今日经济数据</w:t>
            </w:r>
          </w:hyperlink>
        </w:p>
        <w:p w:rsidR="00BC5F45" w:rsidRDefault="00BC5F45">
          <w:pPr>
            <w:pStyle w:val="2"/>
            <w:tabs>
              <w:tab w:val="right" w:leader="dot" w:pos="8296"/>
            </w:tabs>
            <w:rPr>
              <w:rFonts w:eastAsiaTheme="minorEastAsia"/>
              <w:noProof/>
              <w:szCs w:val="22"/>
            </w:rPr>
          </w:pPr>
          <w:hyperlink w:anchor="_Toc132704357" w:history="1">
            <w:r w:rsidRPr="00537A18">
              <w:rPr>
                <w:rStyle w:val="a7"/>
                <w:rFonts w:ascii="楷体" w:eastAsia="楷体" w:hAnsi="楷体"/>
                <w:b/>
                <w:noProof/>
              </w:rPr>
              <w:t>焦炭：情绪有所好转，现货依旧偏弱运行</w:t>
            </w:r>
          </w:hyperlink>
        </w:p>
        <w:p w:rsidR="00BC5F45" w:rsidRDefault="00BC5F45">
          <w:pPr>
            <w:pStyle w:val="2"/>
            <w:tabs>
              <w:tab w:val="right" w:leader="dot" w:pos="8296"/>
            </w:tabs>
            <w:rPr>
              <w:rFonts w:eastAsiaTheme="minorEastAsia"/>
              <w:noProof/>
              <w:szCs w:val="22"/>
            </w:rPr>
          </w:pPr>
          <w:hyperlink w:anchor="_Toc132704358" w:history="1">
            <w:r w:rsidRPr="00537A18">
              <w:rPr>
                <w:rStyle w:val="a7"/>
                <w:rFonts w:ascii="楷体" w:eastAsia="楷体" w:hAnsi="楷体"/>
                <w:b/>
                <w:noProof/>
              </w:rPr>
              <w:t>焦煤：情绪有所好转，现货依旧偏弱运行</w:t>
            </w:r>
          </w:hyperlink>
        </w:p>
        <w:p w:rsidR="00BC5F45" w:rsidRDefault="00BC5F45">
          <w:pPr>
            <w:pStyle w:val="2"/>
            <w:tabs>
              <w:tab w:val="right" w:leader="dot" w:pos="8296"/>
            </w:tabs>
            <w:rPr>
              <w:rFonts w:eastAsiaTheme="minorEastAsia"/>
              <w:noProof/>
              <w:szCs w:val="22"/>
            </w:rPr>
          </w:pPr>
          <w:hyperlink w:anchor="_Toc132704359" w:history="1">
            <w:r w:rsidRPr="00537A18">
              <w:rPr>
                <w:rStyle w:val="a7"/>
                <w:rFonts w:ascii="楷体" w:eastAsia="楷体" w:hAnsi="楷体"/>
                <w:b/>
                <w:noProof/>
              </w:rPr>
              <w:t>铜：维持高位震荡</w:t>
            </w:r>
          </w:hyperlink>
        </w:p>
        <w:p w:rsidR="00BC5F45" w:rsidRDefault="00BC5F45">
          <w:pPr>
            <w:pStyle w:val="2"/>
            <w:tabs>
              <w:tab w:val="right" w:leader="dot" w:pos="8296"/>
            </w:tabs>
            <w:rPr>
              <w:rFonts w:eastAsiaTheme="minorEastAsia"/>
              <w:noProof/>
              <w:szCs w:val="22"/>
            </w:rPr>
          </w:pPr>
          <w:hyperlink w:anchor="_Toc132704360" w:history="1">
            <w:r w:rsidRPr="00537A18">
              <w:rPr>
                <w:rStyle w:val="a7"/>
                <w:rFonts w:ascii="楷体" w:eastAsia="楷体" w:hAnsi="楷体"/>
                <w:b/>
                <w:noProof/>
              </w:rPr>
              <w:t>铝：铝价偏强震荡，实际驱动有限</w:t>
            </w:r>
          </w:hyperlink>
        </w:p>
        <w:p w:rsidR="00BC5F45" w:rsidRDefault="00BC5F45">
          <w:pPr>
            <w:pStyle w:val="2"/>
            <w:tabs>
              <w:tab w:val="right" w:leader="dot" w:pos="8296"/>
            </w:tabs>
            <w:rPr>
              <w:rFonts w:eastAsiaTheme="minorEastAsia"/>
              <w:noProof/>
              <w:szCs w:val="22"/>
            </w:rPr>
          </w:pPr>
          <w:hyperlink w:anchor="_Toc132704361" w:history="1">
            <w:r w:rsidRPr="00537A18">
              <w:rPr>
                <w:rStyle w:val="a7"/>
                <w:rFonts w:ascii="楷体" w:eastAsia="楷体" w:hAnsi="楷体"/>
                <w:b/>
                <w:noProof/>
              </w:rPr>
              <w:t>锌：锌价先抑后扬，基本面支撑偏空</w:t>
            </w:r>
          </w:hyperlink>
        </w:p>
        <w:p w:rsidR="00BC5F45" w:rsidRDefault="00BC5F45">
          <w:pPr>
            <w:pStyle w:val="2"/>
            <w:tabs>
              <w:tab w:val="right" w:leader="dot" w:pos="8296"/>
            </w:tabs>
            <w:rPr>
              <w:rFonts w:eastAsiaTheme="minorEastAsia"/>
              <w:noProof/>
              <w:szCs w:val="22"/>
            </w:rPr>
          </w:pPr>
          <w:hyperlink w:anchor="_Toc132704362" w:history="1">
            <w:r w:rsidRPr="00537A18">
              <w:rPr>
                <w:rStyle w:val="a7"/>
                <w:rFonts w:ascii="楷体" w:eastAsia="楷体" w:hAnsi="楷体"/>
                <w:b/>
                <w:noProof/>
              </w:rPr>
              <w:t>镍：维持反弹后高空思路</w:t>
            </w:r>
          </w:hyperlink>
        </w:p>
        <w:p w:rsidR="00BC5F45" w:rsidRDefault="00BC5F45">
          <w:pPr>
            <w:pStyle w:val="2"/>
            <w:tabs>
              <w:tab w:val="right" w:leader="dot" w:pos="8296"/>
            </w:tabs>
            <w:rPr>
              <w:rFonts w:eastAsiaTheme="minorEastAsia"/>
              <w:noProof/>
              <w:szCs w:val="22"/>
            </w:rPr>
          </w:pPr>
          <w:hyperlink w:anchor="_Toc132704363" w:history="1">
            <w:r w:rsidRPr="00537A18">
              <w:rPr>
                <w:rStyle w:val="a7"/>
                <w:rFonts w:ascii="楷体" w:eastAsia="楷体" w:hAnsi="楷体"/>
                <w:b/>
                <w:noProof/>
              </w:rPr>
              <w:t>铅：淡季之下沪铅价格震荡整理</w:t>
            </w:r>
          </w:hyperlink>
        </w:p>
        <w:p w:rsidR="00BC5F45" w:rsidRDefault="00BC5F45">
          <w:pPr>
            <w:pStyle w:val="2"/>
            <w:tabs>
              <w:tab w:val="right" w:leader="dot" w:pos="8296"/>
            </w:tabs>
            <w:rPr>
              <w:rFonts w:eastAsiaTheme="minorEastAsia"/>
              <w:noProof/>
              <w:szCs w:val="22"/>
            </w:rPr>
          </w:pPr>
          <w:hyperlink w:anchor="_Toc132704364" w:history="1">
            <w:r w:rsidRPr="00537A18">
              <w:rPr>
                <w:rStyle w:val="a7"/>
                <w:rFonts w:ascii="楷体" w:eastAsia="楷体" w:hAnsi="楷体"/>
                <w:b/>
                <w:noProof/>
              </w:rPr>
              <w:t>不锈钢：短期震荡偏强，价格继续反弹空间有限</w:t>
            </w:r>
          </w:hyperlink>
        </w:p>
        <w:p w:rsidR="00BC5F45" w:rsidRDefault="00BC5F45">
          <w:pPr>
            <w:pStyle w:val="2"/>
            <w:tabs>
              <w:tab w:val="right" w:leader="dot" w:pos="8296"/>
            </w:tabs>
            <w:rPr>
              <w:rFonts w:eastAsiaTheme="minorEastAsia"/>
              <w:noProof/>
              <w:szCs w:val="22"/>
            </w:rPr>
          </w:pPr>
          <w:hyperlink w:anchor="_Toc132704365" w:history="1">
            <w:r w:rsidRPr="00537A18">
              <w:rPr>
                <w:rStyle w:val="a7"/>
                <w:rFonts w:ascii="楷体" w:eastAsia="楷体" w:hAnsi="楷体"/>
                <w:b/>
                <w:noProof/>
              </w:rPr>
              <w:t>工业硅：新疆减产消息影响，盘面有所反弹</w:t>
            </w:r>
          </w:hyperlink>
        </w:p>
        <w:p w:rsidR="00BC5F45" w:rsidRDefault="00BC5F45">
          <w:pPr>
            <w:pStyle w:val="11"/>
            <w:tabs>
              <w:tab w:val="right" w:leader="dot" w:pos="8296"/>
            </w:tabs>
            <w:rPr>
              <w:rFonts w:eastAsiaTheme="minorEastAsia"/>
              <w:noProof/>
              <w:szCs w:val="22"/>
            </w:rPr>
          </w:pPr>
          <w:hyperlink w:anchor="_Toc132704366" w:history="1">
            <w:r w:rsidRPr="00537A18">
              <w:rPr>
                <w:rStyle w:val="a7"/>
                <w:rFonts w:ascii="Times New Roman" w:eastAsia="楷体" w:hAnsi="Times New Roman"/>
                <w:b/>
                <w:noProof/>
              </w:rPr>
              <w:t>[</w:t>
            </w:r>
            <w:r w:rsidRPr="00537A18">
              <w:rPr>
                <w:rStyle w:val="a7"/>
                <w:rFonts w:ascii="Times New Roman" w:eastAsia="楷体" w:hAnsi="Times New Roman"/>
                <w:b/>
                <w:noProof/>
              </w:rPr>
              <w:t>化工</w:t>
            </w:r>
            <w:r w:rsidRPr="00537A18">
              <w:rPr>
                <w:rStyle w:val="a7"/>
                <w:rFonts w:ascii="Times New Roman" w:eastAsia="楷体" w:hAnsi="Times New Roman"/>
                <w:b/>
                <w:noProof/>
              </w:rPr>
              <w:t>]</w:t>
            </w:r>
          </w:hyperlink>
        </w:p>
        <w:p w:rsidR="00BC5F45" w:rsidRDefault="00BC5F45">
          <w:pPr>
            <w:pStyle w:val="2"/>
            <w:tabs>
              <w:tab w:val="right" w:leader="dot" w:pos="8296"/>
            </w:tabs>
            <w:rPr>
              <w:rFonts w:eastAsiaTheme="minorEastAsia"/>
              <w:noProof/>
              <w:szCs w:val="22"/>
            </w:rPr>
          </w:pPr>
          <w:hyperlink w:anchor="_Toc132704367" w:history="1">
            <w:r w:rsidRPr="00537A18">
              <w:rPr>
                <w:rStyle w:val="a7"/>
                <w:rFonts w:ascii="Times New Roman" w:eastAsia="楷体" w:hAnsi="Times New Roman"/>
                <w:b/>
                <w:noProof/>
              </w:rPr>
              <w:t>天然橡胶</w:t>
            </w:r>
            <w:r w:rsidRPr="00537A18">
              <w:rPr>
                <w:rStyle w:val="a7"/>
                <w:rFonts w:ascii="Times New Roman" w:eastAsia="楷体" w:hAnsi="Times New Roman"/>
                <w:b/>
                <w:noProof/>
              </w:rPr>
              <w:t>:</w:t>
            </w:r>
            <w:r w:rsidRPr="00537A18">
              <w:rPr>
                <w:rStyle w:val="a7"/>
                <w:noProof/>
              </w:rPr>
              <w:t xml:space="preserve"> </w:t>
            </w:r>
            <w:r w:rsidRPr="00537A18">
              <w:rPr>
                <w:rStyle w:val="a7"/>
                <w:rFonts w:ascii="Times New Roman" w:eastAsia="楷体" w:hAnsi="Times New Roman"/>
                <w:b/>
                <w:noProof/>
              </w:rPr>
              <w:t>RU</w:t>
            </w:r>
            <w:r w:rsidRPr="00537A18">
              <w:rPr>
                <w:rStyle w:val="a7"/>
                <w:rFonts w:ascii="Times New Roman" w:eastAsia="楷体" w:hAnsi="Times New Roman"/>
                <w:b/>
                <w:noProof/>
              </w:rPr>
              <w:t>港口库存问题仍待改善</w:t>
            </w:r>
            <w:r w:rsidRPr="00537A18">
              <w:rPr>
                <w:rStyle w:val="a7"/>
                <w:rFonts w:ascii="Times New Roman" w:eastAsia="楷体" w:hAnsi="Times New Roman"/>
                <w:b/>
                <w:noProof/>
              </w:rPr>
              <w:t xml:space="preserve"> </w:t>
            </w:r>
            <w:r w:rsidRPr="00537A18">
              <w:rPr>
                <w:rStyle w:val="a7"/>
                <w:rFonts w:ascii="Times New Roman" w:eastAsia="楷体" w:hAnsi="Times New Roman"/>
                <w:b/>
                <w:noProof/>
              </w:rPr>
              <w:t>胶价上行空间有限</w:t>
            </w:r>
          </w:hyperlink>
        </w:p>
        <w:p w:rsidR="00BC5F45" w:rsidRDefault="00BC5F45">
          <w:pPr>
            <w:pStyle w:val="2"/>
            <w:tabs>
              <w:tab w:val="right" w:leader="dot" w:pos="8296"/>
            </w:tabs>
            <w:rPr>
              <w:rFonts w:eastAsiaTheme="minorEastAsia"/>
              <w:noProof/>
              <w:szCs w:val="22"/>
            </w:rPr>
          </w:pPr>
          <w:hyperlink w:anchor="_Toc132704368" w:history="1">
            <w:r w:rsidRPr="00537A18">
              <w:rPr>
                <w:rStyle w:val="a7"/>
                <w:rFonts w:ascii="楷体" w:eastAsia="楷体" w:hAnsi="楷体"/>
                <w:b/>
                <w:noProof/>
              </w:rPr>
              <w:t>PTA：油强及PX检修叠加调油需求继续给予支撑</w:t>
            </w:r>
          </w:hyperlink>
        </w:p>
        <w:p w:rsidR="00BC5F45" w:rsidRDefault="00BC5F45">
          <w:pPr>
            <w:pStyle w:val="2"/>
            <w:tabs>
              <w:tab w:val="right" w:leader="dot" w:pos="8296"/>
            </w:tabs>
            <w:rPr>
              <w:rFonts w:eastAsiaTheme="minorEastAsia"/>
              <w:noProof/>
              <w:szCs w:val="22"/>
            </w:rPr>
          </w:pPr>
          <w:hyperlink w:anchor="_Toc132704369" w:history="1">
            <w:r w:rsidRPr="00537A18">
              <w:rPr>
                <w:rStyle w:val="a7"/>
                <w:rFonts w:ascii="楷体" w:eastAsia="楷体" w:hAnsi="楷体"/>
                <w:b/>
                <w:noProof/>
              </w:rPr>
              <w:t>PVC：春检在即供需改善 关注V低多机会</w:t>
            </w:r>
          </w:hyperlink>
        </w:p>
        <w:p w:rsidR="00BC5F45" w:rsidRDefault="00BC5F45">
          <w:pPr>
            <w:pStyle w:val="2"/>
            <w:tabs>
              <w:tab w:val="right" w:leader="dot" w:pos="8296"/>
            </w:tabs>
            <w:rPr>
              <w:rFonts w:eastAsiaTheme="minorEastAsia"/>
              <w:noProof/>
              <w:szCs w:val="22"/>
            </w:rPr>
          </w:pPr>
          <w:hyperlink w:anchor="_Toc132704370" w:history="1">
            <w:r w:rsidRPr="00537A18">
              <w:rPr>
                <w:rStyle w:val="a7"/>
                <w:rFonts w:ascii="楷体" w:eastAsia="楷体" w:hAnsi="楷体"/>
                <w:b/>
                <w:noProof/>
              </w:rPr>
              <w:t>聚烯烃：供需无明显变化下 聚烯烃或窄幅整理为主</w:t>
            </w:r>
          </w:hyperlink>
        </w:p>
        <w:p w:rsidR="00BC5F45" w:rsidRDefault="00BC5F45">
          <w:pPr>
            <w:pStyle w:val="2"/>
            <w:tabs>
              <w:tab w:val="right" w:leader="dot" w:pos="8296"/>
            </w:tabs>
            <w:rPr>
              <w:rFonts w:eastAsiaTheme="minorEastAsia"/>
              <w:noProof/>
              <w:szCs w:val="22"/>
            </w:rPr>
          </w:pPr>
          <w:hyperlink w:anchor="_Toc132704371" w:history="1">
            <w:r w:rsidRPr="00537A18">
              <w:rPr>
                <w:rStyle w:val="a7"/>
                <w:rFonts w:ascii="楷体" w:eastAsia="楷体" w:hAnsi="楷体"/>
                <w:b/>
                <w:noProof/>
              </w:rPr>
              <w:t>MEG：4月检修及进口有限供需结构改善 09偏多配</w:t>
            </w:r>
          </w:hyperlink>
        </w:p>
        <w:p w:rsidR="00BC5F45" w:rsidRDefault="00BC5F45">
          <w:pPr>
            <w:pStyle w:val="2"/>
            <w:tabs>
              <w:tab w:val="right" w:leader="dot" w:pos="8296"/>
            </w:tabs>
            <w:rPr>
              <w:rFonts w:eastAsiaTheme="minorEastAsia"/>
              <w:noProof/>
              <w:szCs w:val="22"/>
            </w:rPr>
          </w:pPr>
          <w:hyperlink w:anchor="_Toc132704372" w:history="1">
            <w:r w:rsidRPr="00537A18">
              <w:rPr>
                <w:rStyle w:val="a7"/>
                <w:rFonts w:ascii="楷体" w:eastAsia="楷体" w:hAnsi="楷体"/>
                <w:b/>
                <w:noProof/>
              </w:rPr>
              <w:t>玻璃：周末玻璃现货继续上涨，期价涨幅较大</w:t>
            </w:r>
          </w:hyperlink>
        </w:p>
        <w:p w:rsidR="00BC5F45" w:rsidRDefault="00BC5F45">
          <w:pPr>
            <w:pStyle w:val="2"/>
            <w:tabs>
              <w:tab w:val="right" w:leader="dot" w:pos="8296"/>
            </w:tabs>
            <w:rPr>
              <w:rFonts w:eastAsiaTheme="minorEastAsia"/>
              <w:noProof/>
              <w:szCs w:val="22"/>
            </w:rPr>
          </w:pPr>
          <w:hyperlink w:anchor="_Toc132704373" w:history="1">
            <w:r w:rsidRPr="00537A18">
              <w:rPr>
                <w:rStyle w:val="a7"/>
                <w:rFonts w:ascii="楷体" w:eastAsia="楷体" w:hAnsi="楷体"/>
                <w:b/>
                <w:noProof/>
              </w:rPr>
              <w:t>纯碱：市场价格维稳，期价弱势反弹</w:t>
            </w:r>
          </w:hyperlink>
        </w:p>
        <w:p w:rsidR="00BC5F45" w:rsidRDefault="00BC5F45">
          <w:pPr>
            <w:pStyle w:val="11"/>
            <w:tabs>
              <w:tab w:val="right" w:leader="dot" w:pos="8296"/>
            </w:tabs>
            <w:rPr>
              <w:rFonts w:eastAsiaTheme="minorEastAsia"/>
              <w:noProof/>
              <w:szCs w:val="22"/>
            </w:rPr>
          </w:pPr>
          <w:hyperlink w:anchor="_Toc132704374" w:history="1">
            <w:r w:rsidRPr="00537A18">
              <w:rPr>
                <w:rStyle w:val="a7"/>
                <w:rFonts w:ascii="Times New Roman" w:eastAsia="楷体" w:hAnsi="Times New Roman"/>
                <w:b/>
                <w:noProof/>
              </w:rPr>
              <w:t>[</w:t>
            </w:r>
            <w:r w:rsidRPr="00537A18">
              <w:rPr>
                <w:rStyle w:val="a7"/>
                <w:rFonts w:ascii="Times New Roman" w:eastAsia="楷体" w:hAnsi="Times New Roman"/>
                <w:b/>
                <w:noProof/>
              </w:rPr>
              <w:t>农产品</w:t>
            </w:r>
            <w:r w:rsidRPr="00537A18">
              <w:rPr>
                <w:rStyle w:val="a7"/>
                <w:rFonts w:ascii="Times New Roman" w:eastAsia="楷体" w:hAnsi="Times New Roman"/>
                <w:b/>
                <w:noProof/>
              </w:rPr>
              <w:t>]</w:t>
            </w:r>
          </w:hyperlink>
        </w:p>
        <w:p w:rsidR="00BC5F45" w:rsidRDefault="00BC5F45">
          <w:pPr>
            <w:pStyle w:val="2"/>
            <w:tabs>
              <w:tab w:val="right" w:leader="dot" w:pos="8296"/>
            </w:tabs>
            <w:rPr>
              <w:rFonts w:eastAsiaTheme="minorEastAsia"/>
              <w:noProof/>
              <w:szCs w:val="22"/>
            </w:rPr>
          </w:pPr>
          <w:hyperlink w:anchor="_Toc132704375" w:history="1">
            <w:r w:rsidRPr="00537A18">
              <w:rPr>
                <w:rStyle w:val="a7"/>
                <w:rFonts w:ascii="楷体" w:eastAsia="楷体" w:hAnsi="楷体"/>
                <w:b/>
                <w:noProof/>
              </w:rPr>
              <w:t>豆粕/菜粕：近月偏强，但阶段性压力仍存</w:t>
            </w:r>
          </w:hyperlink>
        </w:p>
        <w:p w:rsidR="00BC5F45" w:rsidRDefault="00BC5F45">
          <w:pPr>
            <w:pStyle w:val="2"/>
            <w:tabs>
              <w:tab w:val="right" w:leader="dot" w:pos="8296"/>
            </w:tabs>
            <w:rPr>
              <w:rFonts w:eastAsiaTheme="minorEastAsia"/>
              <w:noProof/>
              <w:szCs w:val="22"/>
            </w:rPr>
          </w:pPr>
          <w:hyperlink w:anchor="_Toc132704376" w:history="1">
            <w:r w:rsidRPr="00537A18">
              <w:rPr>
                <w:rStyle w:val="a7"/>
                <w:rFonts w:ascii="楷体" w:eastAsia="楷体" w:hAnsi="楷体"/>
                <w:b/>
                <w:noProof/>
              </w:rPr>
              <w:t>油脂：缺乏有效驱动，趋于震荡</w:t>
            </w:r>
          </w:hyperlink>
        </w:p>
        <w:p w:rsidR="00BC5F45" w:rsidRDefault="00BC5F45">
          <w:pPr>
            <w:pStyle w:val="2"/>
            <w:tabs>
              <w:tab w:val="right" w:leader="dot" w:pos="8296"/>
            </w:tabs>
            <w:rPr>
              <w:rFonts w:eastAsiaTheme="minorEastAsia"/>
              <w:noProof/>
              <w:szCs w:val="22"/>
            </w:rPr>
          </w:pPr>
          <w:hyperlink w:anchor="_Toc132704377" w:history="1">
            <w:r w:rsidRPr="00537A18">
              <w:rPr>
                <w:rStyle w:val="a7"/>
                <w:rFonts w:ascii="楷体" w:eastAsia="楷体" w:hAnsi="楷体"/>
                <w:b/>
                <w:bCs/>
                <w:noProof/>
              </w:rPr>
              <w:t>玉米与淀粉：</w:t>
            </w:r>
            <w:r w:rsidRPr="00537A18">
              <w:rPr>
                <w:rStyle w:val="a7"/>
                <w:rFonts w:ascii="楷体" w:eastAsia="楷体" w:hAnsi="楷体"/>
                <w:b/>
                <w:noProof/>
              </w:rPr>
              <w:t>期价延续弱势</w:t>
            </w:r>
          </w:hyperlink>
        </w:p>
        <w:p w:rsidR="00BC5F45" w:rsidRDefault="00BC5F45">
          <w:pPr>
            <w:pStyle w:val="2"/>
            <w:tabs>
              <w:tab w:val="right" w:leader="dot" w:pos="8296"/>
            </w:tabs>
            <w:rPr>
              <w:rFonts w:eastAsiaTheme="minorEastAsia"/>
              <w:noProof/>
              <w:szCs w:val="22"/>
            </w:rPr>
          </w:pPr>
          <w:hyperlink w:anchor="_Toc132704378" w:history="1">
            <w:r w:rsidRPr="00537A18">
              <w:rPr>
                <w:rStyle w:val="a7"/>
                <w:rFonts w:ascii="楷体" w:eastAsia="楷体" w:hAnsi="楷体"/>
                <w:b/>
                <w:bCs/>
                <w:noProof/>
              </w:rPr>
              <w:t>畜禽养殖：期价大幅反弹</w:t>
            </w:r>
          </w:hyperlink>
        </w:p>
        <w:p w:rsidR="00BC5F45" w:rsidRDefault="00BC5F45">
          <w:pPr>
            <w:pStyle w:val="2"/>
            <w:tabs>
              <w:tab w:val="right" w:leader="dot" w:pos="8296"/>
            </w:tabs>
            <w:rPr>
              <w:rFonts w:eastAsiaTheme="minorEastAsia"/>
              <w:noProof/>
              <w:szCs w:val="22"/>
            </w:rPr>
          </w:pPr>
          <w:hyperlink w:anchor="_Toc132704379" w:history="1">
            <w:r w:rsidRPr="00537A18">
              <w:rPr>
                <w:rStyle w:val="a7"/>
                <w:rFonts w:ascii="楷体" w:eastAsia="楷体" w:hAnsi="楷体"/>
                <w:b/>
                <w:noProof/>
              </w:rPr>
              <w:t>郑棉：郑棉震荡整理</w:t>
            </w:r>
          </w:hyperlink>
        </w:p>
        <w:p w:rsidR="003F56A5" w:rsidRPr="008F2A6E" w:rsidRDefault="00CC3FFA">
          <w:r>
            <w:rPr>
              <w:bCs/>
            </w:rPr>
            <w:fldChar w:fldCharType="end"/>
          </w:r>
        </w:p>
      </w:sdtContent>
    </w:sdt>
    <w:p w:rsidR="003F56A5" w:rsidRDefault="003F56A5">
      <w:pPr>
        <w:rPr>
          <w:rFonts w:ascii="Times New Roman" w:eastAsia="楷体" w:hAnsi="Times New Roman" w:cs="Times New Roman"/>
          <w:b/>
          <w:color w:val="823C0B"/>
          <w:sz w:val="24"/>
        </w:rPr>
      </w:pPr>
    </w:p>
    <w:p w:rsidR="003F56A5" w:rsidRDefault="003F56A5">
      <w:pPr>
        <w:rPr>
          <w:rFonts w:ascii="Times New Roman" w:eastAsia="楷体" w:hAnsi="Times New Roman" w:cs="Times New Roman"/>
          <w:b/>
          <w:color w:val="823C0B"/>
          <w:sz w:val="24"/>
        </w:rPr>
      </w:pPr>
    </w:p>
    <w:p w:rsidR="003F56A5" w:rsidRDefault="00CC3FFA">
      <w:pPr>
        <w:rPr>
          <w:rFonts w:ascii="Times New Roman" w:eastAsia="楷体" w:hAnsi="Times New Roman" w:cs="Times New Roman"/>
          <w:b/>
          <w:color w:val="823C0B"/>
          <w:sz w:val="24"/>
        </w:rPr>
        <w:sectPr w:rsidR="003F56A5">
          <w:headerReference w:type="default" r:id="rId8"/>
          <w:footerReference w:type="default" r:id="rId9"/>
          <w:headerReference w:type="first" r:id="rId10"/>
          <w:pgSz w:w="11906" w:h="16838"/>
          <w:pgMar w:top="1440" w:right="1800" w:bottom="1440" w:left="1800" w:header="850" w:footer="1077" w:gutter="0"/>
          <w:cols w:space="425"/>
          <w:titlePg/>
          <w:docGrid w:type="lines" w:linePitch="312"/>
        </w:sectPr>
      </w:pPr>
      <w:r>
        <w:rPr>
          <w:rFonts w:ascii="Times New Roman" w:eastAsia="楷体" w:hAnsi="Times New Roman" w:cs="Times New Roman" w:hint="eastAsia"/>
          <w:b/>
          <w:color w:val="823C0B"/>
          <w:sz w:val="24"/>
        </w:rPr>
        <w:t>本文观点、结论和建议等仅供参考，并不构成操作依据！请阅读文末免责声明。</w:t>
      </w:r>
    </w:p>
    <w:p w:rsidR="003F56A5" w:rsidRDefault="003F56A5">
      <w:pPr>
        <w:rPr>
          <w:rFonts w:ascii="Times New Roman" w:eastAsia="楷体" w:hAnsi="Times New Roman" w:cs="Times New Roman"/>
          <w:b/>
          <w:color w:val="823C0B"/>
          <w:sz w:val="24"/>
        </w:rPr>
      </w:pPr>
    </w:p>
    <w:p w:rsidR="003F56A5" w:rsidRDefault="00CC3FFA">
      <w:pPr>
        <w:jc w:val="center"/>
        <w:rPr>
          <w:rFonts w:ascii="Times New Roman" w:eastAsia="楷体" w:hAnsi="Times New Roman"/>
          <w:b/>
          <w:color w:val="823C0B"/>
          <w:sz w:val="30"/>
          <w:szCs w:val="30"/>
        </w:rPr>
      </w:pPr>
      <w:r>
        <w:rPr>
          <w:rFonts w:ascii="Times New Roman" w:eastAsia="楷体" w:hAnsi="Times New Roman" w:hint="eastAsia"/>
          <w:b/>
          <w:color w:val="823C0B"/>
          <w:sz w:val="30"/>
          <w:szCs w:val="30"/>
        </w:rPr>
        <w:t>本日早评</w:t>
      </w:r>
    </w:p>
    <w:p w:rsidR="003F56A5" w:rsidRDefault="00CC3FFA">
      <w:pPr>
        <w:pBdr>
          <w:top w:val="single" w:sz="4" w:space="0" w:color="auto"/>
        </w:pBdr>
        <w:outlineLvl w:val="0"/>
        <w:rPr>
          <w:rFonts w:ascii="Times New Roman" w:eastAsia="楷体" w:hAnsi="Times New Roman"/>
          <w:b/>
          <w:color w:val="823C0B"/>
        </w:rPr>
      </w:pPr>
      <w:bookmarkStart w:id="1" w:name="_Toc19317"/>
      <w:bookmarkStart w:id="2" w:name="_Toc18033"/>
      <w:bookmarkStart w:id="3" w:name="金融"/>
      <w:bookmarkStart w:id="4" w:name="_Toc132704351"/>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金融</w:t>
      </w:r>
      <w:r>
        <w:rPr>
          <w:rFonts w:ascii="Times New Roman" w:eastAsia="楷体" w:hAnsi="Times New Roman" w:hint="eastAsia"/>
          <w:b/>
          <w:color w:val="823C0B"/>
          <w:sz w:val="30"/>
          <w:szCs w:val="30"/>
        </w:rPr>
        <w:t>]</w:t>
      </w:r>
      <w:bookmarkEnd w:id="1"/>
      <w:bookmarkEnd w:id="2"/>
      <w:bookmarkEnd w:id="4"/>
    </w:p>
    <w:p w:rsidR="003F56A5" w:rsidRDefault="00CC3FFA">
      <w:pPr>
        <w:ind w:leftChars="200" w:left="420"/>
        <w:outlineLvl w:val="1"/>
        <w:rPr>
          <w:rFonts w:ascii="Times New Roman" w:eastAsia="楷体" w:hAnsi="Times New Roman"/>
          <w:b/>
          <w:color w:val="000000" w:themeColor="text1"/>
          <w:sz w:val="24"/>
          <w:szCs w:val="24"/>
        </w:rPr>
      </w:pPr>
      <w:bookmarkStart w:id="5" w:name="_Toc965"/>
      <w:bookmarkStart w:id="6" w:name="_Toc16295"/>
      <w:bookmarkStart w:id="7" w:name="_Toc132704352"/>
      <w:bookmarkEnd w:id="3"/>
      <w:r>
        <w:rPr>
          <w:rFonts w:ascii="Times New Roman" w:eastAsia="楷体" w:hAnsi="Times New Roman" w:hint="eastAsia"/>
          <w:b/>
          <w:color w:val="000000" w:themeColor="text1"/>
          <w:sz w:val="24"/>
          <w:szCs w:val="24"/>
        </w:rPr>
        <w:t>股指：</w:t>
      </w:r>
      <w:bookmarkEnd w:id="5"/>
      <w:bookmarkEnd w:id="6"/>
      <w:r w:rsidR="00BC5F45" w:rsidRPr="00BC5F45">
        <w:rPr>
          <w:rFonts w:ascii="Times New Roman" w:eastAsia="楷体" w:hAnsi="Times New Roman" w:hint="eastAsia"/>
          <w:b/>
          <w:color w:val="000000" w:themeColor="text1"/>
          <w:sz w:val="24"/>
          <w:szCs w:val="24"/>
        </w:rPr>
        <w:t>IH</w:t>
      </w:r>
      <w:r w:rsidR="00BC5F45" w:rsidRPr="00BC5F45">
        <w:rPr>
          <w:rFonts w:ascii="Times New Roman" w:eastAsia="楷体" w:hAnsi="Times New Roman" w:hint="eastAsia"/>
          <w:b/>
          <w:color w:val="000000" w:themeColor="text1"/>
          <w:sz w:val="24"/>
          <w:szCs w:val="24"/>
        </w:rPr>
        <w:t>多单持有</w:t>
      </w:r>
      <w:bookmarkEnd w:id="7"/>
    </w:p>
    <w:p w:rsidR="003F56A5" w:rsidRDefault="00BC5F45">
      <w:pPr>
        <w:ind w:leftChars="300" w:left="630"/>
        <w:rPr>
          <w:rFonts w:ascii="Times New Roman" w:eastAsia="楷体" w:hAnsi="Times New Roman"/>
          <w:color w:val="000000" w:themeColor="text1"/>
          <w:sz w:val="24"/>
          <w:szCs w:val="24"/>
        </w:rPr>
      </w:pPr>
      <w:r w:rsidRPr="00BC5F45">
        <w:rPr>
          <w:rFonts w:ascii="Times New Roman" w:eastAsia="楷体" w:hAnsi="Times New Roman" w:hint="eastAsia"/>
          <w:color w:val="000000" w:themeColor="text1"/>
          <w:sz w:val="24"/>
          <w:szCs w:val="24"/>
        </w:rPr>
        <w:t>随着四月政治局会议临近，市场将对宏观大势做出四月决断，部分顺周期板块受“通缩担忧”估值回调到低位反而下行风险有限，若复苏的积极变化继续累积则存在修复空间，而考虑到一季度业绩期到来</w:t>
      </w:r>
      <w:r w:rsidRPr="00BC5F45">
        <w:rPr>
          <w:rFonts w:ascii="Times New Roman" w:eastAsia="楷体" w:hAnsi="Times New Roman" w:hint="eastAsia"/>
          <w:color w:val="000000" w:themeColor="text1"/>
          <w:sz w:val="24"/>
          <w:szCs w:val="24"/>
        </w:rPr>
        <w:t>+TMT</w:t>
      </w:r>
      <w:r w:rsidRPr="00BC5F45">
        <w:rPr>
          <w:rFonts w:ascii="Times New Roman" w:eastAsia="楷体" w:hAnsi="Times New Roman" w:hint="eastAsia"/>
          <w:color w:val="000000" w:themeColor="text1"/>
          <w:sz w:val="24"/>
          <w:szCs w:val="24"/>
        </w:rPr>
        <w:t>板块整体拥挤度达到高点，或进入情绪消化期。随着增量资金流入放缓，存量资金由弹性较高的</w:t>
      </w:r>
      <w:r w:rsidRPr="00BC5F45">
        <w:rPr>
          <w:rFonts w:ascii="Times New Roman" w:eastAsia="楷体" w:hAnsi="Times New Roman" w:hint="eastAsia"/>
          <w:color w:val="000000" w:themeColor="text1"/>
          <w:sz w:val="24"/>
          <w:szCs w:val="24"/>
        </w:rPr>
        <w:t>TMT</w:t>
      </w:r>
      <w:r w:rsidRPr="00BC5F45">
        <w:rPr>
          <w:rFonts w:ascii="Times New Roman" w:eastAsia="楷体" w:hAnsi="Times New Roman" w:hint="eastAsia"/>
          <w:color w:val="000000" w:themeColor="text1"/>
          <w:sz w:val="24"/>
          <w:szCs w:val="24"/>
        </w:rPr>
        <w:t>方向逐步轮动至安全边际更高的红利方向，关注</w:t>
      </w:r>
      <w:r w:rsidRPr="00BC5F45">
        <w:rPr>
          <w:rFonts w:ascii="Times New Roman" w:eastAsia="楷体" w:hAnsi="Times New Roman" w:hint="eastAsia"/>
          <w:color w:val="000000" w:themeColor="text1"/>
          <w:sz w:val="24"/>
          <w:szCs w:val="24"/>
        </w:rPr>
        <w:t>Q1</w:t>
      </w:r>
      <w:r w:rsidRPr="00BC5F45">
        <w:rPr>
          <w:rFonts w:ascii="Times New Roman" w:eastAsia="楷体" w:hAnsi="Times New Roman" w:hint="eastAsia"/>
          <w:color w:val="000000" w:themeColor="text1"/>
          <w:sz w:val="24"/>
          <w:szCs w:val="24"/>
        </w:rPr>
        <w:t>经济数据</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rPr>
      </w:pPr>
      <w:bookmarkStart w:id="8" w:name="_Toc132704353"/>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贵金属</w:t>
      </w:r>
      <w:r>
        <w:rPr>
          <w:rFonts w:ascii="Times New Roman" w:eastAsia="楷体" w:hAnsi="Times New Roman" w:hint="eastAsia"/>
          <w:b/>
          <w:color w:val="823C0B"/>
          <w:sz w:val="30"/>
          <w:szCs w:val="30"/>
        </w:rPr>
        <w:t>]</w:t>
      </w:r>
      <w:bookmarkEnd w:id="8"/>
    </w:p>
    <w:p w:rsidR="003F56A5" w:rsidRDefault="00CC3FFA">
      <w:pPr>
        <w:ind w:leftChars="200" w:left="420"/>
        <w:outlineLvl w:val="1"/>
        <w:rPr>
          <w:rFonts w:ascii="Times New Roman" w:eastAsia="楷体" w:hAnsi="Times New Roman"/>
          <w:b/>
          <w:color w:val="000000" w:themeColor="text1"/>
          <w:sz w:val="24"/>
          <w:szCs w:val="24"/>
        </w:rPr>
      </w:pPr>
      <w:bookmarkStart w:id="9" w:name="_Toc132704354"/>
      <w:r>
        <w:rPr>
          <w:rFonts w:ascii="Times New Roman" w:eastAsia="楷体" w:hAnsi="Times New Roman" w:hint="eastAsia"/>
          <w:b/>
          <w:color w:val="000000" w:themeColor="text1"/>
          <w:sz w:val="24"/>
          <w:szCs w:val="24"/>
        </w:rPr>
        <w:t>贵金属：</w:t>
      </w:r>
      <w:r w:rsidR="00BC5F45" w:rsidRPr="00BC5F45">
        <w:rPr>
          <w:rFonts w:ascii="Times New Roman" w:eastAsia="楷体" w:hAnsi="Times New Roman" w:hint="eastAsia"/>
          <w:b/>
          <w:color w:val="000000" w:themeColor="text1"/>
          <w:sz w:val="24"/>
          <w:szCs w:val="24"/>
        </w:rPr>
        <w:t>纽约联储制造业指数好于预期，贵金属价格回落</w:t>
      </w:r>
      <w:bookmarkEnd w:id="9"/>
    </w:p>
    <w:p w:rsidR="003F56A5" w:rsidRDefault="00BC5F45">
      <w:pPr>
        <w:ind w:leftChars="300" w:left="630"/>
        <w:rPr>
          <w:rFonts w:ascii="Times New Roman" w:eastAsia="楷体" w:hAnsi="Times New Roman"/>
          <w:sz w:val="24"/>
          <w:szCs w:val="24"/>
        </w:rPr>
      </w:pPr>
      <w:r w:rsidRPr="00BC5F45">
        <w:rPr>
          <w:rFonts w:ascii="Times New Roman" w:eastAsia="楷体" w:hAnsi="Times New Roman" w:hint="eastAsia"/>
          <w:color w:val="000000" w:themeColor="text1"/>
          <w:sz w:val="24"/>
          <w:szCs w:val="24"/>
        </w:rPr>
        <w:t>美国</w:t>
      </w:r>
      <w:r w:rsidRPr="00BC5F45">
        <w:rPr>
          <w:rFonts w:ascii="Times New Roman" w:eastAsia="楷体" w:hAnsi="Times New Roman" w:hint="eastAsia"/>
          <w:color w:val="000000" w:themeColor="text1"/>
          <w:sz w:val="24"/>
          <w:szCs w:val="24"/>
        </w:rPr>
        <w:t>4</w:t>
      </w:r>
      <w:r w:rsidRPr="00BC5F45">
        <w:rPr>
          <w:rFonts w:ascii="Times New Roman" w:eastAsia="楷体" w:hAnsi="Times New Roman" w:hint="eastAsia"/>
          <w:color w:val="000000" w:themeColor="text1"/>
          <w:sz w:val="24"/>
          <w:szCs w:val="24"/>
        </w:rPr>
        <w:t>月纽约联储制造业指数录得</w:t>
      </w:r>
      <w:r w:rsidRPr="00BC5F45">
        <w:rPr>
          <w:rFonts w:ascii="Times New Roman" w:eastAsia="楷体" w:hAnsi="Times New Roman" w:hint="eastAsia"/>
          <w:color w:val="000000" w:themeColor="text1"/>
          <w:sz w:val="24"/>
          <w:szCs w:val="24"/>
        </w:rPr>
        <w:t>10.8</w:t>
      </w:r>
      <w:r w:rsidRPr="00BC5F45">
        <w:rPr>
          <w:rFonts w:ascii="Times New Roman" w:eastAsia="楷体" w:hAnsi="Times New Roman" w:hint="eastAsia"/>
          <w:color w:val="000000" w:themeColor="text1"/>
          <w:sz w:val="24"/>
          <w:szCs w:val="24"/>
        </w:rPr>
        <w:t>，大幅高于预期及前值。美国</w:t>
      </w:r>
      <w:r w:rsidRPr="00BC5F45">
        <w:rPr>
          <w:rFonts w:ascii="Times New Roman" w:eastAsia="楷体" w:hAnsi="Times New Roman" w:hint="eastAsia"/>
          <w:color w:val="000000" w:themeColor="text1"/>
          <w:sz w:val="24"/>
          <w:szCs w:val="24"/>
        </w:rPr>
        <w:t>4</w:t>
      </w:r>
      <w:r w:rsidRPr="00BC5F45">
        <w:rPr>
          <w:rFonts w:ascii="Times New Roman" w:eastAsia="楷体" w:hAnsi="Times New Roman" w:hint="eastAsia"/>
          <w:color w:val="000000" w:themeColor="text1"/>
          <w:sz w:val="24"/>
          <w:szCs w:val="24"/>
        </w:rPr>
        <w:t>月</w:t>
      </w:r>
      <w:r w:rsidRPr="00BC5F45">
        <w:rPr>
          <w:rFonts w:ascii="Times New Roman" w:eastAsia="楷体" w:hAnsi="Times New Roman" w:hint="eastAsia"/>
          <w:color w:val="000000" w:themeColor="text1"/>
          <w:sz w:val="24"/>
          <w:szCs w:val="24"/>
        </w:rPr>
        <w:t>NAHB</w:t>
      </w:r>
      <w:r w:rsidRPr="00BC5F45">
        <w:rPr>
          <w:rFonts w:ascii="Times New Roman" w:eastAsia="楷体" w:hAnsi="Times New Roman" w:hint="eastAsia"/>
          <w:color w:val="000000" w:themeColor="text1"/>
          <w:sz w:val="24"/>
          <w:szCs w:val="24"/>
        </w:rPr>
        <w:t>房产市场指数录得</w:t>
      </w:r>
      <w:r w:rsidRPr="00BC5F45">
        <w:rPr>
          <w:rFonts w:ascii="Times New Roman" w:eastAsia="楷体" w:hAnsi="Times New Roman" w:hint="eastAsia"/>
          <w:color w:val="000000" w:themeColor="text1"/>
          <w:sz w:val="24"/>
          <w:szCs w:val="24"/>
        </w:rPr>
        <w:t>45</w:t>
      </w:r>
      <w:r w:rsidRPr="00BC5F45">
        <w:rPr>
          <w:rFonts w:ascii="Times New Roman" w:eastAsia="楷体" w:hAnsi="Times New Roman" w:hint="eastAsia"/>
          <w:color w:val="000000" w:themeColor="text1"/>
          <w:sz w:val="24"/>
          <w:szCs w:val="24"/>
        </w:rPr>
        <w:t>，较上月小幅上行。上周美联储理事沃勒讲话称，最新数据显示美联储在通胀目标上没有取得太大进展，利率需要进一步上升，政策需要在相当长一段时间内保持紧缩。美元指数及美债收益率短线小幅反弹，外盘</w:t>
      </w:r>
      <w:r w:rsidRPr="00BC5F45">
        <w:rPr>
          <w:rFonts w:ascii="Times New Roman" w:eastAsia="楷体" w:hAnsi="Times New Roman" w:hint="eastAsia"/>
          <w:color w:val="000000" w:themeColor="text1"/>
          <w:sz w:val="24"/>
          <w:szCs w:val="24"/>
        </w:rPr>
        <w:t>COMEX</w:t>
      </w:r>
      <w:r w:rsidRPr="00BC5F45">
        <w:rPr>
          <w:rFonts w:ascii="Times New Roman" w:eastAsia="楷体" w:hAnsi="Times New Roman" w:hint="eastAsia"/>
          <w:color w:val="000000" w:themeColor="text1"/>
          <w:sz w:val="24"/>
          <w:szCs w:val="24"/>
        </w:rPr>
        <w:t>金价于</w:t>
      </w:r>
      <w:r w:rsidRPr="00BC5F45">
        <w:rPr>
          <w:rFonts w:ascii="Times New Roman" w:eastAsia="楷体" w:hAnsi="Times New Roman" w:hint="eastAsia"/>
          <w:color w:val="000000" w:themeColor="text1"/>
          <w:sz w:val="24"/>
          <w:szCs w:val="24"/>
        </w:rPr>
        <w:t>2000</w:t>
      </w:r>
      <w:r w:rsidRPr="00BC5F45">
        <w:rPr>
          <w:rFonts w:ascii="Times New Roman" w:eastAsia="楷体" w:hAnsi="Times New Roman" w:hint="eastAsia"/>
          <w:color w:val="000000" w:themeColor="text1"/>
          <w:sz w:val="24"/>
          <w:szCs w:val="24"/>
        </w:rPr>
        <w:t>美元</w:t>
      </w:r>
      <w:r w:rsidRPr="00BC5F45">
        <w:rPr>
          <w:rFonts w:ascii="Times New Roman" w:eastAsia="楷体" w:hAnsi="Times New Roman" w:hint="eastAsia"/>
          <w:color w:val="000000" w:themeColor="text1"/>
          <w:sz w:val="24"/>
          <w:szCs w:val="24"/>
        </w:rPr>
        <w:t>/</w:t>
      </w:r>
      <w:r w:rsidRPr="00BC5F45">
        <w:rPr>
          <w:rFonts w:ascii="Times New Roman" w:eastAsia="楷体" w:hAnsi="Times New Roman" w:hint="eastAsia"/>
          <w:color w:val="000000" w:themeColor="text1"/>
          <w:sz w:val="24"/>
          <w:szCs w:val="24"/>
        </w:rPr>
        <w:t>盎司水平震荡，隔夜沪金、沪银跟随外盘走势回调。本周美联储将公布经济状况褐皮书，联储官员近期密集发声，或意在通过鹰派的前瞻性指引调整市场利率预期。美联储加息接近终点，海外经济年内或陷入衰退，建议沪金、沪银思路仍以偏多为主</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sz w:val="30"/>
          <w:szCs w:val="30"/>
        </w:rPr>
      </w:pPr>
      <w:bookmarkStart w:id="10" w:name="_Toc3096"/>
      <w:bookmarkStart w:id="11" w:name="金属"/>
      <w:bookmarkStart w:id="12" w:name="_Toc20891"/>
      <w:bookmarkStart w:id="13" w:name="农产品"/>
      <w:bookmarkStart w:id="14" w:name="_Toc132704355"/>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金属</w:t>
      </w:r>
      <w:r>
        <w:rPr>
          <w:rFonts w:ascii="Times New Roman" w:eastAsia="楷体" w:hAnsi="Times New Roman" w:hint="eastAsia"/>
          <w:b/>
          <w:color w:val="823C0B"/>
          <w:sz w:val="30"/>
          <w:szCs w:val="30"/>
        </w:rPr>
        <w:t>]</w:t>
      </w:r>
      <w:bookmarkEnd w:id="10"/>
      <w:bookmarkEnd w:id="11"/>
      <w:bookmarkEnd w:id="12"/>
      <w:bookmarkEnd w:id="14"/>
    </w:p>
    <w:p w:rsidR="003F56A5" w:rsidRDefault="00CC3FFA">
      <w:pPr>
        <w:ind w:leftChars="200" w:left="420"/>
        <w:outlineLvl w:val="1"/>
        <w:rPr>
          <w:rFonts w:ascii="楷体" w:eastAsia="楷体" w:hAnsi="楷体"/>
          <w:b/>
          <w:color w:val="000000" w:themeColor="text1"/>
          <w:sz w:val="24"/>
          <w:szCs w:val="24"/>
        </w:rPr>
      </w:pPr>
      <w:bookmarkStart w:id="15" w:name="_Toc27831"/>
      <w:bookmarkStart w:id="16" w:name="_Toc5371"/>
      <w:bookmarkStart w:id="17" w:name="_Toc132704356"/>
      <w:r>
        <w:rPr>
          <w:rFonts w:ascii="楷体" w:eastAsia="楷体" w:hAnsi="楷体" w:hint="eastAsia"/>
          <w:b/>
          <w:color w:val="000000" w:themeColor="text1"/>
          <w:sz w:val="24"/>
          <w:szCs w:val="24"/>
        </w:rPr>
        <w:t>螺纹钢：</w:t>
      </w:r>
      <w:bookmarkEnd w:id="15"/>
      <w:bookmarkEnd w:id="16"/>
      <w:r w:rsidR="00BC5F45" w:rsidRPr="00BC5F45">
        <w:rPr>
          <w:rFonts w:ascii="楷体" w:eastAsia="楷体" w:hAnsi="楷体" w:hint="eastAsia"/>
          <w:b/>
          <w:color w:val="000000" w:themeColor="text1"/>
          <w:sz w:val="24"/>
          <w:szCs w:val="24"/>
        </w:rPr>
        <w:t>成交情绪向好，关注今日经济数据</w:t>
      </w:r>
      <w:bookmarkEnd w:id="17"/>
    </w:p>
    <w:p w:rsidR="003F56A5" w:rsidRDefault="00BC5F45">
      <w:pPr>
        <w:ind w:leftChars="300" w:left="630"/>
        <w:rPr>
          <w:rFonts w:ascii="楷体" w:eastAsia="楷体" w:hAnsi="楷体"/>
          <w:color w:val="000000" w:themeColor="text1"/>
          <w:sz w:val="24"/>
          <w:szCs w:val="24"/>
        </w:rPr>
      </w:pPr>
      <w:r w:rsidRPr="00BC5F45">
        <w:rPr>
          <w:rFonts w:ascii="楷体" w:eastAsia="楷体" w:hAnsi="楷体" w:hint="eastAsia"/>
          <w:color w:val="000000" w:themeColor="text1"/>
          <w:sz w:val="24"/>
          <w:szCs w:val="24"/>
        </w:rPr>
        <w:t>昨日股市情绪较好，市场成交有所放量，市场短期或有所反弹，但更多只存在于华东地区，其他地区价跌量稳，成本端持续下行趋势明显，预计目前反弹更多是情绪带来的基差修复，后续仍关注需求的持续性及力度，关注压力区间（4000,4050）</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18" w:name="_Toc4790"/>
      <w:bookmarkStart w:id="19" w:name="_Toc11356"/>
      <w:bookmarkStart w:id="20" w:name="_Toc132704357"/>
      <w:r>
        <w:rPr>
          <w:rFonts w:ascii="楷体" w:eastAsia="楷体" w:hAnsi="楷体" w:hint="eastAsia"/>
          <w:b/>
          <w:color w:val="000000" w:themeColor="text1"/>
          <w:sz w:val="24"/>
          <w:szCs w:val="24"/>
        </w:rPr>
        <w:t>焦炭：</w:t>
      </w:r>
      <w:bookmarkEnd w:id="18"/>
      <w:bookmarkEnd w:id="19"/>
      <w:r w:rsidR="00BC5F45" w:rsidRPr="00BC5F45">
        <w:rPr>
          <w:rFonts w:ascii="楷体" w:eastAsia="楷体" w:hAnsi="楷体" w:hint="eastAsia"/>
          <w:b/>
          <w:color w:val="000000" w:themeColor="text1"/>
          <w:sz w:val="24"/>
          <w:szCs w:val="24"/>
        </w:rPr>
        <w:t>情绪有所好转，现货依旧偏弱运行</w:t>
      </w:r>
      <w:bookmarkEnd w:id="20"/>
    </w:p>
    <w:p w:rsidR="003F56A5" w:rsidRDefault="00BC5F45">
      <w:pPr>
        <w:ind w:leftChars="300" w:left="630"/>
        <w:rPr>
          <w:rFonts w:ascii="楷体" w:eastAsia="楷体" w:hAnsi="楷体"/>
          <w:color w:val="000000" w:themeColor="text1"/>
          <w:sz w:val="24"/>
          <w:szCs w:val="24"/>
        </w:rPr>
      </w:pPr>
      <w:r w:rsidRPr="00BC5F45">
        <w:rPr>
          <w:rFonts w:ascii="楷体" w:eastAsia="楷体" w:hAnsi="楷体" w:hint="eastAsia"/>
          <w:color w:val="000000" w:themeColor="text1"/>
          <w:sz w:val="24"/>
          <w:szCs w:val="24"/>
        </w:rPr>
        <w:t>昨日成材成交放量，股市突破带动宏观情绪，但港口现货价格继续下行，盘面虽有所反弹，注意上方压力（2380,2450）</w:t>
      </w:r>
      <w:r w:rsidR="00CC3FFA">
        <w:rPr>
          <w:rFonts w:ascii="楷体" w:eastAsia="楷体" w:hAnsi="楷体" w:hint="eastAsia"/>
          <w:color w:val="000000" w:themeColor="text1"/>
          <w:sz w:val="24"/>
          <w:szCs w:val="24"/>
        </w:rPr>
        <w:t>。</w:t>
      </w:r>
    </w:p>
    <w:p w:rsidR="003F56A5" w:rsidRDefault="003F56A5">
      <w:pPr>
        <w:ind w:leftChars="100" w:left="210"/>
        <w:rPr>
          <w:rFonts w:ascii="楷体" w:eastAsia="楷体" w:hAnsi="楷体"/>
          <w:bCs/>
          <w:sz w:val="24"/>
          <w:szCs w:val="24"/>
        </w:rPr>
      </w:pPr>
    </w:p>
    <w:p w:rsidR="003F56A5" w:rsidRPr="00535DC9" w:rsidRDefault="00CC3FFA" w:rsidP="00535DC9">
      <w:pPr>
        <w:ind w:leftChars="200" w:left="420"/>
        <w:outlineLvl w:val="1"/>
        <w:rPr>
          <w:rFonts w:ascii="楷体" w:eastAsia="楷体" w:hAnsi="楷体"/>
          <w:b/>
          <w:sz w:val="24"/>
          <w:szCs w:val="24"/>
        </w:rPr>
      </w:pPr>
      <w:bookmarkStart w:id="21" w:name="_Toc132704358"/>
      <w:r>
        <w:rPr>
          <w:rFonts w:ascii="楷体" w:eastAsia="楷体" w:hAnsi="楷体" w:hint="eastAsia"/>
          <w:b/>
          <w:color w:val="000000" w:themeColor="text1"/>
          <w:sz w:val="24"/>
          <w:szCs w:val="24"/>
        </w:rPr>
        <w:t>焦煤：</w:t>
      </w:r>
      <w:r w:rsidR="00BC5F45" w:rsidRPr="00BC5F45">
        <w:rPr>
          <w:rFonts w:ascii="楷体" w:eastAsia="楷体" w:hAnsi="楷体" w:hint="eastAsia"/>
          <w:b/>
          <w:sz w:val="24"/>
          <w:szCs w:val="24"/>
        </w:rPr>
        <w:t>情绪有所好转，现货依旧偏弱运行</w:t>
      </w:r>
      <w:bookmarkEnd w:id="21"/>
    </w:p>
    <w:p w:rsidR="003F56A5" w:rsidRDefault="00BC5F45">
      <w:pPr>
        <w:ind w:leftChars="300" w:left="630"/>
        <w:rPr>
          <w:rFonts w:ascii="楷体" w:eastAsia="楷体" w:hAnsi="楷体"/>
          <w:bCs/>
          <w:sz w:val="24"/>
          <w:szCs w:val="24"/>
        </w:rPr>
      </w:pPr>
      <w:r w:rsidRPr="00BC5F45">
        <w:rPr>
          <w:rFonts w:ascii="楷体" w:eastAsia="楷体" w:hAnsi="楷体" w:hint="eastAsia"/>
          <w:sz w:val="24"/>
          <w:szCs w:val="24"/>
        </w:rPr>
        <w:t>昨日现货竞拍价格继续下行100-150元/吨，贸易商情绪较为悲观，现货跟跌焦炭，短期盘面情绪有所好转，注意上方压力区间（1600,1630）</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22" w:name="_Toc9719"/>
      <w:bookmarkStart w:id="23" w:name="_Toc25617"/>
      <w:bookmarkStart w:id="24" w:name="_Toc132704359"/>
      <w:r>
        <w:rPr>
          <w:rFonts w:ascii="楷体" w:eastAsia="楷体" w:hAnsi="楷体" w:hint="eastAsia"/>
          <w:b/>
          <w:color w:val="000000" w:themeColor="text1"/>
          <w:sz w:val="24"/>
          <w:szCs w:val="24"/>
        </w:rPr>
        <w:t>铜：</w:t>
      </w:r>
      <w:bookmarkEnd w:id="22"/>
      <w:bookmarkEnd w:id="23"/>
      <w:r w:rsidR="00BC5F45" w:rsidRPr="00BC5F45">
        <w:rPr>
          <w:rFonts w:ascii="楷体" w:eastAsia="楷体" w:hAnsi="楷体" w:hint="eastAsia"/>
          <w:b/>
          <w:color w:val="000000" w:themeColor="text1"/>
          <w:sz w:val="24"/>
          <w:szCs w:val="24"/>
        </w:rPr>
        <w:t>维持高位震荡</w:t>
      </w:r>
      <w:bookmarkEnd w:id="24"/>
    </w:p>
    <w:p w:rsidR="00BC5F45" w:rsidRPr="00BC5F45" w:rsidRDefault="00BC5F45" w:rsidP="00BC5F45">
      <w:pPr>
        <w:ind w:leftChars="300" w:left="630"/>
        <w:rPr>
          <w:rFonts w:ascii="楷体" w:eastAsia="楷体" w:hAnsi="楷体" w:hint="eastAsia"/>
          <w:color w:val="000000" w:themeColor="text1"/>
          <w:sz w:val="24"/>
          <w:szCs w:val="24"/>
        </w:rPr>
      </w:pPr>
      <w:r w:rsidRPr="00BC5F45">
        <w:rPr>
          <w:rFonts w:ascii="楷体" w:eastAsia="楷体" w:hAnsi="楷体" w:hint="eastAsia"/>
          <w:color w:val="000000" w:themeColor="text1"/>
          <w:sz w:val="24"/>
          <w:szCs w:val="24"/>
        </w:rPr>
        <w:t>(1)库存：4月17日，SHFE仓单库存81807吨，增10201吨。LME仓单库</w:t>
      </w:r>
      <w:r w:rsidRPr="00BC5F45">
        <w:rPr>
          <w:rFonts w:ascii="楷体" w:eastAsia="楷体" w:hAnsi="楷体" w:hint="eastAsia"/>
          <w:color w:val="000000" w:themeColor="text1"/>
          <w:sz w:val="24"/>
          <w:szCs w:val="24"/>
        </w:rPr>
        <w:lastRenderedPageBreak/>
        <w:t>存51775吨，增225吨。</w:t>
      </w:r>
    </w:p>
    <w:p w:rsidR="00BC5F45" w:rsidRPr="00BC5F45" w:rsidRDefault="00BC5F45" w:rsidP="00BC5F45">
      <w:pPr>
        <w:ind w:leftChars="300" w:left="630"/>
        <w:rPr>
          <w:rFonts w:ascii="楷体" w:eastAsia="楷体" w:hAnsi="楷体" w:hint="eastAsia"/>
          <w:color w:val="000000" w:themeColor="text1"/>
          <w:sz w:val="24"/>
          <w:szCs w:val="24"/>
        </w:rPr>
      </w:pPr>
      <w:r w:rsidRPr="00BC5F45">
        <w:rPr>
          <w:rFonts w:ascii="楷体" w:eastAsia="楷体" w:hAnsi="楷体" w:hint="eastAsia"/>
          <w:color w:val="000000" w:themeColor="text1"/>
          <w:sz w:val="24"/>
          <w:szCs w:val="24"/>
        </w:rPr>
        <w:t>(2)精废价差：4月17日，Mysteel精废价差2318，收窄244。目前价差在合理价差1402之上。</w:t>
      </w:r>
    </w:p>
    <w:p w:rsidR="00A71A7E" w:rsidRPr="00A71A7E" w:rsidRDefault="00BC5F45" w:rsidP="00BC5F45">
      <w:pPr>
        <w:ind w:leftChars="300" w:left="630"/>
        <w:rPr>
          <w:rFonts w:ascii="楷体" w:eastAsia="楷体" w:hAnsi="楷体"/>
          <w:color w:val="000000" w:themeColor="text1"/>
          <w:sz w:val="24"/>
          <w:szCs w:val="24"/>
        </w:rPr>
      </w:pPr>
      <w:r w:rsidRPr="00BC5F45">
        <w:rPr>
          <w:rFonts w:ascii="楷体" w:eastAsia="楷体" w:hAnsi="楷体" w:hint="eastAsia"/>
          <w:color w:val="000000" w:themeColor="text1"/>
          <w:sz w:val="24"/>
          <w:szCs w:val="24"/>
        </w:rPr>
        <w:t>综述：继CPI数据后，美国3月PPI亦低于预期，美元指数延续弱势，提振铜价，但美联储大概率仍会维持高利率政策来对抗通胀，这依然会限制铜价上方高度。国内3月出口数据表现强劲，整体情绪偏暖。当前铜价无明显矛盾，预计保持高位震荡。供需上，全球显性库存维持低位，LME持续去库，但矿端好转有明确信号。整体来看，铜价突破前期71000-72000压力位概率不大。操作上，维持逢高空思路，波段交易。短期价格波动区间参考68000-71000</w:t>
      </w:r>
      <w:r w:rsidR="00A71A7E" w:rsidRPr="00A71A7E">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4A3F85" w:rsidRDefault="00CC3FFA" w:rsidP="004A3F85">
      <w:pPr>
        <w:ind w:leftChars="200" w:left="420"/>
        <w:outlineLvl w:val="1"/>
        <w:rPr>
          <w:rFonts w:ascii="楷体" w:eastAsia="楷体" w:hAnsi="楷体"/>
          <w:b/>
          <w:color w:val="000000" w:themeColor="text1"/>
          <w:sz w:val="24"/>
          <w:szCs w:val="24"/>
        </w:rPr>
      </w:pPr>
      <w:bookmarkStart w:id="25" w:name="_Toc8897"/>
      <w:bookmarkStart w:id="26" w:name="_Toc6247"/>
      <w:bookmarkStart w:id="27" w:name="_Toc132704360"/>
      <w:r>
        <w:rPr>
          <w:rFonts w:ascii="楷体" w:eastAsia="楷体" w:hAnsi="楷体" w:hint="eastAsia"/>
          <w:b/>
          <w:color w:val="000000" w:themeColor="text1"/>
          <w:sz w:val="24"/>
          <w:szCs w:val="24"/>
        </w:rPr>
        <w:t>铝：</w:t>
      </w:r>
      <w:bookmarkEnd w:id="25"/>
      <w:bookmarkEnd w:id="26"/>
      <w:r w:rsidR="00BC5F45" w:rsidRPr="00BC5F45">
        <w:rPr>
          <w:rFonts w:ascii="楷体" w:eastAsia="楷体" w:hAnsi="楷体" w:hint="eastAsia"/>
          <w:b/>
          <w:color w:val="000000" w:themeColor="text1"/>
          <w:sz w:val="24"/>
          <w:szCs w:val="24"/>
        </w:rPr>
        <w:t>铝价偏强震荡，实际驱动有限</w:t>
      </w:r>
      <w:bookmarkEnd w:id="27"/>
    </w:p>
    <w:p w:rsidR="003F56A5" w:rsidRDefault="00BC5F45" w:rsidP="00CF7A9A">
      <w:pPr>
        <w:ind w:leftChars="300" w:left="630"/>
        <w:rPr>
          <w:rFonts w:ascii="楷体" w:eastAsia="楷体" w:hAnsi="楷体"/>
          <w:color w:val="000000" w:themeColor="text1"/>
          <w:sz w:val="24"/>
          <w:szCs w:val="24"/>
        </w:rPr>
      </w:pPr>
      <w:r w:rsidRPr="00BC5F45">
        <w:rPr>
          <w:rFonts w:ascii="楷体" w:eastAsia="楷体" w:hAnsi="楷体" w:hint="eastAsia"/>
          <w:color w:val="000000" w:themeColor="text1"/>
          <w:sz w:val="24"/>
          <w:szCs w:val="24"/>
        </w:rPr>
        <w:t>美国3月通胀数据低于预期，美元指数震荡走低，有色板块价格提振，国内信贷数据走强，CPI、PPI数据不及预期，国内经济存在通缩风险，宏观面仍存压力。基本面上看，四川、广西持续复产，云南再传将进行第三次电力负荷管理，云南干旱延续维持原减产产能状态，整体运行产能小幅走增。下游铝加工龙头企业开工率维持，周度环比走增但增幅持续放缓，旺季需求仍有支撑但不及市场乐观预期表现，海外库存增库，国内库存去库，社会库存维持去库。短期铝价偏强震荡，实际上下驱动有限，波动区间17800-18900</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Pr="00666DE4" w:rsidRDefault="00CC3FFA" w:rsidP="00666DE4">
      <w:pPr>
        <w:ind w:leftChars="200" w:left="420"/>
        <w:outlineLvl w:val="1"/>
        <w:rPr>
          <w:rFonts w:ascii="楷体" w:eastAsia="楷体" w:hAnsi="楷体"/>
          <w:b/>
          <w:color w:val="000000" w:themeColor="text1"/>
          <w:sz w:val="24"/>
          <w:szCs w:val="24"/>
        </w:rPr>
      </w:pPr>
      <w:bookmarkStart w:id="28" w:name="_Toc132704361"/>
      <w:r>
        <w:rPr>
          <w:rFonts w:ascii="楷体" w:eastAsia="楷体" w:hAnsi="楷体" w:hint="eastAsia"/>
          <w:b/>
          <w:color w:val="000000" w:themeColor="text1"/>
          <w:sz w:val="24"/>
          <w:szCs w:val="24"/>
        </w:rPr>
        <w:t>锌：</w:t>
      </w:r>
      <w:r w:rsidR="00BC5F45" w:rsidRPr="00BC5F45">
        <w:rPr>
          <w:rFonts w:ascii="楷体" w:eastAsia="楷体" w:hAnsi="楷体" w:hint="eastAsia"/>
          <w:b/>
          <w:color w:val="000000" w:themeColor="text1"/>
          <w:sz w:val="24"/>
          <w:szCs w:val="24"/>
        </w:rPr>
        <w:t>锌价先抑后扬，基本面支撑偏空</w:t>
      </w:r>
      <w:bookmarkEnd w:id="28"/>
    </w:p>
    <w:p w:rsidR="003F56A5" w:rsidRDefault="00BC5F45" w:rsidP="000B0648">
      <w:pPr>
        <w:ind w:leftChars="300" w:left="630"/>
        <w:rPr>
          <w:rFonts w:ascii="楷体" w:eastAsia="楷体" w:hAnsi="楷体"/>
          <w:color w:val="000000" w:themeColor="text1"/>
          <w:sz w:val="24"/>
          <w:szCs w:val="24"/>
        </w:rPr>
      </w:pPr>
      <w:r w:rsidRPr="00BC5F45">
        <w:rPr>
          <w:rFonts w:ascii="楷体" w:eastAsia="楷体" w:hAnsi="楷体" w:hint="eastAsia"/>
          <w:color w:val="000000" w:themeColor="text1"/>
          <w:sz w:val="24"/>
          <w:szCs w:val="24"/>
        </w:rPr>
        <w:t>美国通胀走弱，美国CPI、PPI数据表现均符合市场预期，联储加息走向尾声，国内宏观情绪偏暖，国内CPI、PPI数据表现引发市场通缩担忧。基本面来看，欧洲部分炼厂宣布复产但整体复产节奏偏缓，国内矿端偏紧，冶炼加工费持续走低但仍位于历史高位，冶炼厂生产积极性仍存，部分炼厂进入检修期，供应小幅收紧。需求整体维持刚需，镀锌开工表现偏弱，市场订单平淡，海内外库存低位去库。锌价短期有支撑，基本面表现供强需弱，价格仍有下行压力</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29" w:name="_Toc132704362"/>
      <w:r>
        <w:rPr>
          <w:rFonts w:ascii="楷体" w:eastAsia="楷体" w:hAnsi="楷体" w:hint="eastAsia"/>
          <w:b/>
          <w:color w:val="000000" w:themeColor="text1"/>
          <w:sz w:val="24"/>
          <w:szCs w:val="24"/>
        </w:rPr>
        <w:t>镍：</w:t>
      </w:r>
      <w:r w:rsidR="00BC5F45" w:rsidRPr="00BC5F45">
        <w:rPr>
          <w:rFonts w:ascii="楷体" w:eastAsia="楷体" w:hAnsi="楷体" w:hint="eastAsia"/>
          <w:b/>
          <w:color w:val="000000" w:themeColor="text1"/>
          <w:sz w:val="24"/>
          <w:szCs w:val="24"/>
        </w:rPr>
        <w:t>维持反弹后高空思路</w:t>
      </w:r>
      <w:bookmarkEnd w:id="29"/>
    </w:p>
    <w:p w:rsidR="003F56A5" w:rsidRDefault="00BC5F45">
      <w:pPr>
        <w:ind w:leftChars="300" w:left="630"/>
        <w:rPr>
          <w:rFonts w:ascii="楷体" w:eastAsia="楷体" w:hAnsi="楷体"/>
          <w:color w:val="000000" w:themeColor="text1"/>
          <w:sz w:val="24"/>
          <w:szCs w:val="24"/>
        </w:rPr>
      </w:pPr>
      <w:r w:rsidRPr="00BC5F45">
        <w:rPr>
          <w:rFonts w:ascii="楷体" w:eastAsia="楷体" w:hAnsi="楷体" w:hint="eastAsia"/>
          <w:color w:val="000000" w:themeColor="text1"/>
          <w:sz w:val="24"/>
          <w:szCs w:val="24"/>
        </w:rPr>
        <w:t>当前镍基本面依旧偏弱，精炼镍供应过剩更加明晰，不锈钢厂减产预期增加，新能源需求维持弱势，整体对镍价支撑因素较为有限。不过库存继续减少，空单挤兑风险上升，对镍价构成一定的利好。预计短期震荡运行，波动区间17-19万。操作上建议逢高空，波段操作</w:t>
      </w:r>
      <w:r w:rsidR="00CC3FFA">
        <w:rPr>
          <w:rFonts w:ascii="楷体" w:eastAsia="楷体" w:hAnsi="楷体" w:hint="eastAsia"/>
          <w:color w:val="000000" w:themeColor="text1"/>
          <w:sz w:val="24"/>
          <w:szCs w:val="24"/>
        </w:rPr>
        <w:t>。</w:t>
      </w:r>
    </w:p>
    <w:p w:rsidR="008B13D2" w:rsidRDefault="008B13D2">
      <w:pPr>
        <w:ind w:leftChars="300" w:left="630"/>
        <w:rPr>
          <w:rFonts w:ascii="楷体" w:eastAsia="楷体" w:hAnsi="楷体"/>
          <w:color w:val="000000" w:themeColor="text1"/>
          <w:sz w:val="24"/>
          <w:szCs w:val="24"/>
        </w:rPr>
      </w:pPr>
    </w:p>
    <w:p w:rsidR="008B13D2" w:rsidRPr="004A3F85" w:rsidRDefault="0079299D" w:rsidP="008B13D2">
      <w:pPr>
        <w:ind w:leftChars="200" w:left="420"/>
        <w:outlineLvl w:val="1"/>
        <w:rPr>
          <w:rFonts w:ascii="楷体" w:eastAsia="楷体" w:hAnsi="楷体"/>
          <w:b/>
          <w:color w:val="000000" w:themeColor="text1"/>
          <w:sz w:val="24"/>
          <w:szCs w:val="24"/>
        </w:rPr>
      </w:pPr>
      <w:bookmarkStart w:id="30" w:name="_Toc132704363"/>
      <w:r>
        <w:rPr>
          <w:rFonts w:ascii="楷体" w:eastAsia="楷体" w:hAnsi="楷体" w:hint="eastAsia"/>
          <w:b/>
          <w:color w:val="000000" w:themeColor="text1"/>
          <w:sz w:val="24"/>
          <w:szCs w:val="24"/>
        </w:rPr>
        <w:t>铅</w:t>
      </w:r>
      <w:r w:rsidR="008B13D2">
        <w:rPr>
          <w:rFonts w:ascii="楷体" w:eastAsia="楷体" w:hAnsi="楷体" w:hint="eastAsia"/>
          <w:b/>
          <w:color w:val="000000" w:themeColor="text1"/>
          <w:sz w:val="24"/>
          <w:szCs w:val="24"/>
        </w:rPr>
        <w:t>：</w:t>
      </w:r>
      <w:r w:rsidR="00BC5F45" w:rsidRPr="00BC5F45">
        <w:rPr>
          <w:rFonts w:ascii="楷体" w:eastAsia="楷体" w:hAnsi="楷体" w:hint="eastAsia"/>
          <w:b/>
          <w:color w:val="000000" w:themeColor="text1"/>
          <w:sz w:val="24"/>
          <w:szCs w:val="24"/>
        </w:rPr>
        <w:t>淡季之下沪铅价格震荡整理</w:t>
      </w:r>
      <w:bookmarkEnd w:id="30"/>
    </w:p>
    <w:p w:rsidR="008B13D2" w:rsidRPr="008B13D2" w:rsidRDefault="00BC5F45" w:rsidP="008B13D2">
      <w:pPr>
        <w:ind w:leftChars="300" w:left="630"/>
        <w:rPr>
          <w:rFonts w:ascii="楷体" w:eastAsia="楷体" w:hAnsi="楷体"/>
          <w:color w:val="000000" w:themeColor="text1"/>
          <w:sz w:val="24"/>
          <w:szCs w:val="24"/>
        </w:rPr>
      </w:pPr>
      <w:r w:rsidRPr="00BC5F45">
        <w:rPr>
          <w:rFonts w:ascii="楷体" w:eastAsia="楷体" w:hAnsi="楷体" w:hint="eastAsia"/>
          <w:color w:val="000000" w:themeColor="text1"/>
          <w:sz w:val="24"/>
          <w:szCs w:val="24"/>
        </w:rPr>
        <w:t>美国通胀走弱，高利率环境压力下联储加息预期走向尾声，国内宏观情绪偏暖，实际市场隐存通缩担忧。基本面上看，铅锭供应走紧，再生铅冶炼厂家检修影响开工率走低，原生铅在下游传统淡季订单较少，铅蓄电池消费在清明假期后步入平淡，企业成品库存增加，周度开工率下行，而海内外库存维持低位，铅锭社库去库且降幅比例走增。沪铅价格在淡季消费及库存低位维持去库的影响下维持宽幅震荡，震荡区间15000-15500</w:t>
      </w:r>
      <w:r w:rsidR="008B13D2">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1" w:name="_Toc132704364"/>
      <w:r>
        <w:rPr>
          <w:rFonts w:ascii="楷体" w:eastAsia="楷体" w:hAnsi="楷体" w:hint="eastAsia"/>
          <w:b/>
          <w:color w:val="000000" w:themeColor="text1"/>
          <w:sz w:val="24"/>
          <w:szCs w:val="24"/>
        </w:rPr>
        <w:lastRenderedPageBreak/>
        <w:t>不锈钢：</w:t>
      </w:r>
      <w:r w:rsidR="00BC5F45" w:rsidRPr="00BC5F45">
        <w:rPr>
          <w:rFonts w:ascii="楷体" w:eastAsia="楷体" w:hAnsi="楷体" w:hint="eastAsia"/>
          <w:b/>
          <w:color w:val="000000" w:themeColor="text1"/>
          <w:sz w:val="24"/>
          <w:szCs w:val="24"/>
        </w:rPr>
        <w:t>短期震荡偏强，价格继续反弹空间有限</w:t>
      </w:r>
      <w:bookmarkEnd w:id="31"/>
    </w:p>
    <w:p w:rsidR="003F56A5" w:rsidRDefault="00BC5F45">
      <w:pPr>
        <w:ind w:leftChars="300" w:left="630"/>
        <w:rPr>
          <w:rFonts w:ascii="楷体" w:eastAsia="楷体" w:hAnsi="楷体"/>
          <w:color w:val="000000" w:themeColor="text1"/>
          <w:sz w:val="24"/>
          <w:szCs w:val="24"/>
        </w:rPr>
      </w:pPr>
      <w:r w:rsidRPr="00BC5F45">
        <w:rPr>
          <w:rFonts w:ascii="楷体" w:eastAsia="楷体" w:hAnsi="楷体" w:hint="eastAsia"/>
          <w:color w:val="000000" w:themeColor="text1"/>
          <w:sz w:val="24"/>
          <w:szCs w:val="24"/>
        </w:rPr>
        <w:t>近期不锈钢社会库存保持明显去化态势，继续助力多头情绪，短期价格仍有一定反弹动能，关注上方压力位15600-15700。考虑前期钢厂实际减产幅度不及预期，且价格上涨后钢厂利润明显修复，预计增产意愿加强，供应端仍面临较大压力，且原料方面镍铁持续过剩，虽暂时企稳，但上涨有限，这将限制不锈钢价反弹的空间，操作上建议保持谨慎</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32" w:name="_Toc132704365"/>
      <w:r>
        <w:rPr>
          <w:rFonts w:ascii="楷体" w:eastAsia="楷体" w:hAnsi="楷体" w:hint="eastAsia"/>
          <w:b/>
          <w:color w:val="000000" w:themeColor="text1"/>
          <w:sz w:val="24"/>
          <w:szCs w:val="24"/>
        </w:rPr>
        <w:t>工业硅：</w:t>
      </w:r>
      <w:r w:rsidR="00BC5F45" w:rsidRPr="00BC5F45">
        <w:rPr>
          <w:rFonts w:ascii="楷体" w:eastAsia="楷体" w:hAnsi="楷体" w:hint="eastAsia"/>
          <w:b/>
          <w:sz w:val="24"/>
          <w:szCs w:val="24"/>
        </w:rPr>
        <w:t>新疆减产消息影响，盘面有所反弹</w:t>
      </w:r>
      <w:bookmarkEnd w:id="32"/>
    </w:p>
    <w:p w:rsidR="003F56A5" w:rsidRDefault="00BC5F45" w:rsidP="007103A5">
      <w:pPr>
        <w:ind w:leftChars="300" w:left="630"/>
        <w:rPr>
          <w:rFonts w:ascii="楷体" w:eastAsia="楷体" w:hAnsi="楷体"/>
          <w:sz w:val="24"/>
          <w:szCs w:val="24"/>
        </w:rPr>
      </w:pPr>
      <w:r w:rsidRPr="00BC5F45">
        <w:rPr>
          <w:rFonts w:ascii="楷体" w:eastAsia="楷体" w:hAnsi="楷体" w:hint="eastAsia"/>
          <w:sz w:val="24"/>
          <w:szCs w:val="24"/>
        </w:rPr>
        <w:t>4月17日，Si2308主力合约呈反弹走势，收盘价15395元/吨，较上一收盘价涨跌幅＋0.13%。据铁合金在线消息，近期新疆地区整体电价上调，以及市场持续下行，企业生产积极性有所下降，疆内部分工厂将计划减产或停产，预计近期将停炉10台。整体来看，西北地区减产预期下，预计市场将逐步企稳或有反弹，但下游需求仍旧偏弱，预计反弹空间有限</w:t>
      </w:r>
      <w:r w:rsidR="00CC3FFA">
        <w:rPr>
          <w:rFonts w:ascii="楷体" w:eastAsia="楷体" w:hAnsi="楷体" w:hint="eastAsia"/>
          <w:sz w:val="24"/>
          <w:szCs w:val="24"/>
        </w:rPr>
        <w:t>。</w:t>
      </w:r>
    </w:p>
    <w:p w:rsidR="003F56A5" w:rsidRDefault="003F56A5">
      <w:pPr>
        <w:ind w:firstLineChars="200" w:firstLine="420"/>
        <w:rPr>
          <w:rFonts w:ascii="Times New Roman" w:eastAsia="楷体" w:hAnsi="Times New Roman"/>
          <w:bCs/>
        </w:rPr>
      </w:pPr>
    </w:p>
    <w:p w:rsidR="003F56A5" w:rsidRDefault="003F56A5">
      <w:pPr>
        <w:ind w:firstLineChars="200" w:firstLine="420"/>
        <w:rPr>
          <w:rFonts w:ascii="Times New Roman" w:eastAsia="楷体" w:hAnsi="Times New Roman"/>
          <w:bCs/>
        </w:rPr>
      </w:pPr>
    </w:p>
    <w:p w:rsidR="003F56A5" w:rsidRDefault="00CC3FFA">
      <w:pPr>
        <w:pBdr>
          <w:top w:val="single" w:sz="4" w:space="0" w:color="auto"/>
        </w:pBdr>
        <w:outlineLvl w:val="0"/>
        <w:rPr>
          <w:rFonts w:ascii="Times New Roman" w:eastAsia="楷体" w:hAnsi="Times New Roman"/>
          <w:b/>
          <w:color w:val="823C0B"/>
          <w:sz w:val="30"/>
          <w:szCs w:val="30"/>
        </w:rPr>
      </w:pPr>
      <w:bookmarkStart w:id="33" w:name="化工"/>
      <w:r>
        <w:rPr>
          <w:rFonts w:ascii="Times New Roman" w:eastAsia="楷体" w:hAnsi="Times New Roman" w:hint="eastAsia"/>
          <w:b/>
          <w:color w:val="823C0B"/>
          <w:sz w:val="30"/>
          <w:szCs w:val="30"/>
        </w:rPr>
        <w:t xml:space="preserve"> </w:t>
      </w:r>
      <w:bookmarkStart w:id="34" w:name="_Toc132704366"/>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化工</w:t>
      </w:r>
      <w:r>
        <w:rPr>
          <w:rFonts w:ascii="Times New Roman" w:eastAsia="楷体" w:hAnsi="Times New Roman" w:hint="eastAsia"/>
          <w:b/>
          <w:color w:val="823C0B"/>
          <w:sz w:val="30"/>
          <w:szCs w:val="30"/>
        </w:rPr>
        <w:t>]</w:t>
      </w:r>
      <w:bookmarkEnd w:id="33"/>
      <w:bookmarkEnd w:id="34"/>
    </w:p>
    <w:p w:rsidR="003F56A5" w:rsidRPr="00D86D76" w:rsidRDefault="00CC3FFA" w:rsidP="00D86D76">
      <w:pPr>
        <w:ind w:firstLineChars="200" w:firstLine="482"/>
        <w:outlineLvl w:val="1"/>
        <w:rPr>
          <w:rFonts w:ascii="Times New Roman" w:eastAsia="楷体" w:hAnsi="Times New Roman"/>
          <w:b/>
          <w:color w:val="000000" w:themeColor="text1"/>
          <w:sz w:val="24"/>
          <w:szCs w:val="24"/>
        </w:rPr>
      </w:pPr>
      <w:bookmarkStart w:id="35" w:name="_Toc132704367"/>
      <w:r>
        <w:rPr>
          <w:rFonts w:ascii="Times New Roman" w:eastAsia="楷体" w:hAnsi="Times New Roman" w:hint="eastAsia"/>
          <w:b/>
          <w:color w:val="000000" w:themeColor="text1"/>
          <w:sz w:val="24"/>
          <w:szCs w:val="24"/>
        </w:rPr>
        <w:t>天然橡胶</w:t>
      </w:r>
      <w:r>
        <w:rPr>
          <w:rFonts w:ascii="Times New Roman" w:eastAsia="楷体" w:hAnsi="Times New Roman" w:hint="eastAsia"/>
          <w:b/>
          <w:color w:val="000000" w:themeColor="text1"/>
          <w:sz w:val="24"/>
          <w:szCs w:val="24"/>
        </w:rPr>
        <w:t>:</w:t>
      </w:r>
      <w:r w:rsidR="00547DD7" w:rsidRPr="00547DD7">
        <w:rPr>
          <w:rFonts w:hint="eastAsia"/>
        </w:rPr>
        <w:t xml:space="preserve"> </w:t>
      </w:r>
      <w:r w:rsidR="00BC5F45" w:rsidRPr="00BC5F45">
        <w:rPr>
          <w:rFonts w:ascii="Times New Roman" w:eastAsia="楷体" w:hAnsi="Times New Roman" w:hint="eastAsia"/>
          <w:b/>
          <w:color w:val="000000" w:themeColor="text1"/>
          <w:sz w:val="24"/>
          <w:szCs w:val="24"/>
        </w:rPr>
        <w:t>RU</w:t>
      </w:r>
      <w:r w:rsidR="00BC5F45" w:rsidRPr="00BC5F45">
        <w:rPr>
          <w:rFonts w:ascii="Times New Roman" w:eastAsia="楷体" w:hAnsi="Times New Roman" w:hint="eastAsia"/>
          <w:b/>
          <w:color w:val="000000" w:themeColor="text1"/>
          <w:sz w:val="24"/>
          <w:szCs w:val="24"/>
        </w:rPr>
        <w:t>港口库存问题仍待改善</w:t>
      </w:r>
      <w:r w:rsidR="00BC5F45" w:rsidRPr="00BC5F45">
        <w:rPr>
          <w:rFonts w:ascii="Times New Roman" w:eastAsia="楷体" w:hAnsi="Times New Roman" w:hint="eastAsia"/>
          <w:b/>
          <w:color w:val="000000" w:themeColor="text1"/>
          <w:sz w:val="24"/>
          <w:szCs w:val="24"/>
        </w:rPr>
        <w:t xml:space="preserve"> </w:t>
      </w:r>
      <w:r w:rsidR="00BC5F45" w:rsidRPr="00BC5F45">
        <w:rPr>
          <w:rFonts w:ascii="Times New Roman" w:eastAsia="楷体" w:hAnsi="Times New Roman" w:hint="eastAsia"/>
          <w:b/>
          <w:color w:val="000000" w:themeColor="text1"/>
          <w:sz w:val="24"/>
          <w:szCs w:val="24"/>
        </w:rPr>
        <w:t>胶价上行空间有限</w:t>
      </w:r>
      <w:bookmarkEnd w:id="35"/>
    </w:p>
    <w:p w:rsidR="003F56A5" w:rsidRDefault="00BC5F45">
      <w:pPr>
        <w:ind w:leftChars="300" w:left="630"/>
        <w:rPr>
          <w:rFonts w:ascii="楷体" w:eastAsia="楷体" w:hAnsi="楷体"/>
          <w:sz w:val="24"/>
          <w:szCs w:val="24"/>
        </w:rPr>
      </w:pPr>
      <w:r w:rsidRPr="00BC5F45">
        <w:rPr>
          <w:rFonts w:ascii="楷体" w:eastAsia="楷体" w:hAnsi="楷体" w:hint="eastAsia"/>
          <w:sz w:val="24"/>
          <w:szCs w:val="24"/>
        </w:rPr>
        <w:t>点评：昨日橡胶小幅回暖。目前制约橡胶上行的主要因素仍然围绕青岛港口库存高位、拐点迟迟未出现有关。尽管近期下游轮胎企业开工并不算差，但橡胶港口库存依旧高企，与前期欧美订单推迟，导致许多低价原料货源进入国内，近期集中到港有关。目前，天胶现货及原料价格已跌至成本线附近，随着市场恐慌情绪逐渐缓解，以及云南部分地区胶树因白粉病延迟开割给予价格底部支撑，天胶继续下跌的空间缩小。具体来看，供应方面，国内产区及泰国主产区四月中下旬随着开割季到来，季节性供应增加。下游轮胎方面，国内乘用车轮胎替换需求来临，目前部分畅销型号缺货现象仍未缓解，排产保持高位运行状态，全钢胎上周则逆势增长，或与重卡销量与国内物流运输情况好转有关。但进入4月份，随着渠道订单逐步到位，预计短期内企业产能利用率将在高位持稳运行。终端汽车方面，3月车市景气度在近期多地开展的政企联合汽车降价潮助力下有所提升，但从1-3月份累计数据来看同比去年仍有所下滑，Q1国内汽车市场符合淡季态势。4月预计汽车产销逐步回升，短期对橡胶有一定利好；重卡销量方面，3月为11.54万辆，同环比继续明显提升，给盘面带来一定利好和信心。综合来看，后续橡胶能否“腾飞”唯有等天胶港口库存出现拐点，印证橡胶实际需求转好。从RU目前基本面来看，天胶在成本支撑下底部较为坚实，但4月下旬后供应有增加预期；终端汽车、重卡产销景气度有所回升，同时下游轮胎厂在订单存缺口下对原料的补货预期仍存。此外，货运景气度和运价指数等指标显示商品的公路货运行业亦出现转好迹象，利好橡胶主要下游如重卡轮胎替换和重型卡车的销量。因此投资者不应过分看空橡胶。短期天胶在港口库存拐点不明朗的情况下继续上涨稍显乏力，但继续下行空间较为有限。二季度待RU在国内汽车产量继续回暖、货运需求继续恢复下仍有探底回升的希望</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36" w:name="_Toc132704368"/>
      <w:r>
        <w:rPr>
          <w:rFonts w:ascii="楷体" w:eastAsia="楷体" w:hAnsi="楷体"/>
          <w:b/>
          <w:color w:val="000000" w:themeColor="text1"/>
          <w:sz w:val="24"/>
          <w:szCs w:val="24"/>
        </w:rPr>
        <w:t>PTA</w:t>
      </w:r>
      <w:r>
        <w:rPr>
          <w:rFonts w:ascii="楷体" w:eastAsia="楷体" w:hAnsi="楷体" w:hint="eastAsia"/>
          <w:b/>
          <w:color w:val="000000" w:themeColor="text1"/>
          <w:sz w:val="24"/>
          <w:szCs w:val="24"/>
        </w:rPr>
        <w:t>：</w:t>
      </w:r>
      <w:r w:rsidR="00BC5F45" w:rsidRPr="00BC5F45">
        <w:rPr>
          <w:rFonts w:ascii="楷体" w:eastAsia="楷体" w:hAnsi="楷体" w:hint="eastAsia"/>
          <w:b/>
          <w:color w:val="000000" w:themeColor="text1"/>
          <w:sz w:val="24"/>
          <w:szCs w:val="24"/>
        </w:rPr>
        <w:t>油强及PX检修叠加调油需求继续给予支撑</w:t>
      </w:r>
      <w:bookmarkEnd w:id="36"/>
      <w:r>
        <w:rPr>
          <w:rFonts w:ascii="楷体" w:eastAsia="楷体" w:hAnsi="楷体" w:hint="eastAsia"/>
          <w:b/>
          <w:color w:val="000000" w:themeColor="text1"/>
          <w:sz w:val="24"/>
          <w:szCs w:val="24"/>
        </w:rPr>
        <w:t xml:space="preserve"> </w:t>
      </w:r>
    </w:p>
    <w:p w:rsidR="003F56A5" w:rsidRDefault="00BC5F45" w:rsidP="008E3B84">
      <w:pPr>
        <w:ind w:leftChars="300" w:left="630"/>
        <w:rPr>
          <w:rFonts w:ascii="楷体" w:eastAsia="楷体" w:hAnsi="楷体"/>
          <w:color w:val="000000" w:themeColor="text1"/>
          <w:sz w:val="24"/>
          <w:szCs w:val="24"/>
        </w:rPr>
      </w:pPr>
      <w:r w:rsidRPr="00BC5F45">
        <w:rPr>
          <w:rFonts w:ascii="楷体" w:eastAsia="楷体" w:hAnsi="楷体" w:hint="eastAsia"/>
          <w:color w:val="000000" w:themeColor="text1"/>
          <w:sz w:val="24"/>
          <w:szCs w:val="24"/>
        </w:rPr>
        <w:lastRenderedPageBreak/>
        <w:t>PX方面，二季度为 PX 传统检修季及调油逻辑仍存，预估后市 PX 装置开工率提升有限。PX 调油需求叠加检修季，对 PTA 支撑仍较强。供给方面，仪征64万吨装置恢复，蓬威90万吨PTA装置重启，东营威联250万吨PTA装置停车，仪征35万吨PTA装置停车，个别装置负荷略有调整，至4.14PTA负荷调整至80.3%。随着PX价格上涨后，PTA加工费再次压缩至500元/吨附近。库存方面，上周PTA社会库存量约在270.32万吨，环比-2.05万吨。需求方面，本周聚酯装置减产检修为主，也有局部工厂负荷微调，综合来看聚酯负荷有所下滑。截至4.13初步核算国内大陆地区聚酯负荷在87.6%，聚酯开工小幅下滑。随着新订单减少，4月份后负荷逐步会有下行压力。但预估5月之前聚酯开工维持85%附近仍可驱动PTA去库。从聚酯终端需求来看，下游跟涨乏力下产业基本面转弱，负反馈逐步开始启动但暂时不明确。展望后市，虽下游需求出现趋弱迹象，但终端厂商需求弹性较大且主要受成本端逻辑主导。短期内油价偏强、聚酯大厂暂未大幅减产动作，PTA仍将维持强势格局，关注TA09 低多机会。仅供参考</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7" w:name="_Toc132704369"/>
      <w:r>
        <w:rPr>
          <w:rFonts w:ascii="楷体" w:eastAsia="楷体" w:hAnsi="楷体" w:hint="eastAsia"/>
          <w:b/>
          <w:color w:val="000000" w:themeColor="text1"/>
          <w:sz w:val="24"/>
          <w:szCs w:val="24"/>
        </w:rPr>
        <w:t>PVC：</w:t>
      </w:r>
      <w:r w:rsidR="00A71A7E" w:rsidRPr="00A71A7E">
        <w:rPr>
          <w:rFonts w:ascii="楷体" w:eastAsia="楷体" w:hAnsi="楷体" w:hint="eastAsia"/>
          <w:b/>
          <w:color w:val="000000" w:themeColor="text1"/>
          <w:sz w:val="24"/>
          <w:szCs w:val="24"/>
        </w:rPr>
        <w:t>春检在即供需改善 关注V低多机会</w:t>
      </w:r>
      <w:bookmarkEnd w:id="37"/>
    </w:p>
    <w:p w:rsidR="003F56A5" w:rsidRDefault="00A71A7E">
      <w:pPr>
        <w:ind w:leftChars="300" w:left="630"/>
        <w:rPr>
          <w:rFonts w:ascii="楷体" w:eastAsia="楷体" w:hAnsi="楷体"/>
          <w:color w:val="000000" w:themeColor="text1"/>
          <w:sz w:val="24"/>
          <w:szCs w:val="24"/>
        </w:rPr>
      </w:pPr>
      <w:r w:rsidRPr="00A71A7E">
        <w:rPr>
          <w:rFonts w:ascii="楷体" w:eastAsia="楷体" w:hAnsi="楷体" w:hint="eastAsia"/>
          <w:color w:val="000000" w:themeColor="text1"/>
          <w:sz w:val="24"/>
          <w:szCs w:val="24"/>
        </w:rPr>
        <w:t>本周国内PVC行业开工负荷率继续下降，据卓创资讯数据显示，本周PVC整体开工负荷率75.83%，环比下降1.31%；其中电石法PVC开工负荷率73.02%，环比下降1.74%；乙烯法PVC开工负荷率85.42%，环比增加0.12%。库存方面，需求恢复至旺季，库存先增后降。综合来看，PVC预估生产利润长期亏损带来的负反馈及即将到来的春检等因素影响，供应有缩量预期。需求端尚处在季节性旺季，进入4月国内建筑行业也将有所复苏，PVC下游制品企业开工有进一步提升预期。从库存的季节性规律来看，近期社库连续去库且去库幅度较大，装置春检开启后有望延续去库态势。国内地产利好政策仍在，中线消费回暖仍存期待，PVC可考虑逢低加多，仅供参考</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38" w:name="_Toc132704370"/>
      <w:r>
        <w:rPr>
          <w:rFonts w:ascii="楷体" w:eastAsia="楷体" w:hAnsi="楷体" w:hint="eastAsia"/>
          <w:b/>
          <w:color w:val="000000" w:themeColor="text1"/>
          <w:sz w:val="24"/>
          <w:szCs w:val="24"/>
        </w:rPr>
        <w:t>聚烯烃：</w:t>
      </w:r>
      <w:r w:rsidR="00BC5F45" w:rsidRPr="00BC5F45">
        <w:rPr>
          <w:rFonts w:ascii="楷体" w:eastAsia="楷体" w:hAnsi="楷体" w:hint="eastAsia"/>
          <w:b/>
          <w:color w:val="000000" w:themeColor="text1"/>
          <w:sz w:val="24"/>
          <w:szCs w:val="24"/>
        </w:rPr>
        <w:t>供需无明显变化下 聚烯烃或窄幅整理为主</w:t>
      </w:r>
      <w:bookmarkEnd w:id="38"/>
    </w:p>
    <w:p w:rsidR="003F56A5" w:rsidRDefault="00BC5F45">
      <w:pPr>
        <w:ind w:leftChars="300" w:left="630"/>
        <w:rPr>
          <w:rFonts w:ascii="楷体" w:eastAsia="楷体" w:hAnsi="楷体"/>
          <w:bCs/>
          <w:sz w:val="24"/>
          <w:szCs w:val="24"/>
        </w:rPr>
      </w:pPr>
      <w:r w:rsidRPr="00BC5F45">
        <w:rPr>
          <w:rFonts w:ascii="楷体" w:eastAsia="楷体" w:hAnsi="楷体" w:hint="eastAsia"/>
          <w:color w:val="000000" w:themeColor="text1"/>
          <w:sz w:val="24"/>
          <w:szCs w:val="24"/>
        </w:rPr>
        <w:t>近期聚烯烃窄幅波动。库存方面，上周五国内PE库存环比3月31日增加8.37%，其中主要生产环节PE库存环比增加17.68%，PE样本港口库存环比增加1.85%，样本贸易企业库存环比增加0.35%。上周五国内PP库存环比3月31日上升17.61%。其中主要生产环节PP库存上升、贸易环节库存、港口库存均有下降。短期聚烯烃去库节奏放缓。成本方面，国际能源署警告称OPEC+进一步减产将导致今年原油市场出现比此前预期更大且更早的供应短缺，欧美原油期货收盘走高。然而进一步减产也可能拖累消费者和全球经济复苏，加之美元汇率增强， 国际油价涨幅受。目前油制PE利润大约为-239元/吨，油制PP利润大约为-1211.28元/吨，目前利润有所下降；需求方面，PE下游方面，棚膜需求平平，地膜需求明显减弱，部分小厂已无新订单跟进。PP下游方面，BOPP市场成交刚需有量，整体量较上一交易日增加，BOPP企业未交付订单多数在一周以内，个别可至4月底。综合来看，PE方面，原油成本端价格上涨，对聚乙烯成本面支撑增强；供应端，检修装置变化不大，供应压力缓解有限；需求端，下游需求跟进放缓，市场心态偏空，提振力度有限。PP方面，油价高位波动，成本面对市场略有支撑。期货虽小幅走强，但对市场支撑有限，贸易商出货依然缓慢，中间环节库存将维持高位震荡。4月检修企业集中，供应端缩量，但需求按</w:t>
      </w:r>
      <w:r w:rsidRPr="00BC5F45">
        <w:rPr>
          <w:rFonts w:ascii="楷体" w:eastAsia="楷体" w:hAnsi="楷体" w:hint="eastAsia"/>
          <w:color w:val="000000" w:themeColor="text1"/>
          <w:sz w:val="24"/>
          <w:szCs w:val="24"/>
        </w:rPr>
        <w:lastRenderedPageBreak/>
        <w:t>需采购增量有限，供需双减的格局下价格难给出明确方向，预计今日 PP市场延续震荡运行</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39" w:name="_Toc132704371"/>
      <w:r>
        <w:rPr>
          <w:rFonts w:ascii="楷体" w:eastAsia="楷体" w:hAnsi="楷体" w:hint="eastAsia"/>
          <w:b/>
          <w:color w:val="000000" w:themeColor="text1"/>
          <w:sz w:val="24"/>
          <w:szCs w:val="24"/>
        </w:rPr>
        <w:t>MEG：</w:t>
      </w:r>
      <w:r w:rsidR="00BC5F45" w:rsidRPr="00BC5F45">
        <w:rPr>
          <w:rFonts w:ascii="楷体" w:eastAsia="楷体" w:hAnsi="楷体" w:hint="eastAsia"/>
          <w:b/>
          <w:color w:val="000000" w:themeColor="text1"/>
          <w:sz w:val="24"/>
          <w:szCs w:val="24"/>
        </w:rPr>
        <w:t>4月检修及进口有限供需结构改善 09偏多配</w:t>
      </w:r>
      <w:bookmarkEnd w:id="39"/>
    </w:p>
    <w:p w:rsidR="003F56A5" w:rsidRDefault="00BC5F45" w:rsidP="00E45000">
      <w:pPr>
        <w:ind w:leftChars="300" w:left="630"/>
        <w:rPr>
          <w:rFonts w:ascii="楷体" w:eastAsia="楷体" w:hAnsi="楷体"/>
          <w:color w:val="000000" w:themeColor="text1"/>
          <w:sz w:val="24"/>
          <w:szCs w:val="24"/>
        </w:rPr>
      </w:pPr>
      <w:r w:rsidRPr="00BC5F45">
        <w:rPr>
          <w:rFonts w:ascii="楷体" w:eastAsia="楷体" w:hAnsi="楷体" w:hint="eastAsia"/>
          <w:color w:val="000000" w:themeColor="text1"/>
          <w:sz w:val="24"/>
          <w:szCs w:val="24"/>
        </w:rPr>
        <w:t>供需情况，4.17华东主港地区MEG港口库存约111.3万吨附近，环比上期增加3.1万吨。4月10日至4月16日，张家港到货数量约为 4.4万吨，太仓码头到货数量约为4.7万吨，宁波到货数量约为1.4万吨，主港计划到货总数为 10.5万吨。截至4月13日，中国大陆地区乙二醇整体开工负荷在56.20%（+1.02%），其中煤制乙二醇开工负荷在55.42%（+3.61%）。进口方面来看，因外盘装置开工低负荷，预估4月沙特等外盘货源到港量不多。聚酯需求端来看，截止4.13初步核算国内大陆地区聚酯负荷在87.6%。上周江浙加弹综合开工率65%(-6%)，江浙织机综合开工率65%(-6%），江浙印染综合开工率75%（-2%），织造环节新订单氛围持续偏弱，原料价格高企的情况下企业缺乏生产积极性。综合来看，虽成本端煤价大幅下跌，但煤制乙二醇效益修复有限。进入4月份乙二醇供给端多套大装置检修如恒力石化、浙石化1#、海南炼化等，且国际供应收紧，供应边际有缩量预期。乙二醇阶段性供需矛盾缓和，关注后期EG 09 低位加多机会。仅供参考</w:t>
      </w:r>
      <w:r w:rsidR="00CC3FFA">
        <w:rPr>
          <w:rFonts w:ascii="楷体" w:eastAsia="楷体" w:hAnsi="楷体" w:hint="eastAsia"/>
          <w:color w:val="000000" w:themeColor="text1"/>
          <w:sz w:val="24"/>
          <w:szCs w:val="24"/>
        </w:rPr>
        <w:t>。</w:t>
      </w:r>
    </w:p>
    <w:p w:rsidR="00A71A7E" w:rsidRDefault="00A71A7E" w:rsidP="00E45000">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0" w:name="_Toc132704372"/>
      <w:r>
        <w:rPr>
          <w:rFonts w:ascii="楷体" w:eastAsia="楷体" w:hAnsi="楷体" w:hint="eastAsia"/>
          <w:b/>
          <w:color w:val="000000" w:themeColor="text1"/>
          <w:sz w:val="24"/>
          <w:szCs w:val="24"/>
        </w:rPr>
        <w:t>玻璃</w:t>
      </w:r>
      <w:r w:rsidR="00A71A7E">
        <w:rPr>
          <w:rFonts w:ascii="楷体" w:eastAsia="楷体" w:hAnsi="楷体" w:hint="eastAsia"/>
          <w:b/>
          <w:color w:val="000000" w:themeColor="text1"/>
          <w:sz w:val="24"/>
          <w:szCs w:val="24"/>
        </w:rPr>
        <w:t>：</w:t>
      </w:r>
      <w:r w:rsidR="00BC5F45" w:rsidRPr="00BC5F45">
        <w:rPr>
          <w:rFonts w:ascii="楷体" w:eastAsia="楷体" w:hAnsi="楷体" w:hint="eastAsia"/>
          <w:b/>
          <w:color w:val="000000" w:themeColor="text1"/>
          <w:sz w:val="24"/>
          <w:szCs w:val="24"/>
        </w:rPr>
        <w:t>周末玻璃现货继续上涨，期价涨幅较大</w:t>
      </w:r>
      <w:bookmarkEnd w:id="40"/>
    </w:p>
    <w:p w:rsidR="00A71A7E" w:rsidRDefault="00BC5F45" w:rsidP="0079299D">
      <w:pPr>
        <w:ind w:leftChars="300" w:left="630"/>
        <w:rPr>
          <w:rFonts w:ascii="楷体" w:eastAsia="楷体" w:hAnsi="楷体"/>
          <w:color w:val="000000" w:themeColor="text1"/>
          <w:sz w:val="24"/>
          <w:szCs w:val="24"/>
        </w:rPr>
      </w:pPr>
      <w:r w:rsidRPr="00BC5F45">
        <w:rPr>
          <w:rFonts w:ascii="楷体" w:eastAsia="楷体" w:hAnsi="楷体" w:hint="eastAsia"/>
          <w:color w:val="000000" w:themeColor="text1"/>
          <w:sz w:val="24"/>
          <w:szCs w:val="24"/>
        </w:rPr>
        <w:t>今日浮法玻璃现货价格1873，较上一交易+53。华北+60，华东+50，华中+60，华南+60，西南+40，东北+20，西北+50，全国各区域全面上涨。供给方面无明显变化，需求上下游深加工企业订单数4月中旬为14.8天，环比增加15.63%。据国家统计局消息，3月份70个大中城市中商品住宅销售价格上涨城市个数增加。地产表现好转+现货涨价+原片厂库存较低三重刺激下，推动期价大涨。当前05合约维持震荡偏强，上涨高度看地产刺激和下游备货的持续性，当前无法验证真伪，09合约受现货影响转强但下游好转的可持续性有待观察，盘面向上主要以现货涨价+原片去库驱动，建议低多思路，谨慎追高</w:t>
      </w:r>
      <w:r w:rsidR="00A71A7E">
        <w:rPr>
          <w:rFonts w:ascii="楷体" w:eastAsia="楷体" w:hAnsi="楷体" w:hint="eastAsia"/>
          <w:color w:val="000000" w:themeColor="text1"/>
          <w:sz w:val="24"/>
          <w:szCs w:val="24"/>
        </w:rPr>
        <w:t>。</w:t>
      </w:r>
    </w:p>
    <w:p w:rsidR="00A71A7E" w:rsidRDefault="00A71A7E" w:rsidP="00A71A7E">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1" w:name="_Toc132704373"/>
      <w:r>
        <w:rPr>
          <w:rFonts w:ascii="楷体" w:eastAsia="楷体" w:hAnsi="楷体" w:hint="eastAsia"/>
          <w:b/>
          <w:color w:val="000000" w:themeColor="text1"/>
          <w:sz w:val="24"/>
          <w:szCs w:val="24"/>
        </w:rPr>
        <w:t>纯碱</w:t>
      </w:r>
      <w:r w:rsidR="00A71A7E">
        <w:rPr>
          <w:rFonts w:ascii="楷体" w:eastAsia="楷体" w:hAnsi="楷体" w:hint="eastAsia"/>
          <w:b/>
          <w:color w:val="000000" w:themeColor="text1"/>
          <w:sz w:val="24"/>
          <w:szCs w:val="24"/>
        </w:rPr>
        <w:t>：</w:t>
      </w:r>
      <w:r w:rsidR="00BC5F45" w:rsidRPr="00BC5F45">
        <w:rPr>
          <w:rFonts w:ascii="楷体" w:eastAsia="楷体" w:hAnsi="楷体" w:hint="eastAsia"/>
          <w:b/>
          <w:color w:val="000000" w:themeColor="text1"/>
          <w:sz w:val="24"/>
          <w:szCs w:val="24"/>
        </w:rPr>
        <w:t>市场价格维稳，期价弱势反弹</w:t>
      </w:r>
      <w:bookmarkEnd w:id="41"/>
    </w:p>
    <w:p w:rsidR="00A71A7E" w:rsidRDefault="00BC5F45" w:rsidP="00A71A7E">
      <w:pPr>
        <w:ind w:leftChars="300" w:left="630"/>
        <w:rPr>
          <w:rFonts w:ascii="楷体" w:eastAsia="楷体" w:hAnsi="楷体"/>
          <w:bCs/>
          <w:sz w:val="24"/>
          <w:szCs w:val="24"/>
        </w:rPr>
      </w:pPr>
      <w:r w:rsidRPr="00BC5F45">
        <w:rPr>
          <w:rFonts w:ascii="楷体" w:eastAsia="楷体" w:hAnsi="楷体" w:hint="eastAsia"/>
          <w:color w:val="000000" w:themeColor="text1"/>
          <w:sz w:val="24"/>
          <w:szCs w:val="24"/>
        </w:rPr>
        <w:t>今日国内纯碱市场价格延续稳定，市场成交较为灵活。企业装置运行稳定，产销相对良好，维持平衡，订单多在月底，下游备货情绪谨慎，多维持刚需。短期市场无消息刺激下，在玻璃强势上涨的行情下，纯碱表现较弱，延续弱势反弹态势</w:t>
      </w:r>
      <w:r w:rsidR="00A71A7E">
        <w:rPr>
          <w:rFonts w:ascii="楷体" w:eastAsia="楷体" w:hAnsi="楷体" w:hint="eastAsia"/>
          <w:color w:val="000000" w:themeColor="text1"/>
          <w:sz w:val="24"/>
          <w:szCs w:val="24"/>
        </w:rPr>
        <w:t>。</w:t>
      </w:r>
    </w:p>
    <w:p w:rsidR="003F56A5" w:rsidRPr="00A71A7E" w:rsidRDefault="003F56A5">
      <w:pPr>
        <w:ind w:firstLineChars="200" w:firstLine="480"/>
        <w:rPr>
          <w:rFonts w:ascii="楷体" w:eastAsia="楷体" w:hAnsi="楷体"/>
          <w:bCs/>
          <w:sz w:val="24"/>
          <w:szCs w:val="24"/>
        </w:rPr>
      </w:pPr>
    </w:p>
    <w:p w:rsidR="003F56A5" w:rsidRDefault="003F56A5">
      <w:pPr>
        <w:ind w:firstLineChars="200" w:firstLine="420"/>
        <w:rPr>
          <w:rFonts w:ascii="Times New Roman" w:eastAsia="楷体" w:hAnsi="Times New Roman"/>
          <w:bCs/>
        </w:rPr>
      </w:pPr>
    </w:p>
    <w:p w:rsidR="003F56A5" w:rsidRDefault="00CC3FFA">
      <w:pPr>
        <w:pBdr>
          <w:top w:val="single" w:sz="4" w:space="1" w:color="auto"/>
        </w:pBdr>
        <w:outlineLvl w:val="0"/>
        <w:rPr>
          <w:rFonts w:ascii="Times New Roman" w:eastAsia="楷体" w:hAnsi="Times New Roman"/>
          <w:b/>
          <w:color w:val="823C0B"/>
          <w:sz w:val="30"/>
          <w:szCs w:val="30"/>
        </w:rPr>
      </w:pPr>
      <w:r>
        <w:rPr>
          <w:rFonts w:ascii="Times New Roman" w:eastAsia="楷体" w:hAnsi="Times New Roman" w:hint="eastAsia"/>
          <w:b/>
          <w:color w:val="823C0B"/>
          <w:sz w:val="30"/>
          <w:szCs w:val="30"/>
        </w:rPr>
        <w:t xml:space="preserve"> </w:t>
      </w:r>
      <w:bookmarkStart w:id="42" w:name="_Toc132704374"/>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农产品</w:t>
      </w:r>
      <w:r>
        <w:rPr>
          <w:rFonts w:ascii="Times New Roman" w:eastAsia="楷体" w:hAnsi="Times New Roman" w:hint="eastAsia"/>
          <w:b/>
          <w:color w:val="823C0B"/>
          <w:sz w:val="30"/>
          <w:szCs w:val="30"/>
        </w:rPr>
        <w:t>]</w:t>
      </w:r>
      <w:bookmarkEnd w:id="13"/>
      <w:bookmarkEnd w:id="42"/>
    </w:p>
    <w:p w:rsidR="003F56A5" w:rsidRDefault="00147B03">
      <w:pPr>
        <w:ind w:leftChars="200" w:left="420"/>
        <w:outlineLvl w:val="1"/>
        <w:rPr>
          <w:rFonts w:ascii="楷体" w:eastAsia="楷体" w:hAnsi="楷体"/>
          <w:b/>
          <w:sz w:val="24"/>
          <w:szCs w:val="24"/>
        </w:rPr>
      </w:pPr>
      <w:bookmarkStart w:id="43" w:name="_Toc132704375"/>
      <w:r w:rsidRPr="00147B03">
        <w:rPr>
          <w:rFonts w:ascii="楷体" w:eastAsia="楷体" w:hAnsi="楷体" w:hint="eastAsia"/>
          <w:b/>
          <w:color w:val="000000" w:themeColor="text1"/>
          <w:sz w:val="24"/>
          <w:szCs w:val="24"/>
        </w:rPr>
        <w:t>豆粕/菜粕</w:t>
      </w:r>
      <w:r w:rsidR="00CC3FFA">
        <w:rPr>
          <w:rFonts w:ascii="楷体" w:eastAsia="楷体" w:hAnsi="楷体" w:hint="eastAsia"/>
          <w:b/>
          <w:color w:val="000000" w:themeColor="text1"/>
          <w:sz w:val="24"/>
          <w:szCs w:val="24"/>
        </w:rPr>
        <w:t>：</w:t>
      </w:r>
      <w:r w:rsidR="00BC5F45" w:rsidRPr="00BC5F45">
        <w:rPr>
          <w:rFonts w:ascii="楷体" w:eastAsia="楷体" w:hAnsi="楷体" w:hint="eastAsia"/>
          <w:b/>
          <w:sz w:val="24"/>
          <w:szCs w:val="24"/>
        </w:rPr>
        <w:t>近月偏强，但阶段性压力仍存</w:t>
      </w:r>
      <w:bookmarkEnd w:id="43"/>
    </w:p>
    <w:p w:rsidR="003F56A5" w:rsidRDefault="00BC5F45">
      <w:pPr>
        <w:ind w:leftChars="300" w:left="630"/>
        <w:rPr>
          <w:rFonts w:ascii="楷体" w:eastAsia="楷体" w:hAnsi="楷体"/>
          <w:sz w:val="24"/>
          <w:szCs w:val="24"/>
        </w:rPr>
      </w:pPr>
      <w:r w:rsidRPr="00BC5F45">
        <w:rPr>
          <w:rFonts w:ascii="楷体" w:eastAsia="楷体" w:hAnsi="楷体" w:hint="eastAsia"/>
          <w:sz w:val="24"/>
          <w:szCs w:val="24"/>
        </w:rPr>
        <w:t>外盘CBOT大豆维持1500美分附近高位震荡，因美国月度压榨量跳升至15个月高点且预期中国需求增加；而近期国内大豆卸港问题持续影响，大豆到厂延迟，短期缺豆豆粕库存下滑，叠加临近交割月，支撑近月及现货表现较强。当前巴西大豆收割及出口进度加快，而库容有限，农户销售意愿较强，后续供应压力预计会逐步释放，4月份预计出口1373.6万吨，高于</w:t>
      </w:r>
      <w:r w:rsidRPr="00BC5F45">
        <w:rPr>
          <w:rFonts w:ascii="楷体" w:eastAsia="楷体" w:hAnsi="楷体" w:hint="eastAsia"/>
          <w:sz w:val="24"/>
          <w:szCs w:val="24"/>
        </w:rPr>
        <w:lastRenderedPageBreak/>
        <w:t>前一个月，持续关注巴西卖货情况。国内市场，近期到港压力延迟，在供应减少及下游需求偏弱下油厂开机维持低位，根据机构预估4月份预计到港780万吨，油厂开机提升预计在4月中下旬，阶段性供应压力后移。下游养殖利润表现仍不佳，饲企和养殖企业等对豆粕饲用需求偏弱，在近期豆粕现货价格上调后其价格优势减弱，现货基差后续仍面临压力。菜粕供应端在进口菜籽持续增加下逐步修复，油厂开机及压榨明显回升。而需求方面在近期天气逐步回暖后，华南水产需求预计启动，同时在豆粕价格上涨后提振菜粕替代需求，因此菜粕相对于豆粕下方支撑更强。策略方面，后期大豆大量到港已是现实，当前仅为阶段性压力后移，预计期货及现货上方仍存压，建议反弹企稳后布局09空单，关注菜粕9-1正套</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44" w:name="_Toc132704376"/>
      <w:r>
        <w:rPr>
          <w:rFonts w:ascii="楷体" w:eastAsia="楷体" w:hAnsi="楷体" w:hint="eastAsia"/>
          <w:b/>
          <w:color w:val="000000" w:themeColor="text1"/>
          <w:sz w:val="24"/>
          <w:szCs w:val="24"/>
        </w:rPr>
        <w:t>油脂：</w:t>
      </w:r>
      <w:r w:rsidR="00BC5F45" w:rsidRPr="00BC5F45">
        <w:rPr>
          <w:rFonts w:ascii="楷体" w:eastAsia="楷体" w:hAnsi="楷体" w:hint="eastAsia"/>
          <w:b/>
          <w:sz w:val="24"/>
          <w:szCs w:val="24"/>
        </w:rPr>
        <w:t>缺乏有效驱动，趋于震荡</w:t>
      </w:r>
      <w:bookmarkEnd w:id="44"/>
    </w:p>
    <w:p w:rsidR="003F56A5" w:rsidRDefault="00BC5F45" w:rsidP="00792D31">
      <w:pPr>
        <w:ind w:leftChars="300" w:left="630"/>
        <w:rPr>
          <w:rFonts w:ascii="楷体" w:eastAsia="楷体" w:hAnsi="楷体"/>
          <w:sz w:val="24"/>
          <w:szCs w:val="24"/>
        </w:rPr>
      </w:pPr>
      <w:r w:rsidRPr="00BC5F45">
        <w:rPr>
          <w:rFonts w:ascii="楷体" w:eastAsia="楷体" w:hAnsi="楷体" w:hint="eastAsia"/>
          <w:sz w:val="24"/>
          <w:szCs w:val="24"/>
        </w:rPr>
        <w:t>BMD马棕走强，带动内盘油脂尤其是棕榈油反弹，因印尼2月库存或大幅下滑，叠加印尼DMO政策的不确定性仍带来支撑。棕榈油，产地方面4月后马来进入增产阶段，出口需求预计下滑，将抑制棕榈油反弹空间，船运机构显示马来西亚4月1-10日棕榈油出口量为303285吨，环比减少39.53%。同时，印尼预计在5月后放开出口，需同时关注DMO配比调整，为短期不确定因素。国内棕榈油供应较充裕，近期库存高位回落，在进口利润持续倒挂下，出现洗船情况，二季度进口预计下滑。随着天气逐渐回暖，棕榈油消费预计增加，去库速度仍需看消费端增量。豆油，随着天气回暖，在豆棕价差较大下利好棕榈油替代需求，近期下游需求被挤占。目前大部分油厂因大豆到厂延迟开机偏低，豆油库存维持历史低位，但随着后续进口大豆大量供应，豆油供应存边际修复预期，有望累库。菜油在供应边际改善下，短期上方压力仍存。随着进口加籽到港量逐步增加，菜籽库存维持高位，1-2月累计进口菜籽106万吨，且4-6月份菜籽到港预计仍将维持偏高水平。随着油厂开机回升，叠加进口菜油供给也在增加，供应逐渐改善。需求方面，一级豆油价格与三级菜油呈现倒挂，后续或提振部分菜油替代需求。短期油脂预计维持震荡整理，上方空间有限，建议短线操作，做缩豆棕09套利继续持有</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pStyle w:val="paragraph"/>
        <w:spacing w:before="60" w:beforeAutospacing="0" w:after="60" w:afterAutospacing="0"/>
        <w:ind w:leftChars="200" w:left="420"/>
        <w:outlineLvl w:val="1"/>
        <w:rPr>
          <w:rFonts w:ascii="楷体" w:eastAsia="楷体" w:hAnsi="楷体"/>
          <w:b/>
        </w:rPr>
      </w:pPr>
      <w:bookmarkStart w:id="45" w:name="_Toc132704377"/>
      <w:r>
        <w:rPr>
          <w:rFonts w:ascii="楷体" w:eastAsia="楷体" w:hAnsi="楷体" w:hint="eastAsia"/>
          <w:b/>
          <w:bCs/>
          <w:color w:val="000000" w:themeColor="text1"/>
        </w:rPr>
        <w:t>玉米与淀粉：</w:t>
      </w:r>
      <w:r w:rsidR="00BC5F45" w:rsidRPr="00BC5F45">
        <w:rPr>
          <w:rFonts w:ascii="楷体" w:eastAsia="楷体" w:hAnsi="楷体" w:hint="eastAsia"/>
          <w:b/>
        </w:rPr>
        <w:t>期价延续弱势</w:t>
      </w:r>
      <w:bookmarkEnd w:id="45"/>
    </w:p>
    <w:p w:rsidR="00BC5F45" w:rsidRPr="00BC5F45" w:rsidRDefault="00BC5F45" w:rsidP="00BC5F45">
      <w:pPr>
        <w:pStyle w:val="paragraph"/>
        <w:spacing w:before="60" w:after="60"/>
        <w:ind w:leftChars="300" w:left="630"/>
        <w:rPr>
          <w:rFonts w:ascii="楷体" w:eastAsia="楷体" w:hAnsi="楷体" w:hint="eastAsia"/>
        </w:rPr>
      </w:pPr>
      <w:r w:rsidRPr="00BC5F45">
        <w:rPr>
          <w:rFonts w:ascii="楷体" w:eastAsia="楷体" w:hAnsi="楷体" w:hint="eastAsia"/>
        </w:rPr>
        <w:t>对于玉米而言，近期市场关注的核心是国产玉米的性价比优势，通过比较可以看出，目前玉米期价贴近产区和北方港口平仓价，这是短期支撑所在，但显著高于玉米进口成本和国内小麦和陈化水稻，依然不具备性价比优势，因此，我们延续谨慎看空观点，接下来需要重点关注进口玉米与国内小麦价格的变动。综上所述，我们维持谨慎看空观点，建议持有前期空单（如有的话）。</w:t>
      </w:r>
    </w:p>
    <w:p w:rsidR="003F56A5" w:rsidRDefault="00BC5F45" w:rsidP="00BC5F45">
      <w:pPr>
        <w:pStyle w:val="paragraph"/>
        <w:spacing w:before="60" w:beforeAutospacing="0" w:after="60" w:afterAutospacing="0"/>
        <w:ind w:leftChars="300" w:left="630"/>
        <w:rPr>
          <w:rFonts w:ascii="楷体" w:eastAsia="楷体" w:hAnsi="楷体"/>
        </w:rPr>
      </w:pPr>
      <w:r w:rsidRPr="00BC5F45">
        <w:rPr>
          <w:rFonts w:ascii="楷体" w:eastAsia="楷体" w:hAnsi="楷体" w:hint="eastAsia"/>
        </w:rPr>
        <w:t>对于淀粉而言，近期淀粉-玉米价差表现分化，近月继续走扩，这主要源于行业开机率带动行业库存出现下滑，而远月合约价差变动不大，或需要源于玉米原料端和副产品端的不确定性。结合淀粉基差和盘面生产利润来看，短期价差或有反复</w:t>
      </w:r>
      <w:r w:rsidR="00CC3FFA">
        <w:rPr>
          <w:rFonts w:ascii="楷体" w:eastAsia="楷体" w:hAnsi="楷体" w:hint="eastAsia"/>
        </w:rPr>
        <w:t>。</w:t>
      </w:r>
    </w:p>
    <w:p w:rsidR="003F56A5" w:rsidRDefault="003F56A5">
      <w:pPr>
        <w:pStyle w:val="paragraph"/>
        <w:spacing w:before="60" w:beforeAutospacing="0" w:after="60" w:afterAutospacing="0"/>
        <w:ind w:leftChars="300" w:left="630"/>
        <w:rPr>
          <w:rFonts w:ascii="楷体" w:eastAsia="楷体" w:hAnsi="楷体"/>
        </w:rPr>
      </w:pPr>
    </w:p>
    <w:p w:rsidR="003F56A5" w:rsidRDefault="00CC3FFA">
      <w:pPr>
        <w:pStyle w:val="paragraph"/>
        <w:spacing w:before="60" w:beforeAutospacing="0" w:after="60" w:afterAutospacing="0"/>
        <w:ind w:leftChars="200" w:left="420"/>
        <w:outlineLvl w:val="1"/>
        <w:rPr>
          <w:rFonts w:ascii="楷体" w:eastAsia="楷体" w:hAnsi="楷体"/>
          <w:b/>
          <w:bCs/>
          <w:color w:val="000000" w:themeColor="text1"/>
        </w:rPr>
      </w:pPr>
      <w:bookmarkStart w:id="46" w:name="_Toc132704378"/>
      <w:r>
        <w:rPr>
          <w:rFonts w:ascii="楷体" w:eastAsia="楷体" w:hAnsi="楷体" w:hint="eastAsia"/>
          <w:b/>
          <w:bCs/>
          <w:color w:val="000000" w:themeColor="text1"/>
        </w:rPr>
        <w:lastRenderedPageBreak/>
        <w:t>畜禽养殖：</w:t>
      </w:r>
      <w:r w:rsidR="00BC5F45" w:rsidRPr="00BC5F45">
        <w:rPr>
          <w:rFonts w:ascii="楷体" w:eastAsia="楷体" w:hAnsi="楷体" w:hint="eastAsia"/>
          <w:b/>
          <w:bCs/>
          <w:color w:val="000000" w:themeColor="text1"/>
        </w:rPr>
        <w:t>期价大幅反弹</w:t>
      </w:r>
      <w:bookmarkEnd w:id="46"/>
    </w:p>
    <w:p w:rsidR="00BC5F45" w:rsidRPr="00BC5F45" w:rsidRDefault="00BC5F45" w:rsidP="00BC5F45">
      <w:pPr>
        <w:pStyle w:val="paragraph"/>
        <w:spacing w:before="60" w:after="60"/>
        <w:ind w:leftChars="300" w:left="630"/>
        <w:rPr>
          <w:rFonts w:ascii="楷体" w:eastAsia="楷体" w:hAnsi="楷体" w:hint="eastAsia"/>
        </w:rPr>
      </w:pPr>
      <w:r w:rsidRPr="00BC5F45">
        <w:rPr>
          <w:rFonts w:ascii="楷体" w:eastAsia="楷体" w:hAnsi="楷体" w:hint="eastAsia"/>
        </w:rPr>
        <w:t>对于生猪而言，2月下旬以来现货表现不及我们之前预期，在我们看来，主要原因有二，一方面低估了节前堆积的供应量，另一方面则源于节后非瘟疫情对供应的阶段性影响。对于需求层面，考虑到生猪餐饮食堂消费占比较大，随着新冠疫情防控政策的放开，社会流动性提高，消费有望恢复至常年水平，除去宏观经济数据外，从节后鸡蛋和白羽鸡价格和利润处于历史同期高位水平可以得到印证。考虑到节前积累的供应仍有待消化，生猪现货缺乏上涨动力，与此同时，生猪养殖已经深度亏损，继续下跌将触发国家储备收购，期价继续下跌空间亦有限。在这种情况下，暂维持中性观点，后期或再度转向看多，建议投资者暂以观望为宜，待现货再度上涨后择机入场做多。</w:t>
      </w:r>
    </w:p>
    <w:p w:rsidR="003F56A5" w:rsidRDefault="00BC5F45" w:rsidP="00BC5F45">
      <w:pPr>
        <w:pStyle w:val="paragraph"/>
        <w:spacing w:before="60" w:beforeAutospacing="0" w:after="60" w:afterAutospacing="0"/>
        <w:ind w:leftChars="300" w:left="630"/>
        <w:rPr>
          <w:rFonts w:ascii="楷体" w:eastAsia="楷体" w:hAnsi="楷体"/>
        </w:rPr>
      </w:pPr>
      <w:r w:rsidRPr="00BC5F45">
        <w:rPr>
          <w:rFonts w:ascii="楷体" w:eastAsia="楷体" w:hAnsi="楷体" w:hint="eastAsia"/>
        </w:rPr>
        <w:t>对于鸡蛋而言，在前期报告中我们指出，今年鸡蛋延续2020年以来的供需两弱格局，节前期现货表现弱势更多源于需求受到疫情的扰动，后期需要特别留意需求端的变化，因一旦需求恢复或者改善，那么蛋鸡养殖需要一波产能恢复的过程，这一过程往往伴随着鸡蛋现货价格上涨，及其对应的蛋鸡养殖利润的提升。目前现货市场表现符合我们之前预期，而期价表现弱势更多源于远期供需改善的担忧，远月期价大幅下跌，5-9价差处于历史同期最高水平，进而压制近月合约。在这种情况下，我们倾向于认为当前市场矛盾主要集中在近月合约上，考虑到2305合约基差处于历史高位，而现货季节性和供需仍支持现货阶段性强势，后期基差修复更多通过期价上涨来实现，据此维持谨慎看多观点，建议持有2305合约多单</w:t>
      </w:r>
      <w:r w:rsidR="00CC3FFA">
        <w:rPr>
          <w:rFonts w:ascii="楷体" w:eastAsia="楷体" w:hAnsi="楷体" w:hint="eastAsia"/>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sz w:val="24"/>
          <w:szCs w:val="24"/>
        </w:rPr>
      </w:pPr>
      <w:bookmarkStart w:id="47" w:name="_Toc132704379"/>
      <w:r>
        <w:rPr>
          <w:rFonts w:ascii="楷体" w:eastAsia="楷体" w:hAnsi="楷体" w:hint="eastAsia"/>
          <w:b/>
          <w:sz w:val="24"/>
          <w:szCs w:val="24"/>
        </w:rPr>
        <w:t>郑棉：</w:t>
      </w:r>
      <w:r w:rsidR="00BC5F45" w:rsidRPr="00BC5F45">
        <w:rPr>
          <w:rFonts w:ascii="楷体" w:eastAsia="楷体" w:hAnsi="楷体" w:hint="eastAsia"/>
          <w:b/>
          <w:sz w:val="24"/>
          <w:szCs w:val="24"/>
        </w:rPr>
        <w:t>郑棉震荡整理</w:t>
      </w:r>
      <w:bookmarkEnd w:id="47"/>
    </w:p>
    <w:p w:rsidR="00BC5F45" w:rsidRPr="00BC5F45" w:rsidRDefault="00BC5F45" w:rsidP="00BC5F45">
      <w:pPr>
        <w:ind w:leftChars="300" w:left="630"/>
        <w:rPr>
          <w:rFonts w:ascii="楷体" w:eastAsia="楷体" w:hAnsi="楷体" w:hint="eastAsia"/>
          <w:sz w:val="24"/>
          <w:szCs w:val="24"/>
        </w:rPr>
      </w:pPr>
      <w:r w:rsidRPr="00BC5F45">
        <w:rPr>
          <w:rFonts w:ascii="楷体" w:eastAsia="楷体" w:hAnsi="楷体" w:hint="eastAsia"/>
          <w:sz w:val="24"/>
          <w:szCs w:val="24"/>
        </w:rPr>
        <w:t xml:space="preserve">1.5以上高抛或等待回落后的重新加多或卖出看跌期权机会 </w:t>
      </w:r>
    </w:p>
    <w:p w:rsidR="003F56A5" w:rsidRDefault="00BC5F45" w:rsidP="00BC5F45">
      <w:pPr>
        <w:ind w:leftChars="300" w:left="630"/>
        <w:rPr>
          <w:rFonts w:ascii="楷体" w:eastAsia="楷体" w:hAnsi="楷体"/>
          <w:sz w:val="24"/>
          <w:szCs w:val="24"/>
        </w:rPr>
      </w:pPr>
      <w:r w:rsidRPr="00BC5F45">
        <w:rPr>
          <w:rFonts w:ascii="楷体" w:eastAsia="楷体" w:hAnsi="楷体" w:hint="eastAsia"/>
          <w:sz w:val="24"/>
          <w:szCs w:val="24"/>
        </w:rPr>
        <w:t>郑棉在出口数据利好以及新疆遭遇霜冻等不利种植天气的情况下强势上涨冲破1.5万元关口。对于周末出炉的目标价格补贴，不同的群体对其解读分歧较大。棉农认为18600的补贴有效安抚了此前焦灼的情绪，种植意愿上升。而投资者认为定产510万吨属于大减产，是极大利好。消费方面，纱线价格暗弱，棉纱加工的即期利润已进入亏损，“银四”成色似有不足。3月工商业库存出炉，商业库存略降，工业库存微增。纱线坯布等成品库存继续增加。供应端和需求端皆从强趋弱，供需矛盾不明显，预计郑棉仍是偏震荡走势</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firstLineChars="200" w:firstLine="602"/>
        <w:rPr>
          <w:rFonts w:ascii="Times New Roman" w:eastAsia="楷体" w:hAnsi="Times New Roman"/>
          <w:b/>
          <w:color w:val="800000"/>
          <w:sz w:val="30"/>
          <w:szCs w:val="30"/>
        </w:rPr>
      </w:pPr>
      <w:r>
        <w:rPr>
          <w:rFonts w:ascii="Times New Roman" w:eastAsia="楷体" w:hAnsi="Times New Roman"/>
          <w:b/>
          <w:color w:val="800000"/>
          <w:sz w:val="30"/>
          <w:szCs w:val="30"/>
        </w:rPr>
        <w:br w:type="page"/>
      </w:r>
    </w:p>
    <w:p w:rsidR="003F56A5" w:rsidRDefault="00CC3FFA">
      <w:pPr>
        <w:spacing w:line="360" w:lineRule="auto"/>
        <w:jc w:val="center"/>
        <w:rPr>
          <w:rFonts w:ascii="Times New Roman" w:eastAsia="楷体" w:hAnsi="Times New Roman"/>
          <w:b/>
          <w:color w:val="411D05"/>
          <w:sz w:val="30"/>
          <w:szCs w:val="30"/>
        </w:rPr>
      </w:pPr>
      <w:bookmarkStart w:id="48" w:name="_Toc71212556"/>
      <w:bookmarkStart w:id="49" w:name="_Toc19667"/>
      <w:bookmarkStart w:id="50" w:name="_Toc98426751"/>
      <w:bookmarkStart w:id="51" w:name="_Toc12779"/>
      <w:bookmarkStart w:id="52" w:name="_Toc72481108"/>
      <w:r>
        <w:rPr>
          <w:rFonts w:ascii="Times New Roman" w:eastAsia="楷体" w:hAnsi="Times New Roman"/>
          <w:b/>
          <w:color w:val="411D05"/>
          <w:sz w:val="30"/>
          <w:szCs w:val="30"/>
        </w:rPr>
        <w:lastRenderedPageBreak/>
        <w:t>免责声明</w:t>
      </w:r>
      <w:bookmarkEnd w:id="48"/>
      <w:bookmarkEnd w:id="49"/>
      <w:bookmarkEnd w:id="50"/>
      <w:bookmarkEnd w:id="51"/>
      <w:bookmarkEnd w:id="52"/>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rsidR="003F56A5" w:rsidRDefault="00CC3FFA">
      <w:pPr>
        <w:ind w:firstLineChars="200" w:firstLine="422"/>
        <w:rPr>
          <w:rFonts w:ascii="Times New Roman" w:eastAsia="楷体" w:hAnsi="Times New Roman"/>
        </w:rPr>
      </w:pPr>
      <w:r>
        <w:rPr>
          <w:rFonts w:ascii="Times New Roman" w:eastAsia="楷体" w:hAnsi="Times New Roman" w:hint="eastAsia"/>
          <w:b/>
          <w:bCs/>
          <w:color w:val="C00000"/>
        </w:rPr>
        <w:t>广州期货股份有限公司提醒广大投资者：期市有风险，入市需谨慎！</w:t>
      </w: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CC3FFA">
      <w:pPr>
        <w:jc w:val="left"/>
        <w:rPr>
          <w:rFonts w:ascii="Times New Roman" w:eastAsia="楷体" w:hAnsi="Times New Roman"/>
          <w:b/>
          <w:color w:val="823C0B"/>
          <w:sz w:val="28"/>
        </w:rPr>
      </w:pPr>
      <w:r>
        <w:rPr>
          <w:rFonts w:ascii="Times New Roman" w:eastAsia="楷体" w:hAnsi="Times New Roman"/>
          <w:b/>
          <w:color w:val="823C0B"/>
          <w:sz w:val="28"/>
        </w:rPr>
        <w:t>投资咨询业务资格</w:t>
      </w:r>
      <w:r>
        <w:rPr>
          <w:rFonts w:ascii="Times New Roman" w:eastAsia="楷体" w:hAnsi="Times New Roman"/>
          <w:b/>
          <w:color w:val="823C0B"/>
          <w:sz w:val="28"/>
        </w:rPr>
        <w:t>:</w:t>
      </w:r>
      <w:r>
        <w:rPr>
          <w:rFonts w:ascii="Times New Roman" w:eastAsia="楷体" w:hAnsi="Times New Roman"/>
          <w:b/>
          <w:color w:val="823C0B"/>
          <w:sz w:val="28"/>
        </w:rPr>
        <w:t>证监许可【</w:t>
      </w:r>
      <w:r>
        <w:rPr>
          <w:rFonts w:ascii="Times New Roman" w:eastAsia="楷体" w:hAnsi="Times New Roman"/>
          <w:b/>
          <w:color w:val="823C0B"/>
          <w:sz w:val="28"/>
        </w:rPr>
        <w:t>2012</w:t>
      </w:r>
      <w:r>
        <w:rPr>
          <w:rFonts w:ascii="Times New Roman" w:eastAsia="楷体" w:hAnsi="Times New Roman"/>
          <w:b/>
          <w:color w:val="823C0B"/>
          <w:sz w:val="28"/>
        </w:rPr>
        <w:t>】</w:t>
      </w:r>
      <w:r>
        <w:rPr>
          <w:rFonts w:ascii="Times New Roman" w:eastAsia="楷体" w:hAnsi="Times New Roman"/>
          <w:b/>
          <w:color w:val="823C0B"/>
          <w:sz w:val="28"/>
        </w:rPr>
        <w:t>1497</w:t>
      </w:r>
      <w:r>
        <w:rPr>
          <w:rFonts w:ascii="Times New Roman" w:eastAsia="楷体" w:hAnsi="Times New Roman"/>
          <w:b/>
          <w:color w:val="823C0B"/>
          <w:sz w:val="28"/>
        </w:rPr>
        <w:t>号</w:t>
      </w:r>
      <w:r>
        <w:rPr>
          <w:rFonts w:ascii="Times New Roman" w:eastAsia="楷体" w:hAnsi="Times New Roman"/>
          <w:b/>
          <w:color w:val="823C0B"/>
          <w:sz w:val="28"/>
        </w:rPr>
        <w:t xml:space="preserve"> </w:t>
      </w:r>
    </w:p>
    <w:p w:rsidR="003F56A5" w:rsidRDefault="003F56A5">
      <w:pPr>
        <w:ind w:firstLineChars="200" w:firstLine="440"/>
        <w:rPr>
          <w:rFonts w:ascii="Times New Roman" w:eastAsia="楷体" w:hAnsi="Times New Roman" w:cs="Times New Roman"/>
          <w:sz w:val="22"/>
        </w:rPr>
      </w:pPr>
    </w:p>
    <w:tbl>
      <w:tblPr>
        <w:tblStyle w:val="a5"/>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2"/>
        <w:gridCol w:w="4154"/>
      </w:tblGrid>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王荆杰</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F3084112</w:t>
            </w:r>
            <w:r>
              <w:rPr>
                <w:rFonts w:ascii="Times New Roman" w:eastAsia="楷体" w:hAnsi="Times New Roman" w:cs="Times New Roman" w:hint="eastAsia"/>
                <w:color w:val="823C0B"/>
                <w:sz w:val="22"/>
              </w:rPr>
              <w:t xml:space="preserve">    </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Z0016329</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范红军</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F03098791</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Z0017690</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李代</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F03086605</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Z0016791</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许克元</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F3022666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Z0013612</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谢紫琪</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F3032560</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Z0014338</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薛晴</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F3035906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Z0016940</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tbl>
      <w:tblPr>
        <w:tblW w:w="5000" w:type="pct"/>
        <w:jc w:val="center"/>
        <w:tblLook w:val="04A0" w:firstRow="1" w:lastRow="0" w:firstColumn="1" w:lastColumn="0" w:noHBand="0" w:noVBand="1"/>
      </w:tblPr>
      <w:tblGrid>
        <w:gridCol w:w="8306"/>
      </w:tblGrid>
      <w:tr w:rsidR="003F56A5">
        <w:trPr>
          <w:jc w:val="center"/>
        </w:trPr>
        <w:tc>
          <w:tcPr>
            <w:tcW w:w="5000" w:type="pct"/>
            <w:shd w:val="clear" w:color="auto" w:fill="auto"/>
            <w:vAlign w:val="center"/>
          </w:tcPr>
          <w:p w:rsidR="003F56A5" w:rsidRDefault="00CC3FFA">
            <w:pPr>
              <w:rPr>
                <w:rFonts w:ascii="Times New Roman" w:eastAsia="楷体" w:hAnsi="Times New Roman"/>
                <w:b/>
                <w:bCs/>
                <w:color w:val="823C0B"/>
              </w:rPr>
            </w:pPr>
            <w:r>
              <w:rPr>
                <w:rFonts w:ascii="Times New Roman" w:eastAsia="楷体" w:hAnsi="Times New Roman"/>
                <w:bCs/>
                <w:color w:val="823C0B"/>
              </w:rPr>
              <w:t>办公地址：广州市天河区</w:t>
            </w:r>
            <w:r>
              <w:rPr>
                <w:rFonts w:ascii="Times New Roman" w:eastAsia="楷体" w:hAnsi="Times New Roman" w:hint="eastAsia"/>
                <w:bCs/>
                <w:color w:val="823C0B"/>
              </w:rPr>
              <w:t>临江大道</w:t>
            </w:r>
            <w:r>
              <w:rPr>
                <w:rFonts w:ascii="Times New Roman" w:eastAsia="楷体" w:hAnsi="Times New Roman" w:hint="eastAsia"/>
                <w:bCs/>
                <w:color w:val="823C0B"/>
              </w:rPr>
              <w:t>1</w:t>
            </w:r>
            <w:r>
              <w:rPr>
                <w:rFonts w:ascii="Times New Roman" w:eastAsia="楷体" w:hAnsi="Times New Roman" w:hint="eastAsia"/>
                <w:bCs/>
                <w:color w:val="823C0B"/>
              </w:rPr>
              <w:t>号寺右万科中心南塔</w:t>
            </w:r>
            <w:r>
              <w:rPr>
                <w:rFonts w:ascii="Times New Roman" w:eastAsia="楷体" w:hAnsi="Times New Roman"/>
                <w:bCs/>
                <w:color w:val="823C0B"/>
              </w:rPr>
              <w:t>6</w:t>
            </w:r>
            <w:r>
              <w:rPr>
                <w:rFonts w:ascii="Times New Roman" w:eastAsia="楷体" w:hAnsi="Times New Roman" w:hint="eastAsia"/>
                <w:bCs/>
                <w:color w:val="823C0B"/>
              </w:rPr>
              <w:t>层</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color w:val="823C0B"/>
              </w:rPr>
            </w:pPr>
            <w:r>
              <w:rPr>
                <w:rFonts w:ascii="Times New Roman" w:eastAsia="楷体" w:hAnsi="Times New Roman" w:hint="eastAsia"/>
                <w:bCs/>
                <w:color w:val="823C0B"/>
              </w:rPr>
              <w:t>联系方式</w:t>
            </w:r>
            <w:r>
              <w:rPr>
                <w:rFonts w:ascii="Times New Roman" w:eastAsia="楷体" w:hAnsi="Times New Roman" w:hint="eastAsia"/>
                <w:bCs/>
                <w:color w:val="823C0B"/>
              </w:rPr>
              <w:t>: (020)22836102</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bCs/>
                <w:color w:val="823C0B"/>
              </w:rPr>
            </w:pPr>
            <w:r>
              <w:rPr>
                <w:rFonts w:ascii="Times New Roman" w:eastAsia="楷体" w:hAnsi="Times New Roman"/>
                <w:bCs/>
                <w:color w:val="823C0B"/>
              </w:rPr>
              <w:t>邮政编码：</w:t>
            </w:r>
            <w:r>
              <w:rPr>
                <w:rFonts w:ascii="Times New Roman" w:eastAsia="楷体" w:hAnsi="Times New Roman"/>
                <w:bCs/>
                <w:color w:val="823C0B"/>
              </w:rPr>
              <w:t>510627</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pBdr>
          <w:top w:val="none" w:sz="0" w:space="1" w:color="auto"/>
          <w:left w:val="none" w:sz="0" w:space="4" w:color="auto"/>
          <w:bottom w:val="none" w:sz="0" w:space="1" w:color="auto"/>
          <w:right w:val="none" w:sz="0" w:space="4" w:color="auto"/>
        </w:pBdr>
      </w:pPr>
    </w:p>
    <w:sectPr w:rsidR="003F56A5">
      <w:footerReference w:type="default" r:id="rId11"/>
      <w:footerReference w:type="first" r:id="rId12"/>
      <w:pgSz w:w="11906" w:h="16838"/>
      <w:pgMar w:top="1440" w:right="1800" w:bottom="1440" w:left="1800" w:header="850" w:footer="107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1F0A" w:rsidRDefault="001D1F0A">
      <w:r>
        <w:separator/>
      </w:r>
    </w:p>
  </w:endnote>
  <w:endnote w:type="continuationSeparator" w:id="0">
    <w:p w:rsidR="001D1F0A" w:rsidRDefault="001D1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3"/>
      <w:pBdr>
        <w:top w:val="single" w:sz="4" w:space="0" w:color="000000"/>
      </w:pBdr>
      <w:jc w:val="both"/>
    </w:pPr>
    <w:r>
      <w:rPr>
        <w:rFonts w:ascii="楷体" w:eastAsia="楷体" w:hAnsi="楷体" w:cs="Times New Roman" w:hint="eastAsia"/>
        <w:b/>
        <w:color w:val="833C0B"/>
        <w:sz w:val="21"/>
        <w:lang w:bidi="ar"/>
      </w:rPr>
      <w:t>广州期货提醒各位投资者，期市有风险，入市需谨慎！请阅读文末免责声明</w:t>
    </w:r>
    <w:r>
      <w:rPr>
        <w:noProof/>
      </w:rPr>
      <mc:AlternateContent>
        <mc:Choice Requires="wps">
          <w:drawing>
            <wp:anchor distT="0" distB="0" distL="114300" distR="114300" simplePos="0" relativeHeight="251660288" behindDoc="0" locked="0" layoutInCell="1" allowOverlap="1" wp14:anchorId="0E9C7402" wp14:editId="231B2999">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5D73EE8"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 xml:space="preserve">Page </w:t>
                    </w:r>
                    <w:r>
                      <w:rPr>
                        <w:rFonts w:ascii="Times New Roman" w:eastAsia="楷体" w:hAnsi="Times New Roman" w:cs="Times New Roman" w:hint="eastAsia"/>
                        <w:b/>
                        <w:color w:val="833C0B"/>
                        <w:sz w:val="21"/>
                        <w:lang w:bidi="ar"/>
                      </w:rPr>
                      <w:t>1</w:t>
                    </w:r>
                  </w:p>
                </w:txbxContent>
              </v:textbox>
              <w10:wrap anchorx="margin"/>
            </v:shape>
          </w:pict>
        </mc:Fallback>
      </mc:AlternateContent>
    </w:r>
    <w:r>
      <w:rPr>
        <w:rFonts w:ascii="楷体" w:eastAsia="楷体" w:hAnsi="楷体" w:cs="Times New Roman" w:hint="eastAsia"/>
        <w:b/>
        <w:color w:val="833C0B"/>
        <w:sz w:val="21"/>
        <w:lang w:bidi="ar"/>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3"/>
      <w:pBdr>
        <w:top w:val="single" w:sz="4" w:space="0" w:color="000000"/>
      </w:pBdr>
      <w:jc w:val="both"/>
    </w:pPr>
    <w:r>
      <w:rPr>
        <w:noProof/>
      </w:rP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385.4pt;margin-top:-.85pt;width:2in;height:2in;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" filled="f" stroked="f" strokeweight=".5pt">
              <v:textbox style="mso-fit-shape-to-text:t" inset="0,0,0,0">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v:textbox>
              <w10:wrap anchorx="margin"/>
            </v:shape>
          </w:pict>
        </mc:Fallback>
      </mc:AlternateContent>
    </w:r>
    <w:r>
      <w:rPr>
        <w:noProof/>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BC5F45">
                            <w:rPr>
                              <w:rFonts w:ascii="Times New Roman" w:eastAsia="楷体" w:hAnsi="Times New Roman" w:cs="Times New Roman"/>
                              <w:b/>
                              <w:noProof/>
                              <w:color w:val="833C0B"/>
                              <w:sz w:val="21"/>
                              <w:lang w:bidi="ar"/>
                            </w:rPr>
                            <w:t>8</w:t>
                          </w:r>
                          <w:r>
                            <w:rPr>
                              <w:rFonts w:ascii="Times New Roman" w:eastAsia="楷体" w:hAnsi="Times New Roman" w:cs="Times New Roman" w:hint="eastAsia"/>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92.8pt;margin-top:0;width:2in;height:2in;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3"/>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BC5F45">
                      <w:rPr>
                        <w:rFonts w:ascii="Times New Roman" w:eastAsia="楷体" w:hAnsi="Times New Roman" w:cs="Times New Roman"/>
                        <w:b/>
                        <w:noProof/>
                        <w:color w:val="833C0B"/>
                        <w:sz w:val="21"/>
                        <w:lang w:bidi="ar"/>
                      </w:rPr>
                      <w:t>8</w:t>
                    </w:r>
                    <w:r>
                      <w:rPr>
                        <w:rFonts w:ascii="Times New Roman" w:eastAsia="楷体" w:hAnsi="Times New Roman" w:cs="Times New Roman" w:hint="eastAsia"/>
                        <w:b/>
                        <w:color w:val="833C0B"/>
                        <w:sz w:val="21"/>
                        <w:lang w:bidi="ar"/>
                      </w:rPr>
                      <w:fldChar w:fldCharType="end"/>
                    </w:r>
                  </w:p>
                </w:txbxContent>
              </v:textbox>
              <w10:wrap anchorx="margin"/>
            </v:shape>
          </w:pict>
        </mc:Fallback>
      </mc:AlternateContent>
    </w:r>
    <w:r>
      <w:rPr>
        <w:rFonts w:ascii="楷体" w:eastAsia="楷体" w:hAnsi="楷体" w:cs="Times New Roman" w:hint="eastAsia"/>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3"/>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9"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0KJZAIAABEFAAAOAAAAZHJzL2Uyb0RvYy54bWysVM1uEzEQviPxDpbvdNNWVF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By/nB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nvQol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1F0A" w:rsidRDefault="001D1F0A">
      <w:r>
        <w:separator/>
      </w:r>
    </w:p>
  </w:footnote>
  <w:footnote w:type="continuationSeparator" w:id="0">
    <w:p w:rsidR="001D1F0A" w:rsidRDefault="001D1F0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4"/>
      <w:jc w:val="right"/>
    </w:pPr>
    <w:r>
      <w:rPr>
        <w:noProof/>
      </w:rPr>
      <w:drawing>
        <wp:anchor distT="0" distB="0" distL="114300" distR="114300" simplePos="0" relativeHeight="251659264" behindDoc="0" locked="0" layoutInCell="1" allowOverlap="1" wp14:anchorId="602F1A70" wp14:editId="0A16252A">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rsidR="003F56A5" w:rsidRDefault="00CC3FFA">
    <w:pPr>
      <w:pStyle w:val="a4"/>
      <w:pBdr>
        <w:bottom w:val="single" w:sz="4" w:space="1" w:color="auto"/>
      </w:pBdr>
      <w:jc w:val="right"/>
      <w:rPr>
        <w:b/>
        <w:bCs/>
      </w:rPr>
    </w:pPr>
    <w:r>
      <w:ptab w:relativeTo="margin" w:alignment="center" w:leader="none"/>
    </w:r>
    <w:r>
      <w:rPr>
        <w:rFonts w:ascii="Times New Roman" w:eastAsia="楷体" w:hAnsi="Times New Roman" w:hint="eastAsia"/>
        <w:b/>
        <w:bCs/>
        <w:color w:val="833C0B"/>
        <w:sz w:val="21"/>
      </w:rPr>
      <w:t>早间直通车</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4"/>
      <w:jc w:val="right"/>
      <w:rPr>
        <w:rFonts w:ascii="Times New Roman" w:eastAsia="楷体" w:hAnsi="Times New Roman"/>
        <w:b/>
        <w:bCs/>
        <w:color w:val="833C0B"/>
        <w:sz w:val="21"/>
      </w:rPr>
    </w:pPr>
    <w:r>
      <w:ptab w:relativeTo="margin" w:alignment="center" w:leader="none"/>
    </w:r>
    <w:r>
      <w:rPr>
        <w:noProof/>
      </w:rPr>
      <w:drawing>
        <wp:anchor distT="0" distB="0" distL="114300" distR="114300" simplePos="0" relativeHeight="251661312" behindDoc="0" locked="0" layoutInCell="1" allowOverlap="1" wp14:anchorId="6417A740" wp14:editId="7A7825D4">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ascii="Times New Roman" w:eastAsia="楷体" w:hAnsi="Times New Roman" w:hint="eastAsia"/>
        <w:b/>
        <w:bCs/>
        <w:color w:val="833C0B"/>
        <w:sz w:val="21"/>
      </w:rPr>
      <w:t>早间直通车</w:t>
    </w:r>
  </w:p>
  <w:p w:rsidR="003F56A5" w:rsidRDefault="00CC3FFA">
    <w:pPr>
      <w:pStyle w:val="a4"/>
      <w:pBdr>
        <w:bottom w:val="single" w:sz="4" w:space="1" w:color="auto"/>
      </w:pBdr>
      <w:jc w:val="right"/>
    </w:pPr>
    <w:r>
      <w:rPr>
        <w:rFonts w:ascii="Times New Roman" w:eastAsia="楷体" w:hAnsi="Times New Roman"/>
        <w:b/>
        <w:bCs/>
        <w:color w:val="833C0B"/>
        <w:sz w:val="21"/>
      </w:rPr>
      <w:fldChar w:fldCharType="begin"/>
    </w:r>
    <w:r>
      <w:rPr>
        <w:rFonts w:ascii="Times New Roman" w:eastAsia="楷体" w:hAnsi="Times New Roman"/>
        <w:b/>
        <w:bCs/>
        <w:color w:val="833C0B"/>
        <w:sz w:val="21"/>
      </w:rPr>
      <w:instrText xml:space="preserve"> </w:instrText>
    </w:r>
    <w:r>
      <w:rPr>
        <w:rFonts w:ascii="Times New Roman" w:eastAsia="楷体" w:hAnsi="Times New Roman" w:hint="eastAsia"/>
        <w:b/>
        <w:bCs/>
        <w:color w:val="833C0B"/>
        <w:sz w:val="21"/>
      </w:rPr>
      <w:instrText>TIME \@ "yyyy</w:instrText>
    </w:r>
    <w:r>
      <w:rPr>
        <w:rFonts w:ascii="Times New Roman" w:eastAsia="楷体" w:hAnsi="Times New Roman" w:hint="eastAsia"/>
        <w:b/>
        <w:bCs/>
        <w:color w:val="833C0B"/>
        <w:sz w:val="21"/>
      </w:rPr>
      <w:instrText>年</w:instrText>
    </w:r>
    <w:r>
      <w:rPr>
        <w:rFonts w:ascii="Times New Roman" w:eastAsia="楷体" w:hAnsi="Times New Roman" w:hint="eastAsia"/>
        <w:b/>
        <w:bCs/>
        <w:color w:val="833C0B"/>
        <w:sz w:val="21"/>
      </w:rPr>
      <w:instrText>M</w:instrText>
    </w:r>
    <w:r>
      <w:rPr>
        <w:rFonts w:ascii="Times New Roman" w:eastAsia="楷体" w:hAnsi="Times New Roman" w:hint="eastAsia"/>
        <w:b/>
        <w:bCs/>
        <w:color w:val="833C0B"/>
        <w:sz w:val="21"/>
      </w:rPr>
      <w:instrText>月</w:instrText>
    </w:r>
    <w:r>
      <w:rPr>
        <w:rFonts w:ascii="Times New Roman" w:eastAsia="楷体" w:hAnsi="Times New Roman" w:hint="eastAsia"/>
        <w:b/>
        <w:bCs/>
        <w:color w:val="833C0B"/>
        <w:sz w:val="21"/>
      </w:rPr>
      <w:instrText>d</w:instrText>
    </w:r>
    <w:r>
      <w:rPr>
        <w:rFonts w:ascii="Times New Roman" w:eastAsia="楷体" w:hAnsi="Times New Roman" w:hint="eastAsia"/>
        <w:b/>
        <w:bCs/>
        <w:color w:val="833C0B"/>
        <w:sz w:val="21"/>
      </w:rPr>
      <w:instrText>日星期</w:instrText>
    </w:r>
    <w:r>
      <w:rPr>
        <w:rFonts w:ascii="Times New Roman" w:eastAsia="楷体" w:hAnsi="Times New Roman" w:hint="eastAsia"/>
        <w:b/>
        <w:bCs/>
        <w:color w:val="833C0B"/>
        <w:sz w:val="21"/>
      </w:rPr>
      <w:instrText>W"</w:instrText>
    </w:r>
    <w:r>
      <w:rPr>
        <w:rFonts w:ascii="Times New Roman" w:eastAsia="楷体" w:hAnsi="Times New Roman"/>
        <w:b/>
        <w:bCs/>
        <w:color w:val="833C0B"/>
        <w:sz w:val="21"/>
      </w:rPr>
      <w:instrText xml:space="preserve"> </w:instrText>
    </w:r>
    <w:r>
      <w:rPr>
        <w:rFonts w:ascii="Times New Roman" w:eastAsia="楷体" w:hAnsi="Times New Roman"/>
        <w:b/>
        <w:bCs/>
        <w:color w:val="833C0B"/>
        <w:sz w:val="21"/>
      </w:rPr>
      <w:fldChar w:fldCharType="separate"/>
    </w:r>
    <w:r w:rsidR="00BC5F45">
      <w:rPr>
        <w:rFonts w:ascii="Times New Roman" w:eastAsia="楷体" w:hAnsi="Times New Roman" w:hint="eastAsia"/>
        <w:b/>
        <w:bCs/>
        <w:noProof/>
        <w:color w:val="833C0B"/>
        <w:sz w:val="21"/>
      </w:rPr>
      <w:t>2023</w:t>
    </w:r>
    <w:r w:rsidR="00BC5F45">
      <w:rPr>
        <w:rFonts w:ascii="Times New Roman" w:eastAsia="楷体" w:hAnsi="Times New Roman" w:hint="eastAsia"/>
        <w:b/>
        <w:bCs/>
        <w:noProof/>
        <w:color w:val="833C0B"/>
        <w:sz w:val="21"/>
      </w:rPr>
      <w:t>年</w:t>
    </w:r>
    <w:r w:rsidR="00BC5F45">
      <w:rPr>
        <w:rFonts w:ascii="Times New Roman" w:eastAsia="楷体" w:hAnsi="Times New Roman" w:hint="eastAsia"/>
        <w:b/>
        <w:bCs/>
        <w:noProof/>
        <w:color w:val="833C0B"/>
        <w:sz w:val="21"/>
      </w:rPr>
      <w:t>4</w:t>
    </w:r>
    <w:r w:rsidR="00BC5F45">
      <w:rPr>
        <w:rFonts w:ascii="Times New Roman" w:eastAsia="楷体" w:hAnsi="Times New Roman" w:hint="eastAsia"/>
        <w:b/>
        <w:bCs/>
        <w:noProof/>
        <w:color w:val="833C0B"/>
        <w:sz w:val="21"/>
      </w:rPr>
      <w:t>月</w:t>
    </w:r>
    <w:r w:rsidR="00BC5F45">
      <w:rPr>
        <w:rFonts w:ascii="Times New Roman" w:eastAsia="楷体" w:hAnsi="Times New Roman" w:hint="eastAsia"/>
        <w:b/>
        <w:bCs/>
        <w:noProof/>
        <w:color w:val="833C0B"/>
        <w:sz w:val="21"/>
      </w:rPr>
      <w:t>18</w:t>
    </w:r>
    <w:r w:rsidR="00BC5F45">
      <w:rPr>
        <w:rFonts w:ascii="Times New Roman" w:eastAsia="楷体" w:hAnsi="Times New Roman" w:hint="eastAsia"/>
        <w:b/>
        <w:bCs/>
        <w:noProof/>
        <w:color w:val="833C0B"/>
        <w:sz w:val="21"/>
      </w:rPr>
      <w:t>日星期二</w:t>
    </w:r>
    <w:r>
      <w:rPr>
        <w:rFonts w:ascii="Times New Roman" w:eastAsia="楷体" w:hAnsi="Times New Roman"/>
        <w:b/>
        <w:bCs/>
        <w:color w:val="833C0B"/>
        <w:sz w:val="21"/>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534E"/>
    <w:rsid w:val="000058D8"/>
    <w:rsid w:val="00006269"/>
    <w:rsid w:val="00012A9A"/>
    <w:rsid w:val="00020E82"/>
    <w:rsid w:val="00035EB2"/>
    <w:rsid w:val="000417D7"/>
    <w:rsid w:val="00050B6C"/>
    <w:rsid w:val="0005286B"/>
    <w:rsid w:val="0005726F"/>
    <w:rsid w:val="00076420"/>
    <w:rsid w:val="000820C6"/>
    <w:rsid w:val="00096258"/>
    <w:rsid w:val="000A413E"/>
    <w:rsid w:val="000B0648"/>
    <w:rsid w:val="000B4E70"/>
    <w:rsid w:val="000D36DC"/>
    <w:rsid w:val="000D42E2"/>
    <w:rsid w:val="000D7CF0"/>
    <w:rsid w:val="000E0C15"/>
    <w:rsid w:val="000E4EEB"/>
    <w:rsid w:val="00120B1F"/>
    <w:rsid w:val="00147668"/>
    <w:rsid w:val="00147B03"/>
    <w:rsid w:val="0015047B"/>
    <w:rsid w:val="001801C4"/>
    <w:rsid w:val="001942CB"/>
    <w:rsid w:val="001A3E49"/>
    <w:rsid w:val="001B179D"/>
    <w:rsid w:val="001B1904"/>
    <w:rsid w:val="001B2D4C"/>
    <w:rsid w:val="001B6394"/>
    <w:rsid w:val="001C77D0"/>
    <w:rsid w:val="001D1F0A"/>
    <w:rsid w:val="001D40EA"/>
    <w:rsid w:val="001F5438"/>
    <w:rsid w:val="002074A1"/>
    <w:rsid w:val="00216C1E"/>
    <w:rsid w:val="00226406"/>
    <w:rsid w:val="00235529"/>
    <w:rsid w:val="00244CA3"/>
    <w:rsid w:val="00282262"/>
    <w:rsid w:val="00285297"/>
    <w:rsid w:val="002951EB"/>
    <w:rsid w:val="002A0670"/>
    <w:rsid w:val="002A6C89"/>
    <w:rsid w:val="002B2257"/>
    <w:rsid w:val="002B32AE"/>
    <w:rsid w:val="002F075C"/>
    <w:rsid w:val="002F545E"/>
    <w:rsid w:val="002F6AD1"/>
    <w:rsid w:val="002F7810"/>
    <w:rsid w:val="00323550"/>
    <w:rsid w:val="00332F22"/>
    <w:rsid w:val="0033644D"/>
    <w:rsid w:val="003416C2"/>
    <w:rsid w:val="00341727"/>
    <w:rsid w:val="003471F4"/>
    <w:rsid w:val="00357545"/>
    <w:rsid w:val="00370D25"/>
    <w:rsid w:val="00371ED6"/>
    <w:rsid w:val="00375F0B"/>
    <w:rsid w:val="00376AF1"/>
    <w:rsid w:val="003953FD"/>
    <w:rsid w:val="003A1F3C"/>
    <w:rsid w:val="003A3DB4"/>
    <w:rsid w:val="003C5F91"/>
    <w:rsid w:val="003D3A9E"/>
    <w:rsid w:val="003F2424"/>
    <w:rsid w:val="003F56A5"/>
    <w:rsid w:val="004201F5"/>
    <w:rsid w:val="004230AC"/>
    <w:rsid w:val="00426AB5"/>
    <w:rsid w:val="00440FBE"/>
    <w:rsid w:val="004427D1"/>
    <w:rsid w:val="004567BD"/>
    <w:rsid w:val="00461147"/>
    <w:rsid w:val="00485A3F"/>
    <w:rsid w:val="00487F77"/>
    <w:rsid w:val="004977A9"/>
    <w:rsid w:val="004A3F85"/>
    <w:rsid w:val="004A65B5"/>
    <w:rsid w:val="004C5F3F"/>
    <w:rsid w:val="004E58A5"/>
    <w:rsid w:val="005145ED"/>
    <w:rsid w:val="00535DC9"/>
    <w:rsid w:val="00541F3F"/>
    <w:rsid w:val="00547DD7"/>
    <w:rsid w:val="005523A5"/>
    <w:rsid w:val="00576234"/>
    <w:rsid w:val="005818A8"/>
    <w:rsid w:val="0058734B"/>
    <w:rsid w:val="00591B89"/>
    <w:rsid w:val="00593B03"/>
    <w:rsid w:val="00593F40"/>
    <w:rsid w:val="005B5BDF"/>
    <w:rsid w:val="005C05F7"/>
    <w:rsid w:val="005C05FA"/>
    <w:rsid w:val="005E1CE0"/>
    <w:rsid w:val="005E6164"/>
    <w:rsid w:val="005F2CE6"/>
    <w:rsid w:val="005F45A8"/>
    <w:rsid w:val="00610C41"/>
    <w:rsid w:val="0061390B"/>
    <w:rsid w:val="00615F78"/>
    <w:rsid w:val="00637F19"/>
    <w:rsid w:val="00641752"/>
    <w:rsid w:val="00657B01"/>
    <w:rsid w:val="00661BB3"/>
    <w:rsid w:val="00666DE4"/>
    <w:rsid w:val="006911F3"/>
    <w:rsid w:val="006A5214"/>
    <w:rsid w:val="006B4A5D"/>
    <w:rsid w:val="006D21ED"/>
    <w:rsid w:val="00710028"/>
    <w:rsid w:val="007103A5"/>
    <w:rsid w:val="0072164F"/>
    <w:rsid w:val="007253E7"/>
    <w:rsid w:val="0072736C"/>
    <w:rsid w:val="007315D8"/>
    <w:rsid w:val="00743CFD"/>
    <w:rsid w:val="007664C1"/>
    <w:rsid w:val="00785519"/>
    <w:rsid w:val="007866A5"/>
    <w:rsid w:val="0079299D"/>
    <w:rsid w:val="00792D31"/>
    <w:rsid w:val="007952E9"/>
    <w:rsid w:val="007A410D"/>
    <w:rsid w:val="007A66FE"/>
    <w:rsid w:val="007D29EC"/>
    <w:rsid w:val="007D4BBD"/>
    <w:rsid w:val="007F1327"/>
    <w:rsid w:val="007F140C"/>
    <w:rsid w:val="007F186E"/>
    <w:rsid w:val="0080612D"/>
    <w:rsid w:val="00806354"/>
    <w:rsid w:val="0080692E"/>
    <w:rsid w:val="00806F4A"/>
    <w:rsid w:val="00815011"/>
    <w:rsid w:val="00815817"/>
    <w:rsid w:val="00822591"/>
    <w:rsid w:val="0083605E"/>
    <w:rsid w:val="00840F4E"/>
    <w:rsid w:val="008649BB"/>
    <w:rsid w:val="00867CA5"/>
    <w:rsid w:val="00873ECE"/>
    <w:rsid w:val="008740D4"/>
    <w:rsid w:val="0087785E"/>
    <w:rsid w:val="00892203"/>
    <w:rsid w:val="008A0893"/>
    <w:rsid w:val="008A11C6"/>
    <w:rsid w:val="008A1D22"/>
    <w:rsid w:val="008B13D2"/>
    <w:rsid w:val="008B361D"/>
    <w:rsid w:val="008C1554"/>
    <w:rsid w:val="008E2B15"/>
    <w:rsid w:val="008E33F3"/>
    <w:rsid w:val="008E3B84"/>
    <w:rsid w:val="008F229B"/>
    <w:rsid w:val="008F2A6E"/>
    <w:rsid w:val="00906E0C"/>
    <w:rsid w:val="00907943"/>
    <w:rsid w:val="00916E97"/>
    <w:rsid w:val="009316EC"/>
    <w:rsid w:val="009317CD"/>
    <w:rsid w:val="00934728"/>
    <w:rsid w:val="009644D9"/>
    <w:rsid w:val="0097131C"/>
    <w:rsid w:val="009870E4"/>
    <w:rsid w:val="009A12FA"/>
    <w:rsid w:val="009A564D"/>
    <w:rsid w:val="009B534D"/>
    <w:rsid w:val="009B591A"/>
    <w:rsid w:val="009C3E56"/>
    <w:rsid w:val="009C483C"/>
    <w:rsid w:val="009D4A74"/>
    <w:rsid w:val="009D5253"/>
    <w:rsid w:val="009D64FE"/>
    <w:rsid w:val="009E0994"/>
    <w:rsid w:val="009E4452"/>
    <w:rsid w:val="009E7578"/>
    <w:rsid w:val="009F5C7B"/>
    <w:rsid w:val="00A031CE"/>
    <w:rsid w:val="00A11A0D"/>
    <w:rsid w:val="00A22080"/>
    <w:rsid w:val="00A42079"/>
    <w:rsid w:val="00A63022"/>
    <w:rsid w:val="00A71A7E"/>
    <w:rsid w:val="00A776D7"/>
    <w:rsid w:val="00A96E37"/>
    <w:rsid w:val="00A97444"/>
    <w:rsid w:val="00AA29E5"/>
    <w:rsid w:val="00AB0678"/>
    <w:rsid w:val="00AC52CB"/>
    <w:rsid w:val="00AC7ECD"/>
    <w:rsid w:val="00AD009F"/>
    <w:rsid w:val="00AF5EA0"/>
    <w:rsid w:val="00B10135"/>
    <w:rsid w:val="00B133D0"/>
    <w:rsid w:val="00B15418"/>
    <w:rsid w:val="00B1737C"/>
    <w:rsid w:val="00B1758C"/>
    <w:rsid w:val="00B17639"/>
    <w:rsid w:val="00B443CE"/>
    <w:rsid w:val="00B4555A"/>
    <w:rsid w:val="00B53C56"/>
    <w:rsid w:val="00B606EF"/>
    <w:rsid w:val="00B618F8"/>
    <w:rsid w:val="00B72E2D"/>
    <w:rsid w:val="00B805BD"/>
    <w:rsid w:val="00BA4663"/>
    <w:rsid w:val="00BA696B"/>
    <w:rsid w:val="00BC5F45"/>
    <w:rsid w:val="00BC71D6"/>
    <w:rsid w:val="00BD4C85"/>
    <w:rsid w:val="00BE456E"/>
    <w:rsid w:val="00BF3137"/>
    <w:rsid w:val="00C02ECE"/>
    <w:rsid w:val="00C13E0F"/>
    <w:rsid w:val="00C2031B"/>
    <w:rsid w:val="00C2080D"/>
    <w:rsid w:val="00C228D6"/>
    <w:rsid w:val="00C240C3"/>
    <w:rsid w:val="00C25562"/>
    <w:rsid w:val="00C43DDB"/>
    <w:rsid w:val="00C575E9"/>
    <w:rsid w:val="00C62202"/>
    <w:rsid w:val="00C6240E"/>
    <w:rsid w:val="00C66C6C"/>
    <w:rsid w:val="00C70FDD"/>
    <w:rsid w:val="00C82E4D"/>
    <w:rsid w:val="00C91234"/>
    <w:rsid w:val="00CB0962"/>
    <w:rsid w:val="00CB1F18"/>
    <w:rsid w:val="00CB2FD2"/>
    <w:rsid w:val="00CB3015"/>
    <w:rsid w:val="00CC3E40"/>
    <w:rsid w:val="00CC3FFA"/>
    <w:rsid w:val="00CD5884"/>
    <w:rsid w:val="00CD5DE8"/>
    <w:rsid w:val="00CD70A0"/>
    <w:rsid w:val="00CE7903"/>
    <w:rsid w:val="00CF6C71"/>
    <w:rsid w:val="00CF7A9A"/>
    <w:rsid w:val="00D00D60"/>
    <w:rsid w:val="00D017E5"/>
    <w:rsid w:val="00D01A19"/>
    <w:rsid w:val="00D309C4"/>
    <w:rsid w:val="00D45E53"/>
    <w:rsid w:val="00D47039"/>
    <w:rsid w:val="00D63655"/>
    <w:rsid w:val="00D75630"/>
    <w:rsid w:val="00D842AA"/>
    <w:rsid w:val="00D86D76"/>
    <w:rsid w:val="00D87130"/>
    <w:rsid w:val="00D93E0B"/>
    <w:rsid w:val="00DE02C4"/>
    <w:rsid w:val="00DF270D"/>
    <w:rsid w:val="00DF3B28"/>
    <w:rsid w:val="00DF56EC"/>
    <w:rsid w:val="00E020F2"/>
    <w:rsid w:val="00E12059"/>
    <w:rsid w:val="00E25D21"/>
    <w:rsid w:val="00E31716"/>
    <w:rsid w:val="00E34551"/>
    <w:rsid w:val="00E40036"/>
    <w:rsid w:val="00E45000"/>
    <w:rsid w:val="00E451FD"/>
    <w:rsid w:val="00E556EC"/>
    <w:rsid w:val="00E55B22"/>
    <w:rsid w:val="00E64502"/>
    <w:rsid w:val="00E771D2"/>
    <w:rsid w:val="00E80EDB"/>
    <w:rsid w:val="00E847DF"/>
    <w:rsid w:val="00E90013"/>
    <w:rsid w:val="00E928BB"/>
    <w:rsid w:val="00EA28CA"/>
    <w:rsid w:val="00EB56F2"/>
    <w:rsid w:val="00ED06A6"/>
    <w:rsid w:val="00ED451D"/>
    <w:rsid w:val="00F07C02"/>
    <w:rsid w:val="00F157C6"/>
    <w:rsid w:val="00F234BF"/>
    <w:rsid w:val="00F268B3"/>
    <w:rsid w:val="00F31CCA"/>
    <w:rsid w:val="00F43E0E"/>
    <w:rsid w:val="00F473F0"/>
    <w:rsid w:val="00F622ED"/>
    <w:rsid w:val="00F65EEA"/>
    <w:rsid w:val="00F776D3"/>
    <w:rsid w:val="00F95209"/>
    <w:rsid w:val="00FB3956"/>
    <w:rsid w:val="00FC0F8B"/>
    <w:rsid w:val="00FE1B77"/>
    <w:rsid w:val="02E32A5D"/>
    <w:rsid w:val="057D13AE"/>
    <w:rsid w:val="06B2613D"/>
    <w:rsid w:val="06B753E3"/>
    <w:rsid w:val="09B849A4"/>
    <w:rsid w:val="09F160E3"/>
    <w:rsid w:val="0AC64130"/>
    <w:rsid w:val="0B42525D"/>
    <w:rsid w:val="0C1F7DEE"/>
    <w:rsid w:val="0CDE660D"/>
    <w:rsid w:val="0D032A7C"/>
    <w:rsid w:val="0F662138"/>
    <w:rsid w:val="100732C8"/>
    <w:rsid w:val="10DA6205"/>
    <w:rsid w:val="113D3FD2"/>
    <w:rsid w:val="121F7D21"/>
    <w:rsid w:val="129B2E20"/>
    <w:rsid w:val="12AA5DF8"/>
    <w:rsid w:val="134E6356"/>
    <w:rsid w:val="15364A7C"/>
    <w:rsid w:val="15D52593"/>
    <w:rsid w:val="197E6634"/>
    <w:rsid w:val="1B8A2034"/>
    <w:rsid w:val="1BC72FF7"/>
    <w:rsid w:val="1D03226A"/>
    <w:rsid w:val="1D5030CD"/>
    <w:rsid w:val="1D876087"/>
    <w:rsid w:val="1DFF64E4"/>
    <w:rsid w:val="2056595D"/>
    <w:rsid w:val="20AE4DE8"/>
    <w:rsid w:val="216834DE"/>
    <w:rsid w:val="21996AC1"/>
    <w:rsid w:val="219F3EE2"/>
    <w:rsid w:val="22BB5089"/>
    <w:rsid w:val="24321B2E"/>
    <w:rsid w:val="244B21DE"/>
    <w:rsid w:val="247F3074"/>
    <w:rsid w:val="24B82D9D"/>
    <w:rsid w:val="258A2E5C"/>
    <w:rsid w:val="25B924F3"/>
    <w:rsid w:val="268419CF"/>
    <w:rsid w:val="26AC2D80"/>
    <w:rsid w:val="26F95364"/>
    <w:rsid w:val="2C6C12B9"/>
    <w:rsid w:val="2CA93C52"/>
    <w:rsid w:val="2D912E3A"/>
    <w:rsid w:val="2DC02C2B"/>
    <w:rsid w:val="2DE440F7"/>
    <w:rsid w:val="2FA70F17"/>
    <w:rsid w:val="340E7198"/>
    <w:rsid w:val="34A75784"/>
    <w:rsid w:val="373F75CC"/>
    <w:rsid w:val="3A2F6D68"/>
    <w:rsid w:val="3AC9385E"/>
    <w:rsid w:val="3B3306F0"/>
    <w:rsid w:val="3B563B4D"/>
    <w:rsid w:val="3C2825B0"/>
    <w:rsid w:val="3C2B26B7"/>
    <w:rsid w:val="3D8B796D"/>
    <w:rsid w:val="3DA80A30"/>
    <w:rsid w:val="3EC32453"/>
    <w:rsid w:val="3ECC520D"/>
    <w:rsid w:val="3EE0186C"/>
    <w:rsid w:val="3EFE09FD"/>
    <w:rsid w:val="3F345DBE"/>
    <w:rsid w:val="40F15753"/>
    <w:rsid w:val="43F63E0D"/>
    <w:rsid w:val="44092E2E"/>
    <w:rsid w:val="441077D2"/>
    <w:rsid w:val="44396064"/>
    <w:rsid w:val="459609D9"/>
    <w:rsid w:val="45A37566"/>
    <w:rsid w:val="45CF0A85"/>
    <w:rsid w:val="46194A11"/>
    <w:rsid w:val="47752ACA"/>
    <w:rsid w:val="47C813F2"/>
    <w:rsid w:val="4AB74C38"/>
    <w:rsid w:val="4B6224E5"/>
    <w:rsid w:val="4B8C4A56"/>
    <w:rsid w:val="4BF97936"/>
    <w:rsid w:val="4C457E30"/>
    <w:rsid w:val="4D2A3925"/>
    <w:rsid w:val="4DB20386"/>
    <w:rsid w:val="4DF02D90"/>
    <w:rsid w:val="5005695E"/>
    <w:rsid w:val="50286811"/>
    <w:rsid w:val="51266B84"/>
    <w:rsid w:val="546B5509"/>
    <w:rsid w:val="548642E9"/>
    <w:rsid w:val="54C12E33"/>
    <w:rsid w:val="55633225"/>
    <w:rsid w:val="56DD4D3A"/>
    <w:rsid w:val="57555A7B"/>
    <w:rsid w:val="57CB522F"/>
    <w:rsid w:val="58246D5D"/>
    <w:rsid w:val="59C52328"/>
    <w:rsid w:val="5B906095"/>
    <w:rsid w:val="5BF60A75"/>
    <w:rsid w:val="5C9F2D01"/>
    <w:rsid w:val="5D5617A6"/>
    <w:rsid w:val="5EA7685B"/>
    <w:rsid w:val="61DF02D0"/>
    <w:rsid w:val="62710E5F"/>
    <w:rsid w:val="64C32497"/>
    <w:rsid w:val="66D04BBC"/>
    <w:rsid w:val="685D4EEE"/>
    <w:rsid w:val="68D53E8D"/>
    <w:rsid w:val="6B292599"/>
    <w:rsid w:val="6ECB7DD2"/>
    <w:rsid w:val="70675779"/>
    <w:rsid w:val="713E0334"/>
    <w:rsid w:val="716F5E64"/>
    <w:rsid w:val="729B5F03"/>
    <w:rsid w:val="72F62A89"/>
    <w:rsid w:val="737357AF"/>
    <w:rsid w:val="74163BE4"/>
    <w:rsid w:val="75292EAC"/>
    <w:rsid w:val="75775016"/>
    <w:rsid w:val="7626762C"/>
    <w:rsid w:val="778F5135"/>
    <w:rsid w:val="784F7772"/>
    <w:rsid w:val="78E55995"/>
    <w:rsid w:val="79267C0B"/>
    <w:rsid w:val="7ABE4B56"/>
    <w:rsid w:val="7B264F79"/>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E6759F"/>
  <w15:docId w15:val="{FAFC7151-08B8-40E4-BF6D-30DCFA68A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hAnsiTheme="minorHAnsi" w:cstheme="minorBidi"/>
      <w:kern w:val="2"/>
      <w:sz w:val="21"/>
      <w:szCs w:val="21"/>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
    <w:next w:val="a"/>
    <w:uiPriority w:val="39"/>
    <w:qFormat/>
  </w:style>
  <w:style w:type="paragraph" w:styleId="2">
    <w:name w:val="toc 2"/>
    <w:basedOn w:val="a"/>
    <w:next w:val="a"/>
    <w:uiPriority w:val="39"/>
    <w:qFormat/>
    <w:pPr>
      <w:ind w:leftChars="200" w:left="420"/>
    </w:pPr>
  </w:style>
  <w:style w:type="table" w:styleId="a5">
    <w:name w:val="Table Grid"/>
    <w:basedOn w:val="a1"/>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qFormat/>
    <w:rPr>
      <w:color w:val="954F72" w:themeColor="followedHyperlink"/>
      <w:u w:val="single"/>
    </w:rPr>
  </w:style>
  <w:style w:type="character" w:styleId="a7">
    <w:name w:val="Hyperlink"/>
    <w:basedOn w:val="a0"/>
    <w:uiPriority w:val="99"/>
    <w:qFormat/>
    <w:rPr>
      <w:color w:val="0563C1" w:themeColor="hyperlink"/>
      <w:u w:val="single"/>
    </w:rPr>
  </w:style>
  <w:style w:type="paragraph" w:customStyle="1" w:styleId="paragraph">
    <w:name w:val="paragraph"/>
    <w:basedOn w:val="a"/>
    <w:qFormat/>
    <w:pPr>
      <w:widowControl/>
      <w:spacing w:before="100" w:beforeAutospacing="1" w:after="100" w:afterAutospacing="1"/>
      <w:jc w:val="left"/>
    </w:pPr>
    <w:rPr>
      <w:rFonts w:ascii="宋体" w:hAnsi="宋体" w:cs="宋体"/>
      <w:kern w:val="0"/>
      <w:sz w:val="24"/>
      <w:szCs w:val="24"/>
    </w:rPr>
  </w:style>
  <w:style w:type="paragraph" w:styleId="a8">
    <w:name w:val="List Paragraph"/>
    <w:basedOn w:val="a"/>
    <w:uiPriority w:val="99"/>
    <w:qFormat/>
    <w:pPr>
      <w:ind w:firstLineChars="200" w:firstLine="420"/>
    </w:p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10">
    <w:name w:val="标题 1 字符"/>
    <w:basedOn w:val="a0"/>
    <w:link w:val="1"/>
    <w:qFormat/>
    <w:rPr>
      <w:rFonts w:asciiTheme="minorHAnsi" w:hAnsiTheme="minorHAnsi" w:cstheme="minorBidi"/>
      <w:b/>
      <w:bCs/>
      <w:kern w:val="44"/>
      <w:sz w:val="44"/>
      <w:szCs w:val="44"/>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0C4EF8-71FD-40F4-89C3-9FF6AC582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1592</TotalTime>
  <Pages>9</Pages>
  <Words>1513</Words>
  <Characters>8629</Characters>
  <Application>Microsoft Office Word</Application>
  <DocSecurity>0</DocSecurity>
  <Lines>71</Lines>
  <Paragraphs>20</Paragraphs>
  <ScaleCrop>false</ScaleCrop>
  <Company/>
  <LinksUpToDate>false</LinksUpToDate>
  <CharactersWithSpaces>10122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yanjiusuo</dc:creator>
  <cp:lastModifiedBy>杨嘉虹</cp:lastModifiedBy>
  <cp:revision>91</cp:revision>
  <cp:lastPrinted>2023-04-13T02:15:00Z</cp:lastPrinted>
  <dcterms:created xsi:type="dcterms:W3CDTF">2022-11-15T10:06:00Z</dcterms:created>
  <dcterms:modified xsi:type="dcterms:W3CDTF">2023-04-18T01:58:00Z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