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AF5EA0"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AF5EA0" w:rsidRPr="00A6745A">
            <w:rPr>
              <w:rStyle w:val="a7"/>
              <w:noProof/>
            </w:rPr>
            <w:fldChar w:fldCharType="begin"/>
          </w:r>
          <w:r w:rsidR="00AF5EA0" w:rsidRPr="00A6745A">
            <w:rPr>
              <w:rStyle w:val="a7"/>
              <w:noProof/>
            </w:rPr>
            <w:instrText xml:space="preserve"> </w:instrText>
          </w:r>
          <w:r w:rsidR="00AF5EA0">
            <w:rPr>
              <w:noProof/>
            </w:rPr>
            <w:instrText>HYPERLINK \l "_Toc132358595"</w:instrText>
          </w:r>
          <w:r w:rsidR="00AF5EA0" w:rsidRPr="00A6745A">
            <w:rPr>
              <w:rStyle w:val="a7"/>
              <w:noProof/>
            </w:rPr>
            <w:instrText xml:space="preserve"> </w:instrText>
          </w:r>
          <w:r w:rsidR="00AF5EA0" w:rsidRPr="00A6745A">
            <w:rPr>
              <w:rStyle w:val="a7"/>
              <w:noProof/>
            </w:rPr>
          </w:r>
          <w:r w:rsidR="00AF5EA0" w:rsidRPr="00A6745A">
            <w:rPr>
              <w:rStyle w:val="a7"/>
              <w:noProof/>
            </w:rPr>
            <w:fldChar w:fldCharType="separate"/>
          </w:r>
          <w:r w:rsidR="00AF5EA0" w:rsidRPr="00A6745A">
            <w:rPr>
              <w:rStyle w:val="a7"/>
              <w:rFonts w:ascii="Times New Roman" w:eastAsia="楷体" w:hAnsi="Times New Roman"/>
              <w:b/>
              <w:noProof/>
            </w:rPr>
            <w:t>[</w:t>
          </w:r>
          <w:r w:rsidR="00AF5EA0" w:rsidRPr="00A6745A">
            <w:rPr>
              <w:rStyle w:val="a7"/>
              <w:rFonts w:ascii="Times New Roman" w:eastAsia="楷体" w:hAnsi="Times New Roman"/>
              <w:b/>
              <w:noProof/>
            </w:rPr>
            <w:t>金融</w:t>
          </w:r>
          <w:r w:rsidR="00AF5EA0" w:rsidRPr="00A6745A">
            <w:rPr>
              <w:rStyle w:val="a7"/>
              <w:rFonts w:ascii="Times New Roman" w:eastAsia="楷体" w:hAnsi="Times New Roman"/>
              <w:b/>
              <w:noProof/>
            </w:rPr>
            <w:t>]</w:t>
          </w:r>
          <w:r w:rsidR="00AF5EA0" w:rsidRPr="00A6745A">
            <w:rPr>
              <w:rStyle w:val="a7"/>
              <w:noProof/>
            </w:rPr>
            <w:fldChar w:fldCharType="end"/>
          </w:r>
        </w:p>
        <w:p w:rsidR="00AF5EA0" w:rsidRDefault="00AF5EA0">
          <w:pPr>
            <w:pStyle w:val="2"/>
            <w:tabs>
              <w:tab w:val="right" w:leader="dot" w:pos="8296"/>
            </w:tabs>
            <w:rPr>
              <w:rFonts w:eastAsiaTheme="minorEastAsia"/>
              <w:noProof/>
              <w:szCs w:val="22"/>
            </w:rPr>
          </w:pPr>
          <w:hyperlink w:anchor="_Toc132358596" w:history="1">
            <w:r w:rsidRPr="00A6745A">
              <w:rPr>
                <w:rStyle w:val="a7"/>
                <w:rFonts w:ascii="Times New Roman" w:eastAsia="楷体" w:hAnsi="Times New Roman"/>
                <w:b/>
                <w:noProof/>
              </w:rPr>
              <w:t>股指：关注</w:t>
            </w:r>
            <w:r w:rsidRPr="00A6745A">
              <w:rPr>
                <w:rStyle w:val="a7"/>
                <w:rFonts w:ascii="Times New Roman" w:eastAsia="楷体" w:hAnsi="Times New Roman"/>
                <w:b/>
                <w:noProof/>
              </w:rPr>
              <w:t>IH</w:t>
            </w:r>
            <w:r w:rsidRPr="00A6745A">
              <w:rPr>
                <w:rStyle w:val="a7"/>
                <w:rFonts w:ascii="Times New Roman" w:eastAsia="楷体" w:hAnsi="Times New Roman"/>
                <w:b/>
                <w:noProof/>
              </w:rPr>
              <w:t>低多机会</w:t>
            </w:r>
          </w:hyperlink>
        </w:p>
        <w:p w:rsidR="00AF5EA0" w:rsidRDefault="00AF5EA0">
          <w:pPr>
            <w:pStyle w:val="11"/>
            <w:tabs>
              <w:tab w:val="right" w:leader="dot" w:pos="8296"/>
            </w:tabs>
            <w:rPr>
              <w:rFonts w:eastAsiaTheme="minorEastAsia"/>
              <w:noProof/>
              <w:szCs w:val="22"/>
            </w:rPr>
          </w:pPr>
          <w:hyperlink w:anchor="_Toc132358597" w:history="1">
            <w:r w:rsidRPr="00A6745A">
              <w:rPr>
                <w:rStyle w:val="a7"/>
                <w:rFonts w:ascii="Times New Roman" w:eastAsia="楷体" w:hAnsi="Times New Roman"/>
                <w:b/>
                <w:noProof/>
              </w:rPr>
              <w:t>[</w:t>
            </w:r>
            <w:r w:rsidRPr="00A6745A">
              <w:rPr>
                <w:rStyle w:val="a7"/>
                <w:rFonts w:ascii="Times New Roman" w:eastAsia="楷体" w:hAnsi="Times New Roman"/>
                <w:b/>
                <w:noProof/>
              </w:rPr>
              <w:t>贵金属</w:t>
            </w:r>
            <w:r w:rsidRPr="00A6745A">
              <w:rPr>
                <w:rStyle w:val="a7"/>
                <w:rFonts w:ascii="Times New Roman" w:eastAsia="楷体" w:hAnsi="Times New Roman"/>
                <w:b/>
                <w:noProof/>
              </w:rPr>
              <w:t>]</w:t>
            </w:r>
          </w:hyperlink>
        </w:p>
        <w:p w:rsidR="00AF5EA0" w:rsidRDefault="00AF5EA0">
          <w:pPr>
            <w:pStyle w:val="2"/>
            <w:tabs>
              <w:tab w:val="right" w:leader="dot" w:pos="8296"/>
            </w:tabs>
            <w:rPr>
              <w:rFonts w:eastAsiaTheme="minorEastAsia"/>
              <w:noProof/>
              <w:szCs w:val="22"/>
            </w:rPr>
          </w:pPr>
          <w:hyperlink w:anchor="_Toc132358598" w:history="1">
            <w:r w:rsidRPr="00A6745A">
              <w:rPr>
                <w:rStyle w:val="a7"/>
                <w:rFonts w:ascii="Times New Roman" w:eastAsia="楷体" w:hAnsi="Times New Roman"/>
                <w:b/>
                <w:noProof/>
              </w:rPr>
              <w:t>贵金属：美国生产端通胀下降，银价大幅上涨</w:t>
            </w:r>
          </w:hyperlink>
        </w:p>
        <w:p w:rsidR="00AF5EA0" w:rsidRDefault="00AF5EA0">
          <w:pPr>
            <w:pStyle w:val="11"/>
            <w:tabs>
              <w:tab w:val="right" w:leader="dot" w:pos="8296"/>
            </w:tabs>
            <w:rPr>
              <w:rFonts w:eastAsiaTheme="minorEastAsia"/>
              <w:noProof/>
              <w:szCs w:val="22"/>
            </w:rPr>
          </w:pPr>
          <w:hyperlink w:anchor="_Toc132358599" w:history="1">
            <w:r w:rsidRPr="00A6745A">
              <w:rPr>
                <w:rStyle w:val="a7"/>
                <w:rFonts w:ascii="Times New Roman" w:eastAsia="楷体" w:hAnsi="Times New Roman"/>
                <w:b/>
                <w:noProof/>
              </w:rPr>
              <w:t>[</w:t>
            </w:r>
            <w:r w:rsidRPr="00A6745A">
              <w:rPr>
                <w:rStyle w:val="a7"/>
                <w:rFonts w:ascii="Times New Roman" w:eastAsia="楷体" w:hAnsi="Times New Roman"/>
                <w:b/>
                <w:noProof/>
              </w:rPr>
              <w:t>金属</w:t>
            </w:r>
            <w:r w:rsidRPr="00A6745A">
              <w:rPr>
                <w:rStyle w:val="a7"/>
                <w:rFonts w:ascii="Times New Roman" w:eastAsia="楷体" w:hAnsi="Times New Roman"/>
                <w:b/>
                <w:noProof/>
              </w:rPr>
              <w:t>]</w:t>
            </w:r>
          </w:hyperlink>
        </w:p>
        <w:p w:rsidR="00AF5EA0" w:rsidRDefault="00AF5EA0">
          <w:pPr>
            <w:pStyle w:val="2"/>
            <w:tabs>
              <w:tab w:val="right" w:leader="dot" w:pos="8296"/>
            </w:tabs>
            <w:rPr>
              <w:rFonts w:eastAsiaTheme="minorEastAsia"/>
              <w:noProof/>
              <w:szCs w:val="22"/>
            </w:rPr>
          </w:pPr>
          <w:hyperlink w:anchor="_Toc132358600" w:history="1">
            <w:r w:rsidRPr="00A6745A">
              <w:rPr>
                <w:rStyle w:val="a7"/>
                <w:rFonts w:ascii="楷体" w:eastAsia="楷体" w:hAnsi="楷体"/>
                <w:b/>
                <w:noProof/>
              </w:rPr>
              <w:t>螺纹钢：阶段性企稳，承压震荡</w:t>
            </w:r>
          </w:hyperlink>
        </w:p>
        <w:p w:rsidR="00AF5EA0" w:rsidRDefault="00AF5EA0">
          <w:pPr>
            <w:pStyle w:val="2"/>
            <w:tabs>
              <w:tab w:val="right" w:leader="dot" w:pos="8296"/>
            </w:tabs>
            <w:rPr>
              <w:rFonts w:eastAsiaTheme="minorEastAsia"/>
              <w:noProof/>
              <w:szCs w:val="22"/>
            </w:rPr>
          </w:pPr>
          <w:hyperlink w:anchor="_Toc132358601" w:history="1">
            <w:r w:rsidRPr="00A6745A">
              <w:rPr>
                <w:rStyle w:val="a7"/>
                <w:rFonts w:ascii="楷体" w:eastAsia="楷体" w:hAnsi="楷体"/>
                <w:b/>
                <w:noProof/>
              </w:rPr>
              <w:t>焦炭：现货补跌中，震荡偏弱运行</w:t>
            </w:r>
          </w:hyperlink>
        </w:p>
        <w:p w:rsidR="00AF5EA0" w:rsidRDefault="00AF5EA0">
          <w:pPr>
            <w:pStyle w:val="2"/>
            <w:tabs>
              <w:tab w:val="right" w:leader="dot" w:pos="8296"/>
            </w:tabs>
            <w:rPr>
              <w:rFonts w:eastAsiaTheme="minorEastAsia"/>
              <w:noProof/>
              <w:szCs w:val="22"/>
            </w:rPr>
          </w:pPr>
          <w:hyperlink w:anchor="_Toc132358602" w:history="1">
            <w:r w:rsidRPr="00A6745A">
              <w:rPr>
                <w:rStyle w:val="a7"/>
                <w:rFonts w:ascii="楷体" w:eastAsia="楷体" w:hAnsi="楷体"/>
                <w:b/>
                <w:noProof/>
              </w:rPr>
              <w:t>焦煤：现货短暂偏稳，震荡偏弱运行</w:t>
            </w:r>
          </w:hyperlink>
        </w:p>
        <w:p w:rsidR="00AF5EA0" w:rsidRDefault="00AF5EA0">
          <w:pPr>
            <w:pStyle w:val="2"/>
            <w:tabs>
              <w:tab w:val="right" w:leader="dot" w:pos="8296"/>
            </w:tabs>
            <w:rPr>
              <w:rFonts w:eastAsiaTheme="minorEastAsia"/>
              <w:noProof/>
              <w:szCs w:val="22"/>
            </w:rPr>
          </w:pPr>
          <w:hyperlink w:anchor="_Toc132358603" w:history="1">
            <w:r w:rsidRPr="00A6745A">
              <w:rPr>
                <w:rStyle w:val="a7"/>
                <w:rFonts w:ascii="楷体" w:eastAsia="楷体" w:hAnsi="楷体"/>
                <w:b/>
                <w:noProof/>
              </w:rPr>
              <w:t>铜：维持高位震荡</w:t>
            </w:r>
          </w:hyperlink>
        </w:p>
        <w:p w:rsidR="00AF5EA0" w:rsidRDefault="00AF5EA0">
          <w:pPr>
            <w:pStyle w:val="2"/>
            <w:tabs>
              <w:tab w:val="right" w:leader="dot" w:pos="8296"/>
            </w:tabs>
            <w:rPr>
              <w:rFonts w:eastAsiaTheme="minorEastAsia"/>
              <w:noProof/>
              <w:szCs w:val="22"/>
            </w:rPr>
          </w:pPr>
          <w:hyperlink w:anchor="_Toc132358604" w:history="1">
            <w:r w:rsidRPr="00A6745A">
              <w:rPr>
                <w:rStyle w:val="a7"/>
                <w:rFonts w:ascii="楷体" w:eastAsia="楷体" w:hAnsi="楷体"/>
                <w:b/>
                <w:noProof/>
              </w:rPr>
              <w:t>铝：美国通胀走弱，铝价有小幅反弹机会</w:t>
            </w:r>
          </w:hyperlink>
        </w:p>
        <w:p w:rsidR="00AF5EA0" w:rsidRDefault="00AF5EA0">
          <w:pPr>
            <w:pStyle w:val="2"/>
            <w:tabs>
              <w:tab w:val="right" w:leader="dot" w:pos="8296"/>
            </w:tabs>
            <w:rPr>
              <w:rFonts w:eastAsiaTheme="minorEastAsia"/>
              <w:noProof/>
              <w:szCs w:val="22"/>
            </w:rPr>
          </w:pPr>
          <w:hyperlink w:anchor="_Toc132358605" w:history="1">
            <w:r w:rsidRPr="00A6745A">
              <w:rPr>
                <w:rStyle w:val="a7"/>
                <w:rFonts w:ascii="楷体" w:eastAsia="楷体" w:hAnsi="楷体"/>
                <w:b/>
                <w:noProof/>
              </w:rPr>
              <w:t>锌：宏观情绪走缓，基本面支撑偏弱</w:t>
            </w:r>
          </w:hyperlink>
        </w:p>
        <w:p w:rsidR="00AF5EA0" w:rsidRDefault="00AF5EA0">
          <w:pPr>
            <w:pStyle w:val="2"/>
            <w:tabs>
              <w:tab w:val="right" w:leader="dot" w:pos="8296"/>
            </w:tabs>
            <w:rPr>
              <w:rFonts w:eastAsiaTheme="minorEastAsia"/>
              <w:noProof/>
              <w:szCs w:val="22"/>
            </w:rPr>
          </w:pPr>
          <w:hyperlink w:anchor="_Toc132358606" w:history="1">
            <w:r w:rsidRPr="00A6745A">
              <w:rPr>
                <w:rStyle w:val="a7"/>
                <w:rFonts w:ascii="楷体" w:eastAsia="楷体" w:hAnsi="楷体"/>
                <w:b/>
                <w:noProof/>
              </w:rPr>
              <w:t>镍：反弹后高空思路不变</w:t>
            </w:r>
          </w:hyperlink>
        </w:p>
        <w:p w:rsidR="00AF5EA0" w:rsidRDefault="00AF5EA0">
          <w:pPr>
            <w:pStyle w:val="2"/>
            <w:tabs>
              <w:tab w:val="right" w:leader="dot" w:pos="8296"/>
            </w:tabs>
            <w:rPr>
              <w:rFonts w:eastAsiaTheme="minorEastAsia"/>
              <w:noProof/>
              <w:szCs w:val="22"/>
            </w:rPr>
          </w:pPr>
          <w:hyperlink w:anchor="_Toc132358607" w:history="1">
            <w:r w:rsidRPr="00A6745A">
              <w:rPr>
                <w:rStyle w:val="a7"/>
                <w:rFonts w:ascii="楷体" w:eastAsia="楷体" w:hAnsi="楷体"/>
                <w:b/>
                <w:noProof/>
              </w:rPr>
              <w:t>铅：铅价区间震荡整理</w:t>
            </w:r>
          </w:hyperlink>
        </w:p>
        <w:p w:rsidR="00AF5EA0" w:rsidRDefault="00AF5EA0">
          <w:pPr>
            <w:pStyle w:val="2"/>
            <w:tabs>
              <w:tab w:val="right" w:leader="dot" w:pos="8296"/>
            </w:tabs>
            <w:rPr>
              <w:rFonts w:eastAsiaTheme="minorEastAsia"/>
              <w:noProof/>
              <w:szCs w:val="22"/>
            </w:rPr>
          </w:pPr>
          <w:hyperlink w:anchor="_Toc132358608" w:history="1">
            <w:r w:rsidRPr="00A6745A">
              <w:rPr>
                <w:rStyle w:val="a7"/>
                <w:rFonts w:ascii="楷体" w:eastAsia="楷体" w:hAnsi="楷体"/>
                <w:b/>
                <w:noProof/>
              </w:rPr>
              <w:t>不锈钢：社库继续去化，助力不锈钢多头情绪</w:t>
            </w:r>
          </w:hyperlink>
        </w:p>
        <w:p w:rsidR="00AF5EA0" w:rsidRDefault="00AF5EA0">
          <w:pPr>
            <w:pStyle w:val="2"/>
            <w:tabs>
              <w:tab w:val="right" w:leader="dot" w:pos="8296"/>
            </w:tabs>
            <w:rPr>
              <w:rFonts w:eastAsiaTheme="minorEastAsia"/>
              <w:noProof/>
              <w:szCs w:val="22"/>
            </w:rPr>
          </w:pPr>
          <w:hyperlink w:anchor="_Toc132358609" w:history="1">
            <w:r w:rsidRPr="00A6745A">
              <w:rPr>
                <w:rStyle w:val="a7"/>
                <w:rFonts w:ascii="楷体" w:eastAsia="楷体" w:hAnsi="楷体"/>
                <w:b/>
                <w:noProof/>
              </w:rPr>
              <w:t>工业硅：库存去化不明显，短期市场或仍承压运行</w:t>
            </w:r>
          </w:hyperlink>
        </w:p>
        <w:p w:rsidR="00AF5EA0" w:rsidRDefault="00AF5EA0">
          <w:pPr>
            <w:pStyle w:val="11"/>
            <w:tabs>
              <w:tab w:val="right" w:leader="dot" w:pos="8296"/>
            </w:tabs>
            <w:rPr>
              <w:rFonts w:eastAsiaTheme="minorEastAsia"/>
              <w:noProof/>
              <w:szCs w:val="22"/>
            </w:rPr>
          </w:pPr>
          <w:hyperlink w:anchor="_Toc132358610" w:history="1">
            <w:r w:rsidRPr="00A6745A">
              <w:rPr>
                <w:rStyle w:val="a7"/>
                <w:rFonts w:ascii="Times New Roman" w:eastAsia="楷体" w:hAnsi="Times New Roman"/>
                <w:b/>
                <w:noProof/>
              </w:rPr>
              <w:t>[</w:t>
            </w:r>
            <w:r w:rsidRPr="00A6745A">
              <w:rPr>
                <w:rStyle w:val="a7"/>
                <w:rFonts w:ascii="Times New Roman" w:eastAsia="楷体" w:hAnsi="Times New Roman"/>
                <w:b/>
                <w:noProof/>
              </w:rPr>
              <w:t>化工</w:t>
            </w:r>
            <w:r w:rsidRPr="00A6745A">
              <w:rPr>
                <w:rStyle w:val="a7"/>
                <w:rFonts w:ascii="Times New Roman" w:eastAsia="楷体" w:hAnsi="Times New Roman"/>
                <w:b/>
                <w:noProof/>
              </w:rPr>
              <w:t>]</w:t>
            </w:r>
          </w:hyperlink>
        </w:p>
        <w:p w:rsidR="00AF5EA0" w:rsidRDefault="00AF5EA0">
          <w:pPr>
            <w:pStyle w:val="2"/>
            <w:tabs>
              <w:tab w:val="right" w:leader="dot" w:pos="8296"/>
            </w:tabs>
            <w:rPr>
              <w:rFonts w:eastAsiaTheme="minorEastAsia"/>
              <w:noProof/>
              <w:szCs w:val="22"/>
            </w:rPr>
          </w:pPr>
          <w:hyperlink w:anchor="_Toc132358611" w:history="1">
            <w:r w:rsidRPr="00A6745A">
              <w:rPr>
                <w:rStyle w:val="a7"/>
                <w:rFonts w:ascii="Times New Roman" w:eastAsia="楷体" w:hAnsi="Times New Roman"/>
                <w:b/>
                <w:noProof/>
              </w:rPr>
              <w:t>天然橡胶</w:t>
            </w:r>
            <w:r w:rsidRPr="00A6745A">
              <w:rPr>
                <w:rStyle w:val="a7"/>
                <w:rFonts w:ascii="Times New Roman" w:eastAsia="楷体" w:hAnsi="Times New Roman"/>
                <w:b/>
                <w:noProof/>
              </w:rPr>
              <w:t>:</w:t>
            </w:r>
            <w:r w:rsidRPr="00A6745A">
              <w:rPr>
                <w:rStyle w:val="a7"/>
                <w:noProof/>
              </w:rPr>
              <w:t xml:space="preserve"> </w:t>
            </w:r>
            <w:r w:rsidRPr="00A6745A">
              <w:rPr>
                <w:rStyle w:val="a7"/>
                <w:rFonts w:ascii="Times New Roman" w:eastAsia="楷体" w:hAnsi="Times New Roman"/>
                <w:b/>
                <w:noProof/>
              </w:rPr>
              <w:t>天胶价格偏弱整理</w:t>
            </w:r>
            <w:r w:rsidRPr="00A6745A">
              <w:rPr>
                <w:rStyle w:val="a7"/>
                <w:rFonts w:ascii="Times New Roman" w:eastAsia="楷体" w:hAnsi="Times New Roman"/>
                <w:b/>
                <w:noProof/>
              </w:rPr>
              <w:t xml:space="preserve"> </w:t>
            </w:r>
            <w:r w:rsidRPr="00A6745A">
              <w:rPr>
                <w:rStyle w:val="a7"/>
                <w:rFonts w:ascii="Times New Roman" w:eastAsia="楷体" w:hAnsi="Times New Roman"/>
                <w:b/>
                <w:noProof/>
              </w:rPr>
              <w:t>高库存问题仍待改善</w:t>
            </w:r>
          </w:hyperlink>
        </w:p>
        <w:p w:rsidR="00AF5EA0" w:rsidRDefault="00AF5EA0">
          <w:pPr>
            <w:pStyle w:val="2"/>
            <w:tabs>
              <w:tab w:val="right" w:leader="dot" w:pos="8296"/>
            </w:tabs>
            <w:rPr>
              <w:rFonts w:eastAsiaTheme="minorEastAsia"/>
              <w:noProof/>
              <w:szCs w:val="22"/>
            </w:rPr>
          </w:pPr>
          <w:hyperlink w:anchor="_Toc132358612" w:history="1">
            <w:r w:rsidRPr="00A6745A">
              <w:rPr>
                <w:rStyle w:val="a7"/>
                <w:rFonts w:ascii="楷体" w:eastAsia="楷体" w:hAnsi="楷体"/>
                <w:b/>
                <w:noProof/>
              </w:rPr>
              <w:t>PTA：油强及PX检修叠加调油需求继续给予支撑</w:t>
            </w:r>
          </w:hyperlink>
        </w:p>
        <w:p w:rsidR="00AF5EA0" w:rsidRDefault="00AF5EA0">
          <w:pPr>
            <w:pStyle w:val="2"/>
            <w:tabs>
              <w:tab w:val="right" w:leader="dot" w:pos="8296"/>
            </w:tabs>
            <w:rPr>
              <w:rFonts w:eastAsiaTheme="minorEastAsia"/>
              <w:noProof/>
              <w:szCs w:val="22"/>
            </w:rPr>
          </w:pPr>
          <w:hyperlink w:anchor="_Toc132358613" w:history="1">
            <w:r w:rsidRPr="00A6745A">
              <w:rPr>
                <w:rStyle w:val="a7"/>
                <w:rFonts w:ascii="楷体" w:eastAsia="楷体" w:hAnsi="楷体"/>
                <w:b/>
                <w:noProof/>
              </w:rPr>
              <w:t>PVC：春检在即供需改善 关注V低多机会</w:t>
            </w:r>
          </w:hyperlink>
        </w:p>
        <w:p w:rsidR="00AF5EA0" w:rsidRDefault="00AF5EA0">
          <w:pPr>
            <w:pStyle w:val="2"/>
            <w:tabs>
              <w:tab w:val="right" w:leader="dot" w:pos="8296"/>
            </w:tabs>
            <w:rPr>
              <w:rFonts w:eastAsiaTheme="minorEastAsia"/>
              <w:noProof/>
              <w:szCs w:val="22"/>
            </w:rPr>
          </w:pPr>
          <w:hyperlink w:anchor="_Toc132358614" w:history="1">
            <w:r w:rsidRPr="00A6745A">
              <w:rPr>
                <w:rStyle w:val="a7"/>
                <w:rFonts w:ascii="楷体" w:eastAsia="楷体" w:hAnsi="楷体"/>
                <w:b/>
                <w:noProof/>
              </w:rPr>
              <w:t>聚烯烃：供需双减下 聚烯烃或窄幅整理为主</w:t>
            </w:r>
          </w:hyperlink>
        </w:p>
        <w:p w:rsidR="00AF5EA0" w:rsidRDefault="00AF5EA0">
          <w:pPr>
            <w:pStyle w:val="2"/>
            <w:tabs>
              <w:tab w:val="right" w:leader="dot" w:pos="8296"/>
            </w:tabs>
            <w:rPr>
              <w:rFonts w:eastAsiaTheme="minorEastAsia"/>
              <w:noProof/>
              <w:szCs w:val="22"/>
            </w:rPr>
          </w:pPr>
          <w:hyperlink w:anchor="_Toc132358615" w:history="1">
            <w:r w:rsidRPr="00A6745A">
              <w:rPr>
                <w:rStyle w:val="a7"/>
                <w:rFonts w:ascii="楷体" w:eastAsia="楷体" w:hAnsi="楷体"/>
                <w:b/>
                <w:noProof/>
              </w:rPr>
              <w:t>MEG：4月检修及进口有限供需结构改善 09偏多配</w:t>
            </w:r>
          </w:hyperlink>
        </w:p>
        <w:p w:rsidR="00AF5EA0" w:rsidRDefault="00AF5EA0">
          <w:pPr>
            <w:pStyle w:val="2"/>
            <w:tabs>
              <w:tab w:val="right" w:leader="dot" w:pos="8296"/>
            </w:tabs>
            <w:rPr>
              <w:rFonts w:eastAsiaTheme="minorEastAsia"/>
              <w:noProof/>
              <w:szCs w:val="22"/>
            </w:rPr>
          </w:pPr>
          <w:hyperlink w:anchor="_Toc132358616" w:history="1">
            <w:r w:rsidRPr="00A6745A">
              <w:rPr>
                <w:rStyle w:val="a7"/>
                <w:rFonts w:ascii="楷体" w:eastAsia="楷体" w:hAnsi="楷体"/>
                <w:b/>
                <w:noProof/>
              </w:rPr>
              <w:t>玻璃：产销再度走强，厂家集中挺价</w:t>
            </w:r>
          </w:hyperlink>
        </w:p>
        <w:p w:rsidR="00AF5EA0" w:rsidRDefault="00AF5EA0">
          <w:pPr>
            <w:pStyle w:val="2"/>
            <w:tabs>
              <w:tab w:val="right" w:leader="dot" w:pos="8296"/>
            </w:tabs>
            <w:rPr>
              <w:rFonts w:eastAsiaTheme="minorEastAsia"/>
              <w:noProof/>
              <w:szCs w:val="22"/>
            </w:rPr>
          </w:pPr>
          <w:hyperlink w:anchor="_Toc132358617" w:history="1">
            <w:r w:rsidRPr="00A6745A">
              <w:rPr>
                <w:rStyle w:val="a7"/>
                <w:rFonts w:ascii="楷体" w:eastAsia="楷体" w:hAnsi="楷体"/>
                <w:b/>
                <w:noProof/>
              </w:rPr>
              <w:t>纯碱：反弹乏力，进入资金博弈阶段</w:t>
            </w:r>
          </w:hyperlink>
        </w:p>
        <w:p w:rsidR="00AF5EA0" w:rsidRDefault="00AF5EA0">
          <w:pPr>
            <w:pStyle w:val="11"/>
            <w:tabs>
              <w:tab w:val="right" w:leader="dot" w:pos="8296"/>
            </w:tabs>
            <w:rPr>
              <w:rFonts w:eastAsiaTheme="minorEastAsia"/>
              <w:noProof/>
              <w:szCs w:val="22"/>
            </w:rPr>
          </w:pPr>
          <w:hyperlink w:anchor="_Toc132358618" w:history="1">
            <w:r w:rsidRPr="00A6745A">
              <w:rPr>
                <w:rStyle w:val="a7"/>
                <w:rFonts w:ascii="Times New Roman" w:eastAsia="楷体" w:hAnsi="Times New Roman"/>
                <w:b/>
                <w:noProof/>
              </w:rPr>
              <w:t>[</w:t>
            </w:r>
            <w:r w:rsidRPr="00A6745A">
              <w:rPr>
                <w:rStyle w:val="a7"/>
                <w:rFonts w:ascii="Times New Roman" w:eastAsia="楷体" w:hAnsi="Times New Roman"/>
                <w:b/>
                <w:noProof/>
              </w:rPr>
              <w:t>农产品</w:t>
            </w:r>
            <w:r w:rsidRPr="00A6745A">
              <w:rPr>
                <w:rStyle w:val="a7"/>
                <w:rFonts w:ascii="Times New Roman" w:eastAsia="楷体" w:hAnsi="Times New Roman"/>
                <w:b/>
                <w:noProof/>
              </w:rPr>
              <w:t>]</w:t>
            </w:r>
          </w:hyperlink>
        </w:p>
        <w:p w:rsidR="00AF5EA0" w:rsidRDefault="00AF5EA0">
          <w:pPr>
            <w:pStyle w:val="2"/>
            <w:tabs>
              <w:tab w:val="right" w:leader="dot" w:pos="8296"/>
            </w:tabs>
            <w:rPr>
              <w:rFonts w:eastAsiaTheme="minorEastAsia"/>
              <w:noProof/>
              <w:szCs w:val="22"/>
            </w:rPr>
          </w:pPr>
          <w:hyperlink w:anchor="_Toc132358619" w:history="1">
            <w:r w:rsidRPr="00A6745A">
              <w:rPr>
                <w:rStyle w:val="a7"/>
                <w:rFonts w:ascii="楷体" w:eastAsia="楷体" w:hAnsi="楷体"/>
                <w:b/>
                <w:noProof/>
              </w:rPr>
              <w:t>豆粕/菜粕：近月偏强，但阶段性压力仍存</w:t>
            </w:r>
          </w:hyperlink>
        </w:p>
        <w:p w:rsidR="00AF5EA0" w:rsidRDefault="00AF5EA0">
          <w:pPr>
            <w:pStyle w:val="2"/>
            <w:tabs>
              <w:tab w:val="right" w:leader="dot" w:pos="8296"/>
            </w:tabs>
            <w:rPr>
              <w:rFonts w:eastAsiaTheme="minorEastAsia"/>
              <w:noProof/>
              <w:szCs w:val="22"/>
            </w:rPr>
          </w:pPr>
          <w:hyperlink w:anchor="_Toc132358620" w:history="1">
            <w:r w:rsidRPr="00A6745A">
              <w:rPr>
                <w:rStyle w:val="a7"/>
                <w:rFonts w:ascii="楷体" w:eastAsia="楷体" w:hAnsi="楷体"/>
                <w:b/>
                <w:noProof/>
              </w:rPr>
              <w:t>油脂：震荡偏弱</w:t>
            </w:r>
          </w:hyperlink>
        </w:p>
        <w:p w:rsidR="00AF5EA0" w:rsidRDefault="00AF5EA0">
          <w:pPr>
            <w:pStyle w:val="2"/>
            <w:tabs>
              <w:tab w:val="right" w:leader="dot" w:pos="8296"/>
            </w:tabs>
            <w:rPr>
              <w:rFonts w:eastAsiaTheme="minorEastAsia"/>
              <w:noProof/>
              <w:szCs w:val="22"/>
            </w:rPr>
          </w:pPr>
          <w:hyperlink w:anchor="_Toc132358621" w:history="1">
            <w:r w:rsidRPr="00A6745A">
              <w:rPr>
                <w:rStyle w:val="a7"/>
                <w:rFonts w:ascii="楷体" w:eastAsia="楷体" w:hAnsi="楷体"/>
                <w:b/>
                <w:bCs/>
                <w:noProof/>
              </w:rPr>
              <w:t>玉米与淀粉：</w:t>
            </w:r>
            <w:r w:rsidRPr="00A6745A">
              <w:rPr>
                <w:rStyle w:val="a7"/>
                <w:rFonts w:ascii="楷体" w:eastAsia="楷体" w:hAnsi="楷体"/>
                <w:b/>
                <w:noProof/>
              </w:rPr>
              <w:t>期价继续回落</w:t>
            </w:r>
          </w:hyperlink>
        </w:p>
        <w:p w:rsidR="00AF5EA0" w:rsidRDefault="00AF5EA0">
          <w:pPr>
            <w:pStyle w:val="2"/>
            <w:tabs>
              <w:tab w:val="right" w:leader="dot" w:pos="8296"/>
            </w:tabs>
            <w:rPr>
              <w:rFonts w:eastAsiaTheme="minorEastAsia"/>
              <w:noProof/>
              <w:szCs w:val="22"/>
            </w:rPr>
          </w:pPr>
          <w:hyperlink w:anchor="_Toc132358622" w:history="1">
            <w:r w:rsidRPr="00A6745A">
              <w:rPr>
                <w:rStyle w:val="a7"/>
                <w:rFonts w:ascii="楷体" w:eastAsia="楷体" w:hAnsi="楷体"/>
                <w:b/>
                <w:bCs/>
                <w:noProof/>
              </w:rPr>
              <w:t>畜禽养殖：生猪期价增仓下行</w:t>
            </w:r>
          </w:hyperlink>
        </w:p>
        <w:p w:rsidR="00AF5EA0" w:rsidRDefault="00AF5EA0">
          <w:pPr>
            <w:pStyle w:val="2"/>
            <w:tabs>
              <w:tab w:val="right" w:leader="dot" w:pos="8296"/>
            </w:tabs>
            <w:rPr>
              <w:rFonts w:eastAsiaTheme="minorEastAsia"/>
              <w:noProof/>
              <w:szCs w:val="22"/>
            </w:rPr>
          </w:pPr>
          <w:hyperlink w:anchor="_Toc132358623" w:history="1">
            <w:r w:rsidRPr="00A6745A">
              <w:rPr>
                <w:rStyle w:val="a7"/>
                <w:rFonts w:ascii="楷体" w:eastAsia="楷体" w:hAnsi="楷体"/>
                <w:b/>
                <w:noProof/>
              </w:rPr>
              <w:t>郑棉：郑棉即将冲击1.5万关口</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235859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2358596"/>
      <w:bookmarkEnd w:id="3"/>
      <w:r>
        <w:rPr>
          <w:rFonts w:ascii="Times New Roman" w:eastAsia="楷体" w:hAnsi="Times New Roman" w:hint="eastAsia"/>
          <w:b/>
          <w:color w:val="000000" w:themeColor="text1"/>
          <w:sz w:val="24"/>
          <w:szCs w:val="24"/>
        </w:rPr>
        <w:t>股指：</w:t>
      </w:r>
      <w:bookmarkEnd w:id="5"/>
      <w:bookmarkEnd w:id="6"/>
      <w:r w:rsidR="00AF5EA0" w:rsidRPr="00AF5EA0">
        <w:rPr>
          <w:rFonts w:ascii="Times New Roman" w:eastAsia="楷体" w:hAnsi="Times New Roman" w:hint="eastAsia"/>
          <w:b/>
          <w:color w:val="000000" w:themeColor="text1"/>
          <w:sz w:val="24"/>
          <w:szCs w:val="24"/>
        </w:rPr>
        <w:t>关注</w:t>
      </w:r>
      <w:r w:rsidR="00AF5EA0" w:rsidRPr="00AF5EA0">
        <w:rPr>
          <w:rFonts w:ascii="Times New Roman" w:eastAsia="楷体" w:hAnsi="Times New Roman" w:hint="eastAsia"/>
          <w:b/>
          <w:color w:val="000000" w:themeColor="text1"/>
          <w:sz w:val="24"/>
          <w:szCs w:val="24"/>
        </w:rPr>
        <w:t>IH</w:t>
      </w:r>
      <w:r w:rsidR="00AF5EA0" w:rsidRPr="00AF5EA0">
        <w:rPr>
          <w:rFonts w:ascii="Times New Roman" w:eastAsia="楷体" w:hAnsi="Times New Roman" w:hint="eastAsia"/>
          <w:b/>
          <w:color w:val="000000" w:themeColor="text1"/>
          <w:sz w:val="24"/>
          <w:szCs w:val="24"/>
        </w:rPr>
        <w:t>低多机会</w:t>
      </w:r>
      <w:bookmarkEnd w:id="7"/>
    </w:p>
    <w:p w:rsidR="003F56A5" w:rsidRDefault="00AF5EA0">
      <w:pPr>
        <w:ind w:leftChars="300" w:left="630"/>
        <w:rPr>
          <w:rFonts w:ascii="Times New Roman" w:eastAsia="楷体" w:hAnsi="Times New Roman"/>
          <w:color w:val="000000" w:themeColor="text1"/>
          <w:sz w:val="24"/>
          <w:szCs w:val="24"/>
        </w:rPr>
      </w:pPr>
      <w:r w:rsidRPr="00AF5EA0">
        <w:rPr>
          <w:rFonts w:ascii="Times New Roman" w:eastAsia="楷体" w:hAnsi="Times New Roman" w:hint="eastAsia"/>
          <w:color w:val="000000" w:themeColor="text1"/>
          <w:sz w:val="24"/>
          <w:szCs w:val="24"/>
        </w:rPr>
        <w:t>3</w:t>
      </w:r>
      <w:r w:rsidRPr="00AF5EA0">
        <w:rPr>
          <w:rFonts w:ascii="Times New Roman" w:eastAsia="楷体" w:hAnsi="Times New Roman" w:hint="eastAsia"/>
          <w:color w:val="000000" w:themeColor="text1"/>
          <w:sz w:val="24"/>
          <w:szCs w:val="24"/>
        </w:rPr>
        <w:t>月出口同比增长</w:t>
      </w:r>
      <w:r w:rsidRPr="00AF5EA0">
        <w:rPr>
          <w:rFonts w:ascii="Times New Roman" w:eastAsia="楷体" w:hAnsi="Times New Roman" w:hint="eastAsia"/>
          <w:color w:val="000000" w:themeColor="text1"/>
          <w:sz w:val="24"/>
          <w:szCs w:val="24"/>
        </w:rPr>
        <w:t>14.8%</w:t>
      </w:r>
      <w:r w:rsidRPr="00AF5EA0">
        <w:rPr>
          <w:rFonts w:ascii="Times New Roman" w:eastAsia="楷体" w:hAnsi="Times New Roman" w:hint="eastAsia"/>
          <w:color w:val="000000" w:themeColor="text1"/>
          <w:sz w:val="24"/>
          <w:szCs w:val="24"/>
        </w:rPr>
        <w:t>，显著高于市场平均预期，一定程度上降低总量下行风险。美国</w:t>
      </w:r>
      <w:r w:rsidRPr="00AF5EA0">
        <w:rPr>
          <w:rFonts w:ascii="Times New Roman" w:eastAsia="楷体" w:hAnsi="Times New Roman" w:hint="eastAsia"/>
          <w:color w:val="000000" w:themeColor="text1"/>
          <w:sz w:val="24"/>
          <w:szCs w:val="24"/>
        </w:rPr>
        <w:t>3</w:t>
      </w:r>
      <w:r w:rsidRPr="00AF5EA0">
        <w:rPr>
          <w:rFonts w:ascii="Times New Roman" w:eastAsia="楷体" w:hAnsi="Times New Roman" w:hint="eastAsia"/>
          <w:color w:val="000000" w:themeColor="text1"/>
          <w:sz w:val="24"/>
          <w:szCs w:val="24"/>
        </w:rPr>
        <w:t>月</w:t>
      </w:r>
      <w:r w:rsidRPr="00AF5EA0">
        <w:rPr>
          <w:rFonts w:ascii="Times New Roman" w:eastAsia="楷体" w:hAnsi="Times New Roman" w:hint="eastAsia"/>
          <w:color w:val="000000" w:themeColor="text1"/>
          <w:sz w:val="24"/>
          <w:szCs w:val="24"/>
        </w:rPr>
        <w:t>PPI</w:t>
      </w:r>
      <w:r w:rsidRPr="00AF5EA0">
        <w:rPr>
          <w:rFonts w:ascii="Times New Roman" w:eastAsia="楷体" w:hAnsi="Times New Roman" w:hint="eastAsia"/>
          <w:color w:val="000000" w:themeColor="text1"/>
          <w:sz w:val="24"/>
          <w:szCs w:val="24"/>
        </w:rPr>
        <w:t>同比增速显著低于预期，创下</w:t>
      </w:r>
      <w:r w:rsidRPr="00AF5EA0">
        <w:rPr>
          <w:rFonts w:ascii="Times New Roman" w:eastAsia="楷体" w:hAnsi="Times New Roman" w:hint="eastAsia"/>
          <w:color w:val="000000" w:themeColor="text1"/>
          <w:sz w:val="24"/>
          <w:szCs w:val="24"/>
        </w:rPr>
        <w:t>2021</w:t>
      </w:r>
      <w:r w:rsidRPr="00AF5EA0">
        <w:rPr>
          <w:rFonts w:ascii="Times New Roman" w:eastAsia="楷体" w:hAnsi="Times New Roman" w:hint="eastAsia"/>
          <w:color w:val="000000" w:themeColor="text1"/>
          <w:sz w:val="24"/>
          <w:szCs w:val="24"/>
        </w:rPr>
        <w:t>年</w:t>
      </w:r>
      <w:r w:rsidRPr="00AF5EA0">
        <w:rPr>
          <w:rFonts w:ascii="Times New Roman" w:eastAsia="楷体" w:hAnsi="Times New Roman" w:hint="eastAsia"/>
          <w:color w:val="000000" w:themeColor="text1"/>
          <w:sz w:val="24"/>
          <w:szCs w:val="24"/>
        </w:rPr>
        <w:t>1</w:t>
      </w:r>
      <w:r w:rsidRPr="00AF5EA0">
        <w:rPr>
          <w:rFonts w:ascii="Times New Roman" w:eastAsia="楷体" w:hAnsi="Times New Roman" w:hint="eastAsia"/>
          <w:color w:val="000000" w:themeColor="text1"/>
          <w:sz w:val="24"/>
          <w:szCs w:val="24"/>
        </w:rPr>
        <w:t>月以来最低增速，申请失业金人为三周以来首次上升，进一步表明随着借贷成本上升抑制经济需求，劳动力市场状况正在松动。海外资产开始交易流动性宽松预期。盘面上，</w:t>
      </w:r>
      <w:r w:rsidRPr="00AF5EA0">
        <w:rPr>
          <w:rFonts w:ascii="Times New Roman" w:eastAsia="楷体" w:hAnsi="Times New Roman" w:hint="eastAsia"/>
          <w:color w:val="000000" w:themeColor="text1"/>
          <w:sz w:val="24"/>
          <w:szCs w:val="24"/>
        </w:rPr>
        <w:t>TMT</w:t>
      </w:r>
      <w:r w:rsidRPr="00AF5EA0">
        <w:rPr>
          <w:rFonts w:ascii="Times New Roman" w:eastAsia="楷体" w:hAnsi="Times New Roman" w:hint="eastAsia"/>
          <w:color w:val="000000" w:themeColor="text1"/>
          <w:sz w:val="24"/>
          <w:szCs w:val="24"/>
        </w:rPr>
        <w:t>抢团资金进一步瓦解，大消费则成为溢出资金的首要选择。五一小长假开始预热；多个板块内部也开始高切低流入低位滞涨个股。预计短期市场风格将进一步扩散，等待政策面对于基本面预期的“四月决断”</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235859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2358598"/>
      <w:r>
        <w:rPr>
          <w:rFonts w:ascii="Times New Roman" w:eastAsia="楷体" w:hAnsi="Times New Roman" w:hint="eastAsia"/>
          <w:b/>
          <w:color w:val="000000" w:themeColor="text1"/>
          <w:sz w:val="24"/>
          <w:szCs w:val="24"/>
        </w:rPr>
        <w:t>贵金属：</w:t>
      </w:r>
      <w:r w:rsidR="00AF5EA0" w:rsidRPr="00AF5EA0">
        <w:rPr>
          <w:rFonts w:ascii="Times New Roman" w:eastAsia="楷体" w:hAnsi="Times New Roman" w:hint="eastAsia"/>
          <w:b/>
          <w:color w:val="000000" w:themeColor="text1"/>
          <w:sz w:val="24"/>
          <w:szCs w:val="24"/>
        </w:rPr>
        <w:t>美国生产端通胀下降，银价大幅上涨</w:t>
      </w:r>
      <w:bookmarkEnd w:id="9"/>
    </w:p>
    <w:p w:rsidR="003F56A5" w:rsidRDefault="00AF5EA0">
      <w:pPr>
        <w:ind w:leftChars="300" w:left="630"/>
        <w:rPr>
          <w:rFonts w:ascii="Times New Roman" w:eastAsia="楷体" w:hAnsi="Times New Roman"/>
          <w:sz w:val="24"/>
          <w:szCs w:val="24"/>
        </w:rPr>
      </w:pPr>
      <w:r w:rsidRPr="00AF5EA0">
        <w:rPr>
          <w:rFonts w:ascii="Times New Roman" w:eastAsia="楷体" w:hAnsi="Times New Roman" w:hint="eastAsia"/>
          <w:color w:val="000000" w:themeColor="text1"/>
          <w:sz w:val="24"/>
          <w:szCs w:val="24"/>
        </w:rPr>
        <w:t>美国</w:t>
      </w:r>
      <w:r w:rsidRPr="00AF5EA0">
        <w:rPr>
          <w:rFonts w:ascii="Times New Roman" w:eastAsia="楷体" w:hAnsi="Times New Roman" w:hint="eastAsia"/>
          <w:color w:val="000000" w:themeColor="text1"/>
          <w:sz w:val="24"/>
          <w:szCs w:val="24"/>
        </w:rPr>
        <w:t>3</w:t>
      </w:r>
      <w:r w:rsidRPr="00AF5EA0">
        <w:rPr>
          <w:rFonts w:ascii="Times New Roman" w:eastAsia="楷体" w:hAnsi="Times New Roman" w:hint="eastAsia"/>
          <w:color w:val="000000" w:themeColor="text1"/>
          <w:sz w:val="24"/>
          <w:szCs w:val="24"/>
        </w:rPr>
        <w:t>月</w:t>
      </w:r>
      <w:r w:rsidRPr="00AF5EA0">
        <w:rPr>
          <w:rFonts w:ascii="Times New Roman" w:eastAsia="楷体" w:hAnsi="Times New Roman" w:hint="eastAsia"/>
          <w:color w:val="000000" w:themeColor="text1"/>
          <w:sz w:val="24"/>
          <w:szCs w:val="24"/>
        </w:rPr>
        <w:t>PPI</w:t>
      </w:r>
      <w:r w:rsidRPr="00AF5EA0">
        <w:rPr>
          <w:rFonts w:ascii="Times New Roman" w:eastAsia="楷体" w:hAnsi="Times New Roman" w:hint="eastAsia"/>
          <w:color w:val="000000" w:themeColor="text1"/>
          <w:sz w:val="24"/>
          <w:szCs w:val="24"/>
        </w:rPr>
        <w:t>同比增</w:t>
      </w:r>
      <w:r w:rsidRPr="00AF5EA0">
        <w:rPr>
          <w:rFonts w:ascii="Times New Roman" w:eastAsia="楷体" w:hAnsi="Times New Roman" w:hint="eastAsia"/>
          <w:color w:val="000000" w:themeColor="text1"/>
          <w:sz w:val="24"/>
          <w:szCs w:val="24"/>
        </w:rPr>
        <w:t>2.7%</w:t>
      </w:r>
      <w:r w:rsidRPr="00AF5EA0">
        <w:rPr>
          <w:rFonts w:ascii="Times New Roman" w:eastAsia="楷体" w:hAnsi="Times New Roman" w:hint="eastAsia"/>
          <w:color w:val="000000" w:themeColor="text1"/>
          <w:sz w:val="24"/>
          <w:szCs w:val="24"/>
        </w:rPr>
        <w:t>，低于预期的</w:t>
      </w:r>
      <w:r w:rsidRPr="00AF5EA0">
        <w:rPr>
          <w:rFonts w:ascii="Times New Roman" w:eastAsia="楷体" w:hAnsi="Times New Roman" w:hint="eastAsia"/>
          <w:color w:val="000000" w:themeColor="text1"/>
          <w:sz w:val="24"/>
          <w:szCs w:val="24"/>
        </w:rPr>
        <w:t>3%</w:t>
      </w:r>
      <w:r w:rsidRPr="00AF5EA0">
        <w:rPr>
          <w:rFonts w:ascii="Times New Roman" w:eastAsia="楷体" w:hAnsi="Times New Roman" w:hint="eastAsia"/>
          <w:color w:val="000000" w:themeColor="text1"/>
          <w:sz w:val="24"/>
          <w:szCs w:val="24"/>
        </w:rPr>
        <w:t>，较上修至</w:t>
      </w:r>
      <w:r w:rsidRPr="00AF5EA0">
        <w:rPr>
          <w:rFonts w:ascii="Times New Roman" w:eastAsia="楷体" w:hAnsi="Times New Roman" w:hint="eastAsia"/>
          <w:color w:val="000000" w:themeColor="text1"/>
          <w:sz w:val="24"/>
          <w:szCs w:val="24"/>
        </w:rPr>
        <w:t>4.9%</w:t>
      </w:r>
      <w:r w:rsidRPr="00AF5EA0">
        <w:rPr>
          <w:rFonts w:ascii="Times New Roman" w:eastAsia="楷体" w:hAnsi="Times New Roman" w:hint="eastAsia"/>
          <w:color w:val="000000" w:themeColor="text1"/>
          <w:sz w:val="24"/>
          <w:szCs w:val="24"/>
        </w:rPr>
        <w:t>的前值大幅回落；</w:t>
      </w:r>
      <w:r w:rsidRPr="00AF5EA0">
        <w:rPr>
          <w:rFonts w:ascii="Times New Roman" w:eastAsia="楷体" w:hAnsi="Times New Roman" w:hint="eastAsia"/>
          <w:color w:val="000000" w:themeColor="text1"/>
          <w:sz w:val="24"/>
          <w:szCs w:val="24"/>
        </w:rPr>
        <w:t>PPI</w:t>
      </w:r>
      <w:r w:rsidRPr="00AF5EA0">
        <w:rPr>
          <w:rFonts w:ascii="Times New Roman" w:eastAsia="楷体" w:hAnsi="Times New Roman" w:hint="eastAsia"/>
          <w:color w:val="000000" w:themeColor="text1"/>
          <w:sz w:val="24"/>
          <w:szCs w:val="24"/>
        </w:rPr>
        <w:t>环比下降</w:t>
      </w:r>
      <w:r w:rsidRPr="00AF5EA0">
        <w:rPr>
          <w:rFonts w:ascii="Times New Roman" w:eastAsia="楷体" w:hAnsi="Times New Roman" w:hint="eastAsia"/>
          <w:color w:val="000000" w:themeColor="text1"/>
          <w:sz w:val="24"/>
          <w:szCs w:val="24"/>
        </w:rPr>
        <w:t>0.5%</w:t>
      </w:r>
      <w:r w:rsidRPr="00AF5EA0">
        <w:rPr>
          <w:rFonts w:ascii="Times New Roman" w:eastAsia="楷体" w:hAnsi="Times New Roman" w:hint="eastAsia"/>
          <w:color w:val="000000" w:themeColor="text1"/>
          <w:sz w:val="24"/>
          <w:szCs w:val="24"/>
        </w:rPr>
        <w:t>，低于预期。美国最新当周初请失业金人数录得</w:t>
      </w:r>
      <w:r w:rsidRPr="00AF5EA0">
        <w:rPr>
          <w:rFonts w:ascii="Times New Roman" w:eastAsia="楷体" w:hAnsi="Times New Roman" w:hint="eastAsia"/>
          <w:color w:val="000000" w:themeColor="text1"/>
          <w:sz w:val="24"/>
          <w:szCs w:val="24"/>
        </w:rPr>
        <w:t>23.9</w:t>
      </w:r>
      <w:r w:rsidRPr="00AF5EA0">
        <w:rPr>
          <w:rFonts w:ascii="Times New Roman" w:eastAsia="楷体" w:hAnsi="Times New Roman" w:hint="eastAsia"/>
          <w:color w:val="000000" w:themeColor="text1"/>
          <w:sz w:val="24"/>
          <w:szCs w:val="24"/>
        </w:rPr>
        <w:t>万人，略高于预期及前值。续请失业金人数</w:t>
      </w:r>
      <w:r w:rsidRPr="00AF5EA0">
        <w:rPr>
          <w:rFonts w:ascii="Times New Roman" w:eastAsia="楷体" w:hAnsi="Times New Roman" w:hint="eastAsia"/>
          <w:color w:val="000000" w:themeColor="text1"/>
          <w:sz w:val="24"/>
          <w:szCs w:val="24"/>
        </w:rPr>
        <w:t>181</w:t>
      </w:r>
      <w:r w:rsidRPr="00AF5EA0">
        <w:rPr>
          <w:rFonts w:ascii="Times New Roman" w:eastAsia="楷体" w:hAnsi="Times New Roman" w:hint="eastAsia"/>
          <w:color w:val="000000" w:themeColor="text1"/>
          <w:sz w:val="24"/>
          <w:szCs w:val="24"/>
        </w:rPr>
        <w:t>万人，较前值小幅下降。美元指数跌</w:t>
      </w:r>
      <w:r w:rsidRPr="00AF5EA0">
        <w:rPr>
          <w:rFonts w:ascii="Times New Roman" w:eastAsia="楷体" w:hAnsi="Times New Roman" w:hint="eastAsia"/>
          <w:color w:val="000000" w:themeColor="text1"/>
          <w:sz w:val="24"/>
          <w:szCs w:val="24"/>
        </w:rPr>
        <w:t>0.5%</w:t>
      </w:r>
      <w:r w:rsidRPr="00AF5EA0">
        <w:rPr>
          <w:rFonts w:ascii="Times New Roman" w:eastAsia="楷体" w:hAnsi="Times New Roman" w:hint="eastAsia"/>
          <w:color w:val="000000" w:themeColor="text1"/>
          <w:sz w:val="24"/>
          <w:szCs w:val="24"/>
        </w:rPr>
        <w:t>至</w:t>
      </w:r>
      <w:r w:rsidRPr="00AF5EA0">
        <w:rPr>
          <w:rFonts w:ascii="Times New Roman" w:eastAsia="楷体" w:hAnsi="Times New Roman" w:hint="eastAsia"/>
          <w:color w:val="000000" w:themeColor="text1"/>
          <w:sz w:val="24"/>
          <w:szCs w:val="24"/>
        </w:rPr>
        <w:t>101</w:t>
      </w:r>
      <w:r w:rsidRPr="00AF5EA0">
        <w:rPr>
          <w:rFonts w:ascii="Times New Roman" w:eastAsia="楷体" w:hAnsi="Times New Roman" w:hint="eastAsia"/>
          <w:color w:val="000000" w:themeColor="text1"/>
          <w:sz w:val="24"/>
          <w:szCs w:val="24"/>
        </w:rPr>
        <w:t>，外盘</w:t>
      </w:r>
      <w:r w:rsidRPr="00AF5EA0">
        <w:rPr>
          <w:rFonts w:ascii="Times New Roman" w:eastAsia="楷体" w:hAnsi="Times New Roman" w:hint="eastAsia"/>
          <w:color w:val="000000" w:themeColor="text1"/>
          <w:sz w:val="24"/>
          <w:szCs w:val="24"/>
        </w:rPr>
        <w:t>COMEX</w:t>
      </w:r>
      <w:r w:rsidRPr="00AF5EA0">
        <w:rPr>
          <w:rFonts w:ascii="Times New Roman" w:eastAsia="楷体" w:hAnsi="Times New Roman" w:hint="eastAsia"/>
          <w:color w:val="000000" w:themeColor="text1"/>
          <w:sz w:val="24"/>
          <w:szCs w:val="24"/>
        </w:rPr>
        <w:t>金价升至</w:t>
      </w:r>
      <w:r w:rsidRPr="00AF5EA0">
        <w:rPr>
          <w:rFonts w:ascii="Times New Roman" w:eastAsia="楷体" w:hAnsi="Times New Roman" w:hint="eastAsia"/>
          <w:color w:val="000000" w:themeColor="text1"/>
          <w:sz w:val="24"/>
          <w:szCs w:val="24"/>
        </w:rPr>
        <w:t>2050</w:t>
      </w:r>
      <w:r w:rsidRPr="00AF5EA0">
        <w:rPr>
          <w:rFonts w:ascii="Times New Roman" w:eastAsia="楷体" w:hAnsi="Times New Roman" w:hint="eastAsia"/>
          <w:color w:val="000000" w:themeColor="text1"/>
          <w:sz w:val="24"/>
          <w:szCs w:val="24"/>
        </w:rPr>
        <w:t>美元</w:t>
      </w:r>
      <w:r w:rsidRPr="00AF5EA0">
        <w:rPr>
          <w:rFonts w:ascii="Times New Roman" w:eastAsia="楷体" w:hAnsi="Times New Roman" w:hint="eastAsia"/>
          <w:color w:val="000000" w:themeColor="text1"/>
          <w:sz w:val="24"/>
          <w:szCs w:val="24"/>
        </w:rPr>
        <w:t>/</w:t>
      </w:r>
      <w:r w:rsidRPr="00AF5EA0">
        <w:rPr>
          <w:rFonts w:ascii="Times New Roman" w:eastAsia="楷体" w:hAnsi="Times New Roman" w:hint="eastAsia"/>
          <w:color w:val="000000" w:themeColor="text1"/>
          <w:sz w:val="24"/>
          <w:szCs w:val="24"/>
        </w:rPr>
        <w:t>盎司，沪金涨约</w:t>
      </w:r>
      <w:r w:rsidRPr="00AF5EA0">
        <w:rPr>
          <w:rFonts w:ascii="Times New Roman" w:eastAsia="楷体" w:hAnsi="Times New Roman" w:hint="eastAsia"/>
          <w:color w:val="000000" w:themeColor="text1"/>
          <w:sz w:val="24"/>
          <w:szCs w:val="24"/>
        </w:rPr>
        <w:t>1%</w:t>
      </w:r>
      <w:r w:rsidRPr="00AF5EA0">
        <w:rPr>
          <w:rFonts w:ascii="Times New Roman" w:eastAsia="楷体" w:hAnsi="Times New Roman" w:hint="eastAsia"/>
          <w:color w:val="000000" w:themeColor="text1"/>
          <w:sz w:val="24"/>
          <w:szCs w:val="24"/>
        </w:rPr>
        <w:t>，沪银涨近</w:t>
      </w:r>
      <w:r w:rsidRPr="00AF5EA0">
        <w:rPr>
          <w:rFonts w:ascii="Times New Roman" w:eastAsia="楷体" w:hAnsi="Times New Roman" w:hint="eastAsia"/>
          <w:color w:val="000000" w:themeColor="text1"/>
          <w:sz w:val="24"/>
          <w:szCs w:val="24"/>
        </w:rPr>
        <w:t>2%</w:t>
      </w:r>
      <w:r w:rsidRPr="00AF5EA0">
        <w:rPr>
          <w:rFonts w:ascii="Times New Roman" w:eastAsia="楷体" w:hAnsi="Times New Roman" w:hint="eastAsia"/>
          <w:color w:val="000000" w:themeColor="text1"/>
          <w:sz w:val="24"/>
          <w:szCs w:val="24"/>
        </w:rPr>
        <w:t>。美国生产端通胀下降、经济衰退的风险持续增加，海外市场偏鸽预期持续提振贵金属价格表现，建议沪金、沪银逢低做多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235859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2358600"/>
      <w:r>
        <w:rPr>
          <w:rFonts w:ascii="楷体" w:eastAsia="楷体" w:hAnsi="楷体" w:hint="eastAsia"/>
          <w:b/>
          <w:color w:val="000000" w:themeColor="text1"/>
          <w:sz w:val="24"/>
          <w:szCs w:val="24"/>
        </w:rPr>
        <w:t>螺纹钢：</w:t>
      </w:r>
      <w:bookmarkEnd w:id="15"/>
      <w:bookmarkEnd w:id="16"/>
      <w:r w:rsidR="00AF5EA0" w:rsidRPr="00AF5EA0">
        <w:rPr>
          <w:rFonts w:ascii="楷体" w:eastAsia="楷体" w:hAnsi="楷体" w:hint="eastAsia"/>
          <w:b/>
          <w:color w:val="000000" w:themeColor="text1"/>
          <w:sz w:val="24"/>
          <w:szCs w:val="24"/>
        </w:rPr>
        <w:t>阶段性企稳，承压震荡</w:t>
      </w:r>
      <w:bookmarkEnd w:id="17"/>
    </w:p>
    <w:p w:rsidR="003F56A5" w:rsidRDefault="00AF5EA0">
      <w:pPr>
        <w:ind w:leftChars="300" w:left="630"/>
        <w:rPr>
          <w:rFonts w:ascii="楷体" w:eastAsia="楷体" w:hAnsi="楷体"/>
          <w:color w:val="000000" w:themeColor="text1"/>
          <w:sz w:val="24"/>
          <w:szCs w:val="24"/>
        </w:rPr>
      </w:pPr>
      <w:r w:rsidRPr="00AF5EA0">
        <w:rPr>
          <w:rFonts w:ascii="楷体" w:eastAsia="楷体" w:hAnsi="楷体" w:hint="eastAsia"/>
          <w:color w:val="000000" w:themeColor="text1"/>
          <w:sz w:val="24"/>
          <w:szCs w:val="24"/>
        </w:rPr>
        <w:t>短期市场进入以价换量的状态，低价成交尚可，但上行动力不足。但整体经济复苏形势偏弱，产量压力犹在，远月存在限产预期，原料阶段性企稳下，盘面承压震荡，预计运行区间（3860,3990）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2358601"/>
      <w:r>
        <w:rPr>
          <w:rFonts w:ascii="楷体" w:eastAsia="楷体" w:hAnsi="楷体" w:hint="eastAsia"/>
          <w:b/>
          <w:color w:val="000000" w:themeColor="text1"/>
          <w:sz w:val="24"/>
          <w:szCs w:val="24"/>
        </w:rPr>
        <w:t>焦炭：</w:t>
      </w:r>
      <w:bookmarkEnd w:id="18"/>
      <w:bookmarkEnd w:id="19"/>
      <w:r w:rsidR="00AF5EA0" w:rsidRPr="00AF5EA0">
        <w:rPr>
          <w:rFonts w:ascii="楷体" w:eastAsia="楷体" w:hAnsi="楷体" w:hint="eastAsia"/>
          <w:b/>
          <w:color w:val="000000" w:themeColor="text1"/>
          <w:sz w:val="24"/>
          <w:szCs w:val="24"/>
        </w:rPr>
        <w:t>现货补跌中，震荡偏弱运行</w:t>
      </w:r>
      <w:bookmarkEnd w:id="20"/>
    </w:p>
    <w:p w:rsidR="003F56A5" w:rsidRDefault="00AF5EA0">
      <w:pPr>
        <w:ind w:leftChars="300" w:left="630"/>
        <w:rPr>
          <w:rFonts w:ascii="楷体" w:eastAsia="楷体" w:hAnsi="楷体"/>
          <w:color w:val="000000" w:themeColor="text1"/>
          <w:sz w:val="24"/>
          <w:szCs w:val="24"/>
        </w:rPr>
      </w:pPr>
      <w:r w:rsidRPr="00AF5EA0">
        <w:rPr>
          <w:rFonts w:ascii="楷体" w:eastAsia="楷体" w:hAnsi="楷体" w:hint="eastAsia"/>
          <w:color w:val="000000" w:themeColor="text1"/>
          <w:sz w:val="24"/>
          <w:szCs w:val="24"/>
        </w:rPr>
        <w:t>煤价跌幅较高，焦炭现货跌价预期较强，后续或持续下行，盘面估值较低下，情绪好转有所修复价差，但持续承压运行，短期09合约震荡区间（2320,2380）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2358602"/>
      <w:r>
        <w:rPr>
          <w:rFonts w:ascii="楷体" w:eastAsia="楷体" w:hAnsi="楷体" w:hint="eastAsia"/>
          <w:b/>
          <w:color w:val="000000" w:themeColor="text1"/>
          <w:sz w:val="24"/>
          <w:szCs w:val="24"/>
        </w:rPr>
        <w:t>焦煤：</w:t>
      </w:r>
      <w:r w:rsidR="00AF5EA0" w:rsidRPr="00AF5EA0">
        <w:rPr>
          <w:rFonts w:ascii="楷体" w:eastAsia="楷体" w:hAnsi="楷体" w:hint="eastAsia"/>
          <w:b/>
          <w:sz w:val="24"/>
          <w:szCs w:val="24"/>
        </w:rPr>
        <w:t>现货短暂偏稳，震荡偏弱运行</w:t>
      </w:r>
      <w:bookmarkEnd w:id="21"/>
    </w:p>
    <w:p w:rsidR="003F56A5" w:rsidRDefault="00AF5EA0">
      <w:pPr>
        <w:ind w:leftChars="300" w:left="630"/>
        <w:rPr>
          <w:rFonts w:ascii="楷体" w:eastAsia="楷体" w:hAnsi="楷体"/>
          <w:bCs/>
          <w:sz w:val="24"/>
          <w:szCs w:val="24"/>
        </w:rPr>
      </w:pPr>
      <w:r w:rsidRPr="00AF5EA0">
        <w:rPr>
          <w:rFonts w:ascii="楷体" w:eastAsia="楷体" w:hAnsi="楷体" w:hint="eastAsia"/>
          <w:sz w:val="24"/>
          <w:szCs w:val="24"/>
        </w:rPr>
        <w:t>焦煤现货处于低价有零星成交状态，蒙煤接近部分贸易商成本价，抵抗式下跌形势较为明确，短期现货偏稳，预计09合约偏弱震荡，参考区间（1500,1580）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2358603"/>
      <w:r>
        <w:rPr>
          <w:rFonts w:ascii="楷体" w:eastAsia="楷体" w:hAnsi="楷体" w:hint="eastAsia"/>
          <w:b/>
          <w:color w:val="000000" w:themeColor="text1"/>
          <w:sz w:val="24"/>
          <w:szCs w:val="24"/>
        </w:rPr>
        <w:t>铜：</w:t>
      </w:r>
      <w:bookmarkEnd w:id="22"/>
      <w:bookmarkEnd w:id="23"/>
      <w:r w:rsidR="00AF5EA0" w:rsidRPr="00AF5EA0">
        <w:rPr>
          <w:rFonts w:ascii="楷体" w:eastAsia="楷体" w:hAnsi="楷体" w:hint="eastAsia"/>
          <w:b/>
          <w:color w:val="000000" w:themeColor="text1"/>
          <w:sz w:val="24"/>
          <w:szCs w:val="24"/>
        </w:rPr>
        <w:t>维持高位震荡</w:t>
      </w:r>
      <w:bookmarkEnd w:id="24"/>
    </w:p>
    <w:p w:rsidR="00AF5EA0" w:rsidRPr="00AF5EA0" w:rsidRDefault="00AF5EA0" w:rsidP="00AF5EA0">
      <w:pPr>
        <w:ind w:leftChars="300" w:left="630"/>
        <w:rPr>
          <w:rFonts w:ascii="楷体" w:eastAsia="楷体" w:hAnsi="楷体" w:hint="eastAsia"/>
          <w:color w:val="000000" w:themeColor="text1"/>
          <w:sz w:val="24"/>
          <w:szCs w:val="24"/>
        </w:rPr>
      </w:pPr>
      <w:r w:rsidRPr="00AF5EA0">
        <w:rPr>
          <w:rFonts w:ascii="楷体" w:eastAsia="楷体" w:hAnsi="楷体" w:hint="eastAsia"/>
          <w:color w:val="000000" w:themeColor="text1"/>
          <w:sz w:val="24"/>
          <w:szCs w:val="24"/>
        </w:rPr>
        <w:t>(1)宏观：美国3月PPI同比增速降至2.7%，创两年多来最低水平，预期</w:t>
      </w:r>
      <w:r w:rsidRPr="00AF5EA0">
        <w:rPr>
          <w:rFonts w:ascii="楷体" w:eastAsia="楷体" w:hAnsi="楷体" w:hint="eastAsia"/>
          <w:color w:val="000000" w:themeColor="text1"/>
          <w:sz w:val="24"/>
          <w:szCs w:val="24"/>
        </w:rPr>
        <w:lastRenderedPageBreak/>
        <w:t>值为3%，前值为4.6% ；美国3月核心PPI同比增长3.4%，符合预期，前值为4.4%。</w:t>
      </w:r>
    </w:p>
    <w:p w:rsidR="00AF5EA0" w:rsidRPr="00AF5EA0" w:rsidRDefault="00AF5EA0" w:rsidP="00AF5EA0">
      <w:pPr>
        <w:ind w:leftChars="300" w:left="630"/>
        <w:rPr>
          <w:rFonts w:ascii="楷体" w:eastAsia="楷体" w:hAnsi="楷体" w:hint="eastAsia"/>
          <w:color w:val="000000" w:themeColor="text1"/>
          <w:sz w:val="24"/>
          <w:szCs w:val="24"/>
        </w:rPr>
      </w:pPr>
      <w:r w:rsidRPr="00AF5EA0">
        <w:rPr>
          <w:rFonts w:ascii="楷体" w:eastAsia="楷体" w:hAnsi="楷体" w:hint="eastAsia"/>
          <w:color w:val="000000" w:themeColor="text1"/>
          <w:sz w:val="24"/>
          <w:szCs w:val="24"/>
        </w:rPr>
        <w:t>(2)库存：4月13日，SHFE仓单库存65772吨，减351吨。LME仓单库存54425吨，减2375吨。</w:t>
      </w:r>
    </w:p>
    <w:p w:rsidR="00AF5EA0" w:rsidRPr="00AF5EA0" w:rsidRDefault="00AF5EA0" w:rsidP="00AF5EA0">
      <w:pPr>
        <w:ind w:leftChars="300" w:left="630"/>
        <w:rPr>
          <w:rFonts w:ascii="楷体" w:eastAsia="楷体" w:hAnsi="楷体" w:hint="eastAsia"/>
          <w:color w:val="000000" w:themeColor="text1"/>
          <w:sz w:val="24"/>
          <w:szCs w:val="24"/>
        </w:rPr>
      </w:pPr>
      <w:r w:rsidRPr="00AF5EA0">
        <w:rPr>
          <w:rFonts w:ascii="楷体" w:eastAsia="楷体" w:hAnsi="楷体" w:hint="eastAsia"/>
          <w:color w:val="000000" w:themeColor="text1"/>
          <w:sz w:val="24"/>
          <w:szCs w:val="24"/>
        </w:rPr>
        <w:t>(3)精废价差：4月13日，Mysteel精废价差2338，扩大220。目前价差在合理价差1393之上。</w:t>
      </w:r>
    </w:p>
    <w:p w:rsidR="00AF5EA0" w:rsidRPr="00AF5EA0" w:rsidRDefault="00AF5EA0" w:rsidP="00AF5EA0">
      <w:pPr>
        <w:ind w:leftChars="300" w:left="630"/>
        <w:rPr>
          <w:rFonts w:ascii="楷体" w:eastAsia="楷体" w:hAnsi="楷体"/>
          <w:color w:val="000000" w:themeColor="text1"/>
          <w:sz w:val="24"/>
          <w:szCs w:val="24"/>
        </w:rPr>
      </w:pPr>
    </w:p>
    <w:p w:rsidR="009A564D" w:rsidRPr="009A564D" w:rsidRDefault="00AF5EA0" w:rsidP="00AF5EA0">
      <w:pPr>
        <w:ind w:leftChars="300" w:left="630"/>
        <w:rPr>
          <w:rFonts w:ascii="楷体" w:eastAsia="楷体" w:hAnsi="楷体"/>
          <w:color w:val="000000" w:themeColor="text1"/>
          <w:sz w:val="24"/>
          <w:szCs w:val="24"/>
        </w:rPr>
      </w:pPr>
      <w:r w:rsidRPr="00AF5EA0">
        <w:rPr>
          <w:rFonts w:ascii="楷体" w:eastAsia="楷体" w:hAnsi="楷体" w:hint="eastAsia"/>
          <w:color w:val="000000" w:themeColor="text1"/>
          <w:sz w:val="24"/>
          <w:szCs w:val="24"/>
        </w:rPr>
        <w:t>综述：继CPI数据后，美国3月PPI亦低于预期，美元指数延续弱势，提振铜价，但美联储大概率仍会维持高利率政策来对抗通胀，这依然会限制铜价上方高度。国内3月出口数据表现强劲，整体情绪偏暖。当前铜价无明显矛盾，预计保持高位震荡。供需上，全球显性库存维持低位，LME持续去库，但矿端好转有明确信号。操作上，维持逢高空思路，波段交易</w:t>
      </w:r>
      <w:r w:rsidR="009A564D" w:rsidRPr="009A564D">
        <w:rPr>
          <w:rFonts w:ascii="楷体" w:eastAsia="楷体" w:hAnsi="楷体" w:hint="eastAsia"/>
          <w:color w:val="000000" w:themeColor="text1"/>
          <w:sz w:val="24"/>
          <w:szCs w:val="24"/>
        </w:rPr>
        <w:t>。</w:t>
      </w:r>
    </w:p>
    <w:p w:rsidR="009A564D" w:rsidRPr="009A564D" w:rsidRDefault="009A564D" w:rsidP="009A564D">
      <w:pPr>
        <w:ind w:leftChars="300" w:left="630"/>
        <w:rPr>
          <w:rFonts w:ascii="楷体" w:eastAsia="楷体" w:hAnsi="楷体"/>
          <w:color w:val="000000" w:themeColor="text1"/>
          <w:sz w:val="24"/>
          <w:szCs w:val="24"/>
        </w:rPr>
      </w:pPr>
    </w:p>
    <w:p w:rsidR="00A71A7E" w:rsidRPr="00A71A7E" w:rsidRDefault="009A564D" w:rsidP="009A564D">
      <w:pPr>
        <w:ind w:leftChars="300" w:left="630"/>
        <w:rPr>
          <w:rFonts w:ascii="楷体" w:eastAsia="楷体" w:hAnsi="楷体"/>
          <w:color w:val="000000" w:themeColor="text1"/>
          <w:sz w:val="24"/>
          <w:szCs w:val="24"/>
        </w:rPr>
      </w:pPr>
      <w:r w:rsidRPr="009A564D">
        <w:rPr>
          <w:rFonts w:ascii="楷体" w:eastAsia="楷体" w:hAnsi="楷体" w:hint="eastAsia"/>
          <w:color w:val="000000" w:themeColor="text1"/>
          <w:sz w:val="24"/>
          <w:szCs w:val="24"/>
        </w:rPr>
        <w:t>综述：美国3月通胀数据略低于预期，美元指数延续弱势，提振铜价，但美联储大概率仍会维持高利率政策来对抗通胀，这依然会限制铜价上方高度。国内CPI及PPI两个数据的表现均低于市场预期值。市场对于国内政策预期进一步强化，整体情绪偏暖。当前铜价无明显矛盾，预计保持高位震荡。供需上，全球显性库存维持低位，LME持续去库，但矿端好转有明确信号。短期波动区间参考67000-70000元</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2358604"/>
      <w:r>
        <w:rPr>
          <w:rFonts w:ascii="楷体" w:eastAsia="楷体" w:hAnsi="楷体" w:hint="eastAsia"/>
          <w:b/>
          <w:color w:val="000000" w:themeColor="text1"/>
          <w:sz w:val="24"/>
          <w:szCs w:val="24"/>
        </w:rPr>
        <w:t>铝：</w:t>
      </w:r>
      <w:bookmarkEnd w:id="25"/>
      <w:bookmarkEnd w:id="26"/>
      <w:r w:rsidR="009A564D" w:rsidRPr="009A564D">
        <w:rPr>
          <w:rFonts w:ascii="楷体" w:eastAsia="楷体" w:hAnsi="楷体" w:hint="eastAsia"/>
          <w:b/>
          <w:color w:val="000000" w:themeColor="text1"/>
          <w:sz w:val="24"/>
          <w:szCs w:val="24"/>
        </w:rPr>
        <w:t>美国通胀走弱，铝价有小幅反弹机会</w:t>
      </w:r>
      <w:bookmarkEnd w:id="27"/>
    </w:p>
    <w:p w:rsidR="003F56A5" w:rsidRDefault="009A564D" w:rsidP="00CF7A9A">
      <w:pPr>
        <w:ind w:leftChars="300" w:left="630"/>
        <w:rPr>
          <w:rFonts w:ascii="楷体" w:eastAsia="楷体" w:hAnsi="楷体"/>
          <w:color w:val="000000" w:themeColor="text1"/>
          <w:sz w:val="24"/>
          <w:szCs w:val="24"/>
        </w:rPr>
      </w:pPr>
      <w:r w:rsidRPr="009A564D">
        <w:rPr>
          <w:rFonts w:ascii="楷体" w:eastAsia="楷体" w:hAnsi="楷体" w:hint="eastAsia"/>
          <w:color w:val="000000" w:themeColor="text1"/>
          <w:sz w:val="24"/>
          <w:szCs w:val="24"/>
        </w:rPr>
        <w:t>美国3月CP I数据表现高于市场预期，美元震荡走弱，提振有色价格，国内谨防通缩，政策宽松持续向好。供应面来看，云南干旱延续难以复产，四川、贵州、广西有复产产能补充，4月电解铝产量维持高位，交易所库存低位去库，社库去库但增速放缓，铝棒去库受阻。需求端依赖内需拉动，终端消费有改善但未有超预期表现，正处旺季需求有刚性支撑。关注4月旺季结束及后续西南丰水带来的产能增量对铝价形成的压力，短期价格仍有偏强支撑，观点谨慎看多</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2358605"/>
      <w:r>
        <w:rPr>
          <w:rFonts w:ascii="楷体" w:eastAsia="楷体" w:hAnsi="楷体" w:hint="eastAsia"/>
          <w:b/>
          <w:color w:val="000000" w:themeColor="text1"/>
          <w:sz w:val="24"/>
          <w:szCs w:val="24"/>
        </w:rPr>
        <w:t>锌：</w:t>
      </w:r>
      <w:r w:rsidR="009A564D" w:rsidRPr="009A564D">
        <w:rPr>
          <w:rFonts w:ascii="楷体" w:eastAsia="楷体" w:hAnsi="楷体" w:hint="eastAsia"/>
          <w:b/>
          <w:color w:val="000000" w:themeColor="text1"/>
          <w:sz w:val="24"/>
          <w:szCs w:val="24"/>
        </w:rPr>
        <w:t>宏观情绪走缓，基本面支撑偏弱</w:t>
      </w:r>
      <w:bookmarkEnd w:id="28"/>
    </w:p>
    <w:p w:rsidR="003F56A5" w:rsidRDefault="009A564D" w:rsidP="000B0648">
      <w:pPr>
        <w:ind w:leftChars="300" w:left="630"/>
        <w:rPr>
          <w:rFonts w:ascii="楷体" w:eastAsia="楷体" w:hAnsi="楷体"/>
          <w:color w:val="000000" w:themeColor="text1"/>
          <w:sz w:val="24"/>
          <w:szCs w:val="24"/>
        </w:rPr>
      </w:pPr>
      <w:r w:rsidRPr="009A564D">
        <w:rPr>
          <w:rFonts w:ascii="楷体" w:eastAsia="楷体" w:hAnsi="楷体" w:hint="eastAsia"/>
          <w:color w:val="000000" w:themeColor="text1"/>
          <w:sz w:val="24"/>
          <w:szCs w:val="24"/>
        </w:rPr>
        <w:t>美国CPI数据走弱，美元震荡下行，国内3月新增社融数据同比走增，国内政策支持力度强劲，整体来看宏观情绪回暖。基本面来看，海外有较强供应复产预期，国内上中游维持高产，锌矿进口有走弱迹象，冶炼利润正在持续挤出。需求主要依赖内需支撑，地产、基建弱修复，整体表现为供强于需。锌价震荡偏弱，仍面临较大下行压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2358606"/>
      <w:r>
        <w:rPr>
          <w:rFonts w:ascii="楷体" w:eastAsia="楷体" w:hAnsi="楷体" w:hint="eastAsia"/>
          <w:b/>
          <w:color w:val="000000" w:themeColor="text1"/>
          <w:sz w:val="24"/>
          <w:szCs w:val="24"/>
        </w:rPr>
        <w:t>镍：</w:t>
      </w:r>
      <w:r w:rsidR="009A564D" w:rsidRPr="009A564D">
        <w:rPr>
          <w:rFonts w:ascii="楷体" w:eastAsia="楷体" w:hAnsi="楷体" w:hint="eastAsia"/>
          <w:b/>
          <w:color w:val="000000" w:themeColor="text1"/>
          <w:sz w:val="24"/>
          <w:szCs w:val="24"/>
        </w:rPr>
        <w:t>反弹后高空思路不变</w:t>
      </w:r>
      <w:bookmarkEnd w:id="29"/>
    </w:p>
    <w:p w:rsidR="003F56A5" w:rsidRDefault="009A564D">
      <w:pPr>
        <w:ind w:leftChars="300" w:left="630"/>
        <w:rPr>
          <w:rFonts w:ascii="楷体" w:eastAsia="楷体" w:hAnsi="楷体"/>
          <w:color w:val="000000" w:themeColor="text1"/>
          <w:sz w:val="24"/>
          <w:szCs w:val="24"/>
        </w:rPr>
      </w:pPr>
      <w:r w:rsidRPr="009A564D">
        <w:rPr>
          <w:rFonts w:ascii="楷体" w:eastAsia="楷体" w:hAnsi="楷体" w:hint="eastAsia"/>
          <w:color w:val="000000" w:themeColor="text1"/>
          <w:sz w:val="24"/>
          <w:szCs w:val="24"/>
        </w:rPr>
        <w:t>当前镍基本面依旧偏弱，精炼镍供应过剩更加明晰，不锈钢厂减产预期增加，新能源需求维持弱势，整体对镍价支撑因素较为有限。不过库存继续减少，空单挤兑风险上升，对镍价构成一定的利好。预计短期震荡运行，波动区间17-18.6万。操作上仍建议反弹后逢高空</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A3F85" w:rsidRDefault="0079299D" w:rsidP="008B13D2">
      <w:pPr>
        <w:ind w:leftChars="200" w:left="420"/>
        <w:outlineLvl w:val="1"/>
        <w:rPr>
          <w:rFonts w:ascii="楷体" w:eastAsia="楷体" w:hAnsi="楷体"/>
          <w:b/>
          <w:color w:val="000000" w:themeColor="text1"/>
          <w:sz w:val="24"/>
          <w:szCs w:val="24"/>
        </w:rPr>
      </w:pPr>
      <w:bookmarkStart w:id="30" w:name="_Toc132358607"/>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9A564D" w:rsidRPr="009A564D">
        <w:rPr>
          <w:rFonts w:ascii="楷体" w:eastAsia="楷体" w:hAnsi="楷体" w:hint="eastAsia"/>
          <w:b/>
          <w:color w:val="000000" w:themeColor="text1"/>
          <w:sz w:val="24"/>
          <w:szCs w:val="24"/>
        </w:rPr>
        <w:t>铅价区间震荡整理</w:t>
      </w:r>
      <w:bookmarkEnd w:id="30"/>
    </w:p>
    <w:p w:rsidR="008B13D2" w:rsidRPr="008B13D2" w:rsidRDefault="009A564D" w:rsidP="008B13D2">
      <w:pPr>
        <w:ind w:leftChars="300" w:left="630"/>
        <w:rPr>
          <w:rFonts w:ascii="楷体" w:eastAsia="楷体" w:hAnsi="楷体"/>
          <w:color w:val="000000" w:themeColor="text1"/>
          <w:sz w:val="24"/>
          <w:szCs w:val="24"/>
        </w:rPr>
      </w:pPr>
      <w:r w:rsidRPr="009A564D">
        <w:rPr>
          <w:rFonts w:ascii="楷体" w:eastAsia="楷体" w:hAnsi="楷体" w:hint="eastAsia"/>
          <w:color w:val="000000" w:themeColor="text1"/>
          <w:sz w:val="24"/>
          <w:szCs w:val="24"/>
        </w:rPr>
        <w:t>美国通胀数据走弱但通胀粘性仍较高，海外经济衰退仍存，国内3月金融</w:t>
      </w:r>
      <w:r w:rsidRPr="009A564D">
        <w:rPr>
          <w:rFonts w:ascii="楷体" w:eastAsia="楷体" w:hAnsi="楷体" w:hint="eastAsia"/>
          <w:color w:val="000000" w:themeColor="text1"/>
          <w:sz w:val="24"/>
          <w:szCs w:val="24"/>
        </w:rPr>
        <w:lastRenderedPageBreak/>
        <w:t>数据同比走增，市场信心提振，宏观情绪回暖。原生铅维持高产但产能利用率走低，冶炼厂开工积极性走弱，废旧电瓶货源偏紧价格挺立，再生铅利润逐步修复，冶炼厂多有检修技改计划，已有多个冶炼厂步入停产检修，淡季之下需求走弱，铅锭显性库存维持低位，社库去库。终端订单消费平淡，铅蓄电池企业开工率下滑，部分企业成品库存高位。多空交织，铅价震荡为主，波动区间15000-15500</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2358608"/>
      <w:r>
        <w:rPr>
          <w:rFonts w:ascii="楷体" w:eastAsia="楷体" w:hAnsi="楷体" w:hint="eastAsia"/>
          <w:b/>
          <w:color w:val="000000" w:themeColor="text1"/>
          <w:sz w:val="24"/>
          <w:szCs w:val="24"/>
        </w:rPr>
        <w:t>不锈钢：</w:t>
      </w:r>
      <w:r w:rsidR="00AF5EA0" w:rsidRPr="00AF5EA0">
        <w:rPr>
          <w:rFonts w:ascii="楷体" w:eastAsia="楷体" w:hAnsi="楷体" w:hint="eastAsia"/>
          <w:b/>
          <w:color w:val="000000" w:themeColor="text1"/>
          <w:sz w:val="24"/>
          <w:szCs w:val="24"/>
        </w:rPr>
        <w:t>社库继续去化，助力不锈钢多头情绪</w:t>
      </w:r>
      <w:bookmarkEnd w:id="31"/>
    </w:p>
    <w:p w:rsidR="003F56A5" w:rsidRDefault="00AF5EA0">
      <w:pPr>
        <w:ind w:leftChars="300" w:left="630"/>
        <w:rPr>
          <w:rFonts w:ascii="楷体" w:eastAsia="楷体" w:hAnsi="楷体"/>
          <w:color w:val="000000" w:themeColor="text1"/>
          <w:sz w:val="24"/>
          <w:szCs w:val="24"/>
        </w:rPr>
      </w:pPr>
      <w:r w:rsidRPr="00AF5EA0">
        <w:rPr>
          <w:rFonts w:ascii="楷体" w:eastAsia="楷体" w:hAnsi="楷体" w:hint="eastAsia"/>
          <w:color w:val="000000" w:themeColor="text1"/>
          <w:sz w:val="24"/>
          <w:szCs w:val="24"/>
        </w:rPr>
        <w:t>本周不锈钢社会库存保持明显去化态势，继续助力多头情绪，短期价格仍有一定反弹动能，关注上方压力位15600-15700。考虑前期钢厂实际减产幅度不及预期，供应端仍面临较大压力，且原料方面镍铁持续过剩，虽暂时企稳，但上涨有限，这将限制不锈钢价反弹的空间，操作上建议保持谨慎</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2358609"/>
      <w:r>
        <w:rPr>
          <w:rFonts w:ascii="楷体" w:eastAsia="楷体" w:hAnsi="楷体" w:hint="eastAsia"/>
          <w:b/>
          <w:color w:val="000000" w:themeColor="text1"/>
          <w:sz w:val="24"/>
          <w:szCs w:val="24"/>
        </w:rPr>
        <w:t>工业硅：</w:t>
      </w:r>
      <w:r w:rsidR="00AF5EA0" w:rsidRPr="00AF5EA0">
        <w:rPr>
          <w:rFonts w:ascii="楷体" w:eastAsia="楷体" w:hAnsi="楷体" w:hint="eastAsia"/>
          <w:b/>
          <w:sz w:val="24"/>
          <w:szCs w:val="24"/>
        </w:rPr>
        <w:t>库存去化不明显，短期市场或仍承压运行</w:t>
      </w:r>
      <w:bookmarkEnd w:id="32"/>
    </w:p>
    <w:p w:rsidR="003F56A5" w:rsidRDefault="00AF5EA0" w:rsidP="007103A5">
      <w:pPr>
        <w:ind w:leftChars="300" w:left="630"/>
        <w:rPr>
          <w:rFonts w:ascii="楷体" w:eastAsia="楷体" w:hAnsi="楷体"/>
          <w:sz w:val="24"/>
          <w:szCs w:val="24"/>
        </w:rPr>
      </w:pPr>
      <w:r w:rsidRPr="00AF5EA0">
        <w:rPr>
          <w:rFonts w:ascii="楷体" w:eastAsia="楷体" w:hAnsi="楷体" w:hint="eastAsia"/>
          <w:sz w:val="24"/>
          <w:szCs w:val="24"/>
        </w:rPr>
        <w:t>4月13日，Si2308主力合约整体承压运行，收盘价15065元/吨，较上一收盘价涨跌幅-0.59%。从往年来看，西南地区步入枯水期电价较高，较多选择停炉，一般行业库存开始不断去库。但目前北方工业硅产能占比不断提高，在当地开工积极性高，叠加新疆、内蒙新建产能逐步投产，导致枯水期去库不明显，整体行业库存高位运行。综合而言，供需格局并无明显改善，库存压力仍是阻碍市场大幅反弹因素，预计短期市场仍将承压运行</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235861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5" w:name="_Toc132358611"/>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AF5EA0" w:rsidRPr="00AF5EA0">
        <w:rPr>
          <w:rFonts w:ascii="Times New Roman" w:eastAsia="楷体" w:hAnsi="Times New Roman" w:hint="eastAsia"/>
          <w:b/>
          <w:color w:val="000000" w:themeColor="text1"/>
          <w:sz w:val="24"/>
          <w:szCs w:val="24"/>
        </w:rPr>
        <w:t>天胶价格偏弱整理</w:t>
      </w:r>
      <w:r w:rsidR="00AF5EA0" w:rsidRPr="00AF5EA0">
        <w:rPr>
          <w:rFonts w:ascii="Times New Roman" w:eastAsia="楷体" w:hAnsi="Times New Roman" w:hint="eastAsia"/>
          <w:b/>
          <w:color w:val="000000" w:themeColor="text1"/>
          <w:sz w:val="24"/>
          <w:szCs w:val="24"/>
        </w:rPr>
        <w:t xml:space="preserve"> </w:t>
      </w:r>
      <w:r w:rsidR="00AF5EA0" w:rsidRPr="00AF5EA0">
        <w:rPr>
          <w:rFonts w:ascii="Times New Roman" w:eastAsia="楷体" w:hAnsi="Times New Roman" w:hint="eastAsia"/>
          <w:b/>
          <w:color w:val="000000" w:themeColor="text1"/>
          <w:sz w:val="24"/>
          <w:szCs w:val="24"/>
        </w:rPr>
        <w:t>高库存问题仍待改善</w:t>
      </w:r>
      <w:bookmarkEnd w:id="35"/>
    </w:p>
    <w:p w:rsidR="003F56A5" w:rsidRDefault="00AF5EA0">
      <w:pPr>
        <w:ind w:leftChars="300" w:left="630"/>
        <w:rPr>
          <w:rFonts w:ascii="楷体" w:eastAsia="楷体" w:hAnsi="楷体"/>
          <w:sz w:val="24"/>
          <w:szCs w:val="24"/>
        </w:rPr>
      </w:pPr>
      <w:r w:rsidRPr="00AF5EA0">
        <w:rPr>
          <w:rFonts w:ascii="楷体" w:eastAsia="楷体" w:hAnsi="楷体" w:hint="eastAsia"/>
          <w:sz w:val="24"/>
          <w:szCs w:val="24"/>
        </w:rPr>
        <w:t>点评：昨日橡胶偏弱整理。目前制约橡胶上行的主要因素仍然围绕青岛港口库存高位、拐点迟迟未出现有关。尽管近期下游轮胎企业开工并不算差，但橡胶港口库存依旧高企，与前期欧美订单推迟，导致许多低价原料货源进入国内，近期集中到港有关。目前，天胶现货及原料价格已跌至成本线附近，随着市场恐慌情绪逐渐缓解，以及云南部分地区胶树因白粉病延迟开割给予价格底部支撑，天胶继续下跌的空间缩小。具体来看，供应方面，国内产区及泰国主产区四月中下旬随着开割季到来，季节性供应增加。下游轮胎方面，国内乘用车轮胎替换需求来临，目前部分畅销型号缺货现象仍未缓解，排产保持高位运行状态，全钢胎上周则逆势增长，或与重卡销量与国内物流运输情况好转有关。但进入4月份，随着渠道订单逐步到位，预计短期内企业产能利用率将在高位持稳运行。终端汽车方面，2月车市景气度有所提升，但从1-2月份累计数据来看同比去年仍有所下滑，Q1国内汽车市场承压。但3月份以来湖北等地政企联合开启汽车“价格战”，预计3-4月汽车市场延续增长态势，短期对橡胶有一定利好；重卡销量方面，3月预估为9.7万辆，同环比继续明显提升，给盘面带来一定利好和信心。综合来看，后续橡胶能否“腾飞”唯有等天胶港口库存出现拐点，印证橡胶实际需求转好。从RU目前基本面来看，天胶在成本支撑下底部较为坚实，但4月下旬后供应有增加预期，终端汽车、重卡产销景气度有所回升，</w:t>
      </w:r>
      <w:r w:rsidRPr="00AF5EA0">
        <w:rPr>
          <w:rFonts w:ascii="楷体" w:eastAsia="楷体" w:hAnsi="楷体" w:hint="eastAsia"/>
          <w:sz w:val="24"/>
          <w:szCs w:val="24"/>
        </w:rPr>
        <w:lastRenderedPageBreak/>
        <w:t>同时下游轮胎厂在订单存缺口下对原料的补货预期仍存。此外，货运景气度和运价指数等指标显示商品的公路货运行业亦出现转好迹象，利好橡胶主要下游如重卡轮胎替换和重型卡车的销量。因此投资者不应过分看空橡胶。短期天胶在港口库存拐点不明朗的情况下继续上涨稍显乏力，但继续下行空间较为有限。二季度待RU在国内汽车产量继续回暖、货运需求继续恢复下仍有上涨动力</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2358612"/>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AF5EA0" w:rsidRPr="00AF5EA0">
        <w:rPr>
          <w:rFonts w:ascii="楷体" w:eastAsia="楷体" w:hAnsi="楷体" w:hint="eastAsia"/>
          <w:b/>
          <w:color w:val="000000" w:themeColor="text1"/>
          <w:sz w:val="24"/>
          <w:szCs w:val="24"/>
        </w:rPr>
        <w:t>油强及PX检修叠加调油需求继续给予支撑</w:t>
      </w:r>
      <w:bookmarkEnd w:id="36"/>
      <w:r>
        <w:rPr>
          <w:rFonts w:ascii="楷体" w:eastAsia="楷体" w:hAnsi="楷体" w:hint="eastAsia"/>
          <w:b/>
          <w:color w:val="000000" w:themeColor="text1"/>
          <w:sz w:val="24"/>
          <w:szCs w:val="24"/>
        </w:rPr>
        <w:t xml:space="preserve"> </w:t>
      </w:r>
    </w:p>
    <w:p w:rsidR="003F56A5" w:rsidRDefault="00AF5EA0" w:rsidP="008E3B84">
      <w:pPr>
        <w:ind w:leftChars="300" w:left="630"/>
        <w:rPr>
          <w:rFonts w:ascii="楷体" w:eastAsia="楷体" w:hAnsi="楷体"/>
          <w:color w:val="000000" w:themeColor="text1"/>
          <w:sz w:val="24"/>
          <w:szCs w:val="24"/>
        </w:rPr>
      </w:pPr>
      <w:r w:rsidRPr="00AF5EA0">
        <w:rPr>
          <w:rFonts w:ascii="楷体" w:eastAsia="楷体" w:hAnsi="楷体" w:hint="eastAsia"/>
          <w:color w:val="000000" w:themeColor="text1"/>
          <w:sz w:val="24"/>
          <w:szCs w:val="24"/>
        </w:rPr>
        <w:t>PX方面，二季度为 PX 传统检修季及调油逻辑仍存，预估后市 PX 装置开工率提升有限。PX 调油需求叠加检修季，对 PTA 支撑仍较强。供给方面，仪征64万吨装置恢复，蓬威90万吨PTA装置重启，东营威联250万吨PTA装置停车，仪征35万吨PTA装置停车，个别装置负荷略有调整，至周四PTA负荷调整至80.3%。随着PX价格上涨后，PTA加工费再次压缩至400元/吨附近。库存方面，本周PTA社会库存量约在270.32万吨，环比-2.05万吨。需求方面，本周聚酯装置减产检修为主，也有局部工厂负荷微调，综合来看聚酯负荷有所下滑。截至4.13初步核算国内大陆地区聚酯负荷在87.6%，聚酯开工小幅下滑。随着新订单减少，4月份后负荷逐步会有下行压力。但预估5月之前聚酯开工维持85%附近仍可驱动PTA去库。从聚酯终端需求来看，下游跟涨乏力下产业基本面转弱，负反馈逐步开始启动。展望后市，OPEC+减产及美国收储，原油趋势下行的风险已经解除，对于下游的成本支撑有所加固。虽下游需求出现趋弱迹象，但终端厂商需求弹性较大且主要受成本端逻辑主导。短期内油价偏强、聚酯大厂暂未大幅减产动作，PTA仍将维持强势格局，关注TA09 低多机会。仅供参考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2358613"/>
      <w:r>
        <w:rPr>
          <w:rFonts w:ascii="楷体" w:eastAsia="楷体" w:hAnsi="楷体" w:hint="eastAsia"/>
          <w:b/>
          <w:color w:val="000000" w:themeColor="text1"/>
          <w:sz w:val="24"/>
          <w:szCs w:val="24"/>
        </w:rPr>
        <w:t>PVC：</w:t>
      </w:r>
      <w:r w:rsidR="00A71A7E" w:rsidRPr="00A71A7E">
        <w:rPr>
          <w:rFonts w:ascii="楷体" w:eastAsia="楷体" w:hAnsi="楷体" w:hint="eastAsia"/>
          <w:b/>
          <w:color w:val="000000" w:themeColor="text1"/>
          <w:sz w:val="24"/>
          <w:szCs w:val="24"/>
        </w:rPr>
        <w:t>春检在即供需改善 关注V低多机会</w:t>
      </w:r>
      <w:bookmarkEnd w:id="37"/>
    </w:p>
    <w:p w:rsidR="003F56A5" w:rsidRDefault="00A71A7E">
      <w:pPr>
        <w:ind w:leftChars="300" w:left="630"/>
        <w:rPr>
          <w:rFonts w:ascii="楷体" w:eastAsia="楷体" w:hAnsi="楷体"/>
          <w:color w:val="000000" w:themeColor="text1"/>
          <w:sz w:val="24"/>
          <w:szCs w:val="24"/>
        </w:rPr>
      </w:pPr>
      <w:r w:rsidRPr="00A71A7E">
        <w:rPr>
          <w:rFonts w:ascii="楷体" w:eastAsia="楷体" w:hAnsi="楷体" w:hint="eastAsia"/>
          <w:color w:val="000000" w:themeColor="text1"/>
          <w:sz w:val="24"/>
          <w:szCs w:val="24"/>
        </w:rPr>
        <w:t>本周国内PVC行业开工负荷率继续下降，据卓创资讯数据显示，本周PVC整体开工负荷率75.83%，环比下降1.31%；其中电石法PVC开工负荷率73.02%，环比下降1.74%；乙烯法PVC开工负荷率85.42%，环比增加0.12%。库存方面，需求恢复至旺季，库存先增后降。综合来看，PVC预估生产利润长期亏损带来的负反馈及即将到来的春检等因素影响，供应有缩量预期。需求端尚处在季节性旺季，进入4月国内建筑行业也将有所复苏，PVC下游制品企业开工有进一步提升预期。从库存的季节性规律来看，近期社库连续去库且去库幅度较大，装置春检开启后有望延续去库态势。国内地产利好政策仍在，中线消费回暖仍存期待，PVC可考虑逢低加多，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2358614"/>
      <w:r>
        <w:rPr>
          <w:rFonts w:ascii="楷体" w:eastAsia="楷体" w:hAnsi="楷体" w:hint="eastAsia"/>
          <w:b/>
          <w:color w:val="000000" w:themeColor="text1"/>
          <w:sz w:val="24"/>
          <w:szCs w:val="24"/>
        </w:rPr>
        <w:t>聚烯烃：</w:t>
      </w:r>
      <w:r w:rsidR="009A564D" w:rsidRPr="009A564D">
        <w:rPr>
          <w:rFonts w:ascii="楷体" w:eastAsia="楷体" w:hAnsi="楷体" w:hint="eastAsia"/>
          <w:b/>
          <w:color w:val="000000" w:themeColor="text1"/>
          <w:sz w:val="24"/>
          <w:szCs w:val="24"/>
        </w:rPr>
        <w:t>供需双减下 聚烯烃或窄幅整理为主</w:t>
      </w:r>
      <w:bookmarkEnd w:id="38"/>
    </w:p>
    <w:p w:rsidR="003F56A5" w:rsidRDefault="009A564D">
      <w:pPr>
        <w:ind w:leftChars="300" w:left="630"/>
        <w:rPr>
          <w:rFonts w:ascii="楷体" w:eastAsia="楷体" w:hAnsi="楷体"/>
          <w:bCs/>
          <w:sz w:val="24"/>
          <w:szCs w:val="24"/>
        </w:rPr>
      </w:pPr>
      <w:r w:rsidRPr="009A564D">
        <w:rPr>
          <w:rFonts w:ascii="楷体" w:eastAsia="楷体" w:hAnsi="楷体" w:hint="eastAsia"/>
          <w:color w:val="000000" w:themeColor="text1"/>
          <w:sz w:val="24"/>
          <w:szCs w:val="24"/>
        </w:rPr>
        <w:t>近期聚烯烃窄幅波动。库存方面，上周五国内PE库存环比3月31日增加8.37%，其中主要生产环节PE库存环比增加17.68%，PE样本港口库存环比增加1.85%，样本贸易企业库存环比增加0.35%。上周五国内PP库存环比3月31日上升17.61%。其中主要生产环节PP库存上升、贸易环节库存、港口库存均有下降。短期聚烯烃去库节奏放缓。成本方面，美国数据显示通胀降温刺激了人们对美联储越来越接近结束其加息周期的希望，并缓解了美国原油库存小幅增加的影响，国际油价继续强劲上涨，WTI涨至五个月来最高。目前油制PE利润大约为-239元/吨，油制PP利润大约为-</w:t>
      </w:r>
      <w:r w:rsidRPr="009A564D">
        <w:rPr>
          <w:rFonts w:ascii="楷体" w:eastAsia="楷体" w:hAnsi="楷体" w:hint="eastAsia"/>
          <w:color w:val="000000" w:themeColor="text1"/>
          <w:sz w:val="24"/>
          <w:szCs w:val="24"/>
        </w:rPr>
        <w:lastRenderedPageBreak/>
        <w:t>1211.28元/吨，目前利润有所下降；需求方面，PE下游方面，农膜整体需求趋淡，棚膜工厂陆续停机检修，地膜生产进入收尾阶段，整体开工继续下滑。PP方面，BOPP整体成交一般，部分企业报价下调，实际成交注重商谈，整体量较上一交易日减少，当前BOPP企业未交付订单多数在7天内，部分至4月中下旬。综合来看，PE方面，原油成本端延续上行，对聚乙烯支撑力度增强；供应方面，前期检修装置陆续开车，供应压力仍存；需求方面，下游需求跟进放缓，工厂逢低补库，观望态度浓厚。预计今日 聚乙烯价格窄幅震荡为主。PP方面，油价高位波动，成本面对市场略有支撑。期货虽小幅走强，但对市场支撑有限，贸易商出货依然缓慢，中间环节库存将维持高位震荡。4月检修企业集中，供应端缩量，但需求按需采购增量有限，供需双减的格局下价格难给出明确方向，预计今日 PP市场延续震荡运行</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2358615"/>
      <w:r>
        <w:rPr>
          <w:rFonts w:ascii="楷体" w:eastAsia="楷体" w:hAnsi="楷体" w:hint="eastAsia"/>
          <w:b/>
          <w:color w:val="000000" w:themeColor="text1"/>
          <w:sz w:val="24"/>
          <w:szCs w:val="24"/>
        </w:rPr>
        <w:t>MEG：</w:t>
      </w:r>
      <w:r w:rsidR="00AF5EA0" w:rsidRPr="00AF5EA0">
        <w:rPr>
          <w:rFonts w:ascii="楷体" w:eastAsia="楷体" w:hAnsi="楷体" w:hint="eastAsia"/>
          <w:b/>
          <w:color w:val="000000" w:themeColor="text1"/>
          <w:sz w:val="24"/>
          <w:szCs w:val="24"/>
        </w:rPr>
        <w:t>4月检修及进口有限供需结构改善 09偏多配</w:t>
      </w:r>
      <w:bookmarkEnd w:id="39"/>
    </w:p>
    <w:p w:rsidR="003F56A5" w:rsidRDefault="00AF5EA0" w:rsidP="00E45000">
      <w:pPr>
        <w:ind w:leftChars="300" w:left="630"/>
        <w:rPr>
          <w:rFonts w:ascii="楷体" w:eastAsia="楷体" w:hAnsi="楷体"/>
          <w:color w:val="000000" w:themeColor="text1"/>
          <w:sz w:val="24"/>
          <w:szCs w:val="24"/>
        </w:rPr>
      </w:pPr>
      <w:r w:rsidRPr="00AF5EA0">
        <w:rPr>
          <w:rFonts w:ascii="楷体" w:eastAsia="楷体" w:hAnsi="楷体" w:hint="eastAsia"/>
          <w:color w:val="000000" w:themeColor="text1"/>
          <w:sz w:val="24"/>
          <w:szCs w:val="24"/>
        </w:rPr>
        <w:t>供需情况，4.10 华东主港地区MEG港口库存约108.2万吨附近，环比上期减少4.1万吨。4月10日至4月16日，张家港到货数量约为 4.4万吨，太仓码头到货数量约为4.7万吨，宁波到货数量约为1.4万吨，上海到船数量约为 0 万吨，主港计划到货总数为 10.5万吨。截至4月13日，中国大陆地区乙二醇整体开工负荷在56.20%（+1.02%），其中煤制乙二醇开工负荷在55.42%（+3.61%）。近期广汇、天业等装置有提负计划，合成气制负荷还有一定提升空间。 进口方面来看，预估4月沙特等外盘货源到港量不多。聚酯需求端来看，截止4.13初步核算国内大陆地区聚酯负荷在87.6%。本周江浙加弹综合开工率65%(-6%)，江浙织机综合开工率65%(-6%），江浙印染综合开工率75%（-2%），织造环节新订单氛围持续偏弱，原料价格高企的情况下企业缺乏生产积极性。综合来看，虽成本端煤价大幅下跌，但煤制乙二醇效益修复有限。进入4月份乙二醇供给端多套大装置检修如恒力石化、浙石化1#、海南炼化等，且国际供应收紧，供应边际有缩量预期。乙二醇阶段性供需矛盾缓和，关注后期EG 09 低位加多机会。仅供参考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2358616"/>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AF5EA0" w:rsidRPr="00AF5EA0">
        <w:rPr>
          <w:rFonts w:ascii="楷体" w:eastAsia="楷体" w:hAnsi="楷体" w:hint="eastAsia"/>
          <w:b/>
          <w:color w:val="000000" w:themeColor="text1"/>
          <w:sz w:val="24"/>
          <w:szCs w:val="24"/>
        </w:rPr>
        <w:t>产销再度走强，厂家集中挺价</w:t>
      </w:r>
      <w:bookmarkEnd w:id="40"/>
    </w:p>
    <w:p w:rsidR="00A71A7E" w:rsidRDefault="00AF5EA0" w:rsidP="0079299D">
      <w:pPr>
        <w:ind w:leftChars="300" w:left="630"/>
        <w:rPr>
          <w:rFonts w:ascii="楷体" w:eastAsia="楷体" w:hAnsi="楷体"/>
          <w:color w:val="000000" w:themeColor="text1"/>
          <w:sz w:val="24"/>
          <w:szCs w:val="24"/>
        </w:rPr>
      </w:pPr>
      <w:r w:rsidRPr="00AF5EA0">
        <w:rPr>
          <w:rFonts w:ascii="楷体" w:eastAsia="楷体" w:hAnsi="楷体" w:hint="eastAsia"/>
          <w:color w:val="000000" w:themeColor="text1"/>
          <w:sz w:val="24"/>
          <w:szCs w:val="24"/>
        </w:rPr>
        <w:t>今日浮法玻璃现货价格1809，较上一交易日+5。华北+10（其中沙河小板+8），华中+20，华东区域中浙江小幅上调，其他区域持稳。供给方面近期暂无新增点火或冷修，需求方面湖北主产销地原片厂库存创新低，涨价驱动下深加工继续补库，库存持续去库。05合约继续走交割逻辑向上收基差，09合约不确定较多，近强远弱。短线盘面上涨放量，震荡走强</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2358617"/>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AF5EA0" w:rsidRPr="00AF5EA0">
        <w:rPr>
          <w:rFonts w:ascii="楷体" w:eastAsia="楷体" w:hAnsi="楷体" w:hint="eastAsia"/>
          <w:b/>
          <w:color w:val="000000" w:themeColor="text1"/>
          <w:sz w:val="24"/>
          <w:szCs w:val="24"/>
        </w:rPr>
        <w:t>反弹乏力，进入资金博弈阶段</w:t>
      </w:r>
      <w:bookmarkEnd w:id="41"/>
    </w:p>
    <w:p w:rsidR="00A71A7E" w:rsidRDefault="00AF5EA0" w:rsidP="00A71A7E">
      <w:pPr>
        <w:ind w:leftChars="300" w:left="630"/>
        <w:rPr>
          <w:rFonts w:ascii="楷体" w:eastAsia="楷体" w:hAnsi="楷体"/>
          <w:bCs/>
          <w:sz w:val="24"/>
          <w:szCs w:val="24"/>
        </w:rPr>
      </w:pPr>
      <w:r w:rsidRPr="00AF5EA0">
        <w:rPr>
          <w:rFonts w:ascii="楷体" w:eastAsia="楷体" w:hAnsi="楷体" w:hint="eastAsia"/>
          <w:color w:val="000000" w:themeColor="text1"/>
          <w:sz w:val="24"/>
          <w:szCs w:val="24"/>
        </w:rPr>
        <w:t>国内纯碱市场价格延续稳定，市场成交较为灵活。安徽红四方恢复，华昌更换设备降负运行，其余设备相对稳定。企业库存小幅增加，下游维持刚需补库。当前核心问题是轻碱需求表现不佳叠加月底进口到厂导致供需由紧平衡状态转为平衡，下游不缺货源，对降价期望高。05合约受低库存影响下有支撑，09合约资金方博弈加剧，由于扩产利空+下游表需平淡，反弹缺乏刺激，表现较为乏力，建议短线继续观望</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235861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2358619"/>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AF5EA0" w:rsidRPr="00AF5EA0">
        <w:rPr>
          <w:rFonts w:ascii="楷体" w:eastAsia="楷体" w:hAnsi="楷体" w:hint="eastAsia"/>
          <w:b/>
          <w:sz w:val="24"/>
          <w:szCs w:val="24"/>
        </w:rPr>
        <w:t>近月偏强，但阶段性压力仍存</w:t>
      </w:r>
      <w:bookmarkEnd w:id="43"/>
    </w:p>
    <w:p w:rsidR="003F56A5" w:rsidRDefault="00AF5EA0">
      <w:pPr>
        <w:ind w:leftChars="300" w:left="630"/>
        <w:rPr>
          <w:rFonts w:ascii="楷体" w:eastAsia="楷体" w:hAnsi="楷体"/>
          <w:sz w:val="24"/>
          <w:szCs w:val="24"/>
        </w:rPr>
      </w:pPr>
      <w:r w:rsidRPr="00AF5EA0">
        <w:rPr>
          <w:rFonts w:ascii="楷体" w:eastAsia="楷体" w:hAnsi="楷体" w:hint="eastAsia"/>
          <w:sz w:val="24"/>
          <w:szCs w:val="24"/>
        </w:rPr>
        <w:t>外盘CBOT大豆重回1500美分，对内盘构成支撑；其次，近期国内大豆卸港问题持续影响，大豆到厂延迟，短期缺豆豆粕库存下滑，叠加临近交割月，支撑近月表现较强。当前巴西大豆收割及出口进度加快，而库容有限，农户销售意愿较强，后续供应压力预计会逐步释放，4月份预计出口1373.6万吨，高于前一个月，持续关注巴西卖货情况。国内市场，近期到港压力延迟，在供应减少及下游需求偏弱下油厂开机维持低位，根据机构预估4月份预计到港780万吨，油厂开机提升预计在4月中下旬，阶段性供应压力后移。下游养殖利润表现仍不佳，饲企和养殖企业等对豆粕饲用需求偏弱，虽近期饲料配方豆粕添加比例上调，但增量有限，现货基差后续仍面临压力。菜粕供应端在进口菜籽持续增加下逐步修复，油厂开机及压榨明显回升。而需求方面在豆粕后期价格回落后菜粕替代需求预计逐渐减弱。在近期天气逐步回暖后，华南水产需求预计启动。策略方面，后期大豆大量到港已是现实，当前仅为阶段性压力后移，预计期货及现货上方仍存压，建议反弹企稳后布局09空单</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2358620"/>
      <w:r>
        <w:rPr>
          <w:rFonts w:ascii="楷体" w:eastAsia="楷体" w:hAnsi="楷体" w:hint="eastAsia"/>
          <w:b/>
          <w:color w:val="000000" w:themeColor="text1"/>
          <w:sz w:val="24"/>
          <w:szCs w:val="24"/>
        </w:rPr>
        <w:t>油脂：</w:t>
      </w:r>
      <w:r w:rsidR="00AF5EA0" w:rsidRPr="00AF5EA0">
        <w:rPr>
          <w:rFonts w:ascii="楷体" w:eastAsia="楷体" w:hAnsi="楷体" w:hint="eastAsia"/>
          <w:b/>
          <w:sz w:val="24"/>
          <w:szCs w:val="24"/>
        </w:rPr>
        <w:t>震荡偏弱</w:t>
      </w:r>
      <w:bookmarkEnd w:id="44"/>
    </w:p>
    <w:p w:rsidR="003F56A5" w:rsidRDefault="00AF5EA0" w:rsidP="00792D31">
      <w:pPr>
        <w:ind w:leftChars="300" w:left="630"/>
        <w:rPr>
          <w:rFonts w:ascii="楷体" w:eastAsia="楷体" w:hAnsi="楷体"/>
          <w:sz w:val="24"/>
          <w:szCs w:val="24"/>
        </w:rPr>
      </w:pPr>
      <w:r w:rsidRPr="00AF5EA0">
        <w:rPr>
          <w:rFonts w:ascii="楷体" w:eastAsia="楷体" w:hAnsi="楷体" w:hint="eastAsia"/>
          <w:sz w:val="24"/>
          <w:szCs w:val="24"/>
        </w:rPr>
        <w:t>外盘油脂价格走弱，带动内盘回落，尤其是棕榈油，因受马棕4月初产量环比增加35%以及出口环比减少16.2%影响较大。棕榈油方面，产地方面4月后马来进入增产阶段，出口需求预计下滑，将抑制棕榈油反弹空间，船运机构显示马来西亚4月1-10日棕榈油出口量为303285吨，环比减少39.53%。同时，印尼预计在5月后放开出口，需同时关注DMO配比调整，为短期不确定因素。国内棕榈油供应较充裕，近期库存高位回落，在进口利润持续倒挂下，出现洗船情况，二季度进口预计下滑。随着后续天气回暖，棕榈油消费预计增加，去库速度仍需看消费端增量。豆油，随着天气回暖，在豆棕价差较大下利好棕榈油替代需求，近期下游需求被挤占。目前大部分油厂因大豆到厂延迟开机偏低，豆油周度库存小幅回落，处于历史低位水平，但随着后续进口大豆大量供应，豆油供应存边际修复预期，有望累库。菜油在供应边际改善下，短期上方压力仍存。随着进口加籽到港量逐步增加，菜籽库存维持高位，1-2月累计进口菜籽106万吨，且4-6月份菜籽到港预计仍将维持偏高水平。随着油厂开机回升，叠加进口菜油供给增加，供应逐渐改善。需求方面，一级豆油价格与三级菜油呈现倒挂，后续或提振部分菜油替代需求。短期油脂预计震荡偏弱上方空间有限，建议短线操作，做缩豆棕09套利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2358621"/>
      <w:r>
        <w:rPr>
          <w:rFonts w:ascii="楷体" w:eastAsia="楷体" w:hAnsi="楷体" w:hint="eastAsia"/>
          <w:b/>
          <w:bCs/>
          <w:color w:val="000000" w:themeColor="text1"/>
        </w:rPr>
        <w:t>玉米与淀粉：</w:t>
      </w:r>
      <w:r w:rsidR="00AF5EA0" w:rsidRPr="00AF5EA0">
        <w:rPr>
          <w:rFonts w:ascii="楷体" w:eastAsia="楷体" w:hAnsi="楷体" w:hint="eastAsia"/>
          <w:b/>
        </w:rPr>
        <w:t>期价继续回落</w:t>
      </w:r>
      <w:bookmarkEnd w:id="45"/>
    </w:p>
    <w:p w:rsidR="00AF5EA0" w:rsidRPr="00AF5EA0" w:rsidRDefault="00AF5EA0" w:rsidP="00AF5EA0">
      <w:pPr>
        <w:pStyle w:val="paragraph"/>
        <w:spacing w:before="60" w:after="60"/>
        <w:ind w:leftChars="300" w:left="630"/>
        <w:rPr>
          <w:rFonts w:ascii="楷体" w:eastAsia="楷体" w:hAnsi="楷体" w:hint="eastAsia"/>
        </w:rPr>
      </w:pPr>
      <w:r w:rsidRPr="00AF5EA0">
        <w:rPr>
          <w:rFonts w:ascii="楷体" w:eastAsia="楷体" w:hAnsi="楷体" w:hint="eastAsia"/>
        </w:rPr>
        <w:t>对于玉米而言，近期市场关注的核心是国产玉米的性价比优势，通过比较可以看出，目前玉米期价贴近产区和北方港口平仓价，这是短期支撑所在，但显著高于玉米进口成本和国内小麦和陈化水稻，依然不具备性</w:t>
      </w:r>
      <w:r w:rsidRPr="00AF5EA0">
        <w:rPr>
          <w:rFonts w:ascii="楷体" w:eastAsia="楷体" w:hAnsi="楷体" w:hint="eastAsia"/>
        </w:rPr>
        <w:lastRenderedPageBreak/>
        <w:t>价比优势，因此，我们延续谨慎看空观点，接下来需要重点关注进口玉米与国内小麦价格的变动。综上所述，我们维持谨慎看空观点，建议持有前期空单（如有的话）。</w:t>
      </w:r>
    </w:p>
    <w:p w:rsidR="003F56A5" w:rsidRDefault="00AF5EA0" w:rsidP="00AF5EA0">
      <w:pPr>
        <w:pStyle w:val="paragraph"/>
        <w:spacing w:before="60" w:beforeAutospacing="0" w:after="60" w:afterAutospacing="0"/>
        <w:ind w:leftChars="300" w:left="630"/>
        <w:rPr>
          <w:rFonts w:ascii="楷体" w:eastAsia="楷体" w:hAnsi="楷体"/>
        </w:rPr>
      </w:pPr>
      <w:r w:rsidRPr="00AF5EA0">
        <w:rPr>
          <w:rFonts w:ascii="楷体" w:eastAsia="楷体" w:hAnsi="楷体" w:hint="eastAsia"/>
        </w:rPr>
        <w:t>对于淀粉而言，近期淀粉-玉米价差有所走扩，主要源于两个方面的原因，其一是现货生产延续亏损状态，带动行业开机率持续小幅下滑；其二是华北小麦止跌企稳，带动华北-东北玉米价差走强。但原料端的风险依然存在，且当前行业库存表明供需依然宽松，在淀粉基差走弱、盘面生产利润改善的情况下，后期价差或仍有反复</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2358622"/>
      <w:r>
        <w:rPr>
          <w:rFonts w:ascii="楷体" w:eastAsia="楷体" w:hAnsi="楷体" w:hint="eastAsia"/>
          <w:b/>
          <w:bCs/>
          <w:color w:val="000000" w:themeColor="text1"/>
        </w:rPr>
        <w:t>畜禽养殖：</w:t>
      </w:r>
      <w:r w:rsidR="00AF5EA0" w:rsidRPr="00AF5EA0">
        <w:rPr>
          <w:rFonts w:ascii="楷体" w:eastAsia="楷体" w:hAnsi="楷体" w:hint="eastAsia"/>
          <w:b/>
          <w:bCs/>
          <w:color w:val="000000" w:themeColor="text1"/>
        </w:rPr>
        <w:t>生猪期价增仓下行</w:t>
      </w:r>
      <w:bookmarkEnd w:id="46"/>
    </w:p>
    <w:p w:rsidR="00AF5EA0" w:rsidRPr="00AF5EA0" w:rsidRDefault="00AF5EA0" w:rsidP="00AF5EA0">
      <w:pPr>
        <w:pStyle w:val="paragraph"/>
        <w:spacing w:before="60" w:after="60"/>
        <w:ind w:leftChars="300" w:left="630"/>
        <w:rPr>
          <w:rFonts w:ascii="楷体" w:eastAsia="楷体" w:hAnsi="楷体" w:hint="eastAsia"/>
        </w:rPr>
      </w:pPr>
      <w:r w:rsidRPr="00AF5EA0">
        <w:rPr>
          <w:rFonts w:ascii="楷体" w:eastAsia="楷体" w:hAnsi="楷体" w:hint="eastAsia"/>
        </w:rPr>
        <w:t>对于生猪而言，2月下旬以来现货表现不及我们之前预期，在我们看来，主要原因有二，一方面低估了节前堆积的供应量，另一方面则源于节后非瘟疫情对供应的阶段性影响。对于需求层面，考虑到生猪餐饮食堂消费占比较大，随着新冠疫情防控政策的放开，社会流动性提高，消费有望恢复至常年水平，除去宏观经济数据外，从节后鸡蛋和白羽鸡价格和利润处于历史同期高位水平可以得到印证。考虑到节前积累的供应仍有待消化，生猪现货缺乏上涨动力，与此同时，生猪养殖已经深度亏损，继续下跌将触发国家储备收购，期价继续下跌空间亦有限。在这种情况下，暂维持中性观点，后期或再度转向看多，建议投资者暂以观望为宜，待现货再度上涨后择机入场做多。</w:t>
      </w:r>
    </w:p>
    <w:p w:rsidR="003F56A5" w:rsidRDefault="00AF5EA0" w:rsidP="00AF5EA0">
      <w:pPr>
        <w:pStyle w:val="paragraph"/>
        <w:spacing w:before="60" w:beforeAutospacing="0" w:after="60" w:afterAutospacing="0"/>
        <w:ind w:leftChars="300" w:left="630"/>
        <w:rPr>
          <w:rFonts w:ascii="楷体" w:eastAsia="楷体" w:hAnsi="楷体"/>
        </w:rPr>
      </w:pPr>
      <w:r w:rsidRPr="00AF5EA0">
        <w:rPr>
          <w:rFonts w:ascii="楷体" w:eastAsia="楷体" w:hAnsi="楷体" w:hint="eastAsia"/>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现货市场表现符合我们之前预期，而期价表现弱势更多源于远期供需改善的担忧，远月期价大幅下跌，5-9价差处于历史同期最高水平，进而压制近月合约。在这种情况下，我们倾向于认为当前市场矛盾主要集中在近月合约上，考虑到2305合约基差处于历史高位，而现货季节性和供需仍支持现货阶段性强势，后期基差修复更多通过期价上涨来实现，据此维持谨慎看多观点，建议持有2305合约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2358623"/>
      <w:r>
        <w:rPr>
          <w:rFonts w:ascii="楷体" w:eastAsia="楷体" w:hAnsi="楷体" w:hint="eastAsia"/>
          <w:b/>
          <w:sz w:val="24"/>
          <w:szCs w:val="24"/>
        </w:rPr>
        <w:t>郑棉：</w:t>
      </w:r>
      <w:r w:rsidR="00AF5EA0" w:rsidRPr="00AF5EA0">
        <w:rPr>
          <w:rFonts w:ascii="楷体" w:eastAsia="楷体" w:hAnsi="楷体" w:hint="eastAsia"/>
          <w:b/>
          <w:sz w:val="24"/>
          <w:szCs w:val="24"/>
        </w:rPr>
        <w:t>郑棉即将冲击1.5万关口</w:t>
      </w:r>
      <w:bookmarkEnd w:id="47"/>
    </w:p>
    <w:p w:rsidR="00AF5EA0" w:rsidRPr="00AF5EA0" w:rsidRDefault="00AF5EA0" w:rsidP="00AF5EA0">
      <w:pPr>
        <w:ind w:leftChars="300" w:left="630"/>
        <w:rPr>
          <w:rFonts w:ascii="楷体" w:eastAsia="楷体" w:hAnsi="楷体" w:hint="eastAsia"/>
          <w:sz w:val="24"/>
          <w:szCs w:val="24"/>
        </w:rPr>
      </w:pPr>
      <w:r w:rsidRPr="00AF5EA0">
        <w:rPr>
          <w:rFonts w:ascii="楷体" w:eastAsia="楷体" w:hAnsi="楷体" w:hint="eastAsia"/>
          <w:sz w:val="24"/>
          <w:szCs w:val="24"/>
        </w:rPr>
        <w:t xml:space="preserve">等待高抛或回落后的重新加多或卖出看跌期权机会 </w:t>
      </w:r>
    </w:p>
    <w:p w:rsidR="003F56A5" w:rsidRDefault="00AF5EA0" w:rsidP="00AF5EA0">
      <w:pPr>
        <w:ind w:leftChars="300" w:left="630"/>
        <w:rPr>
          <w:rFonts w:ascii="楷体" w:eastAsia="楷体" w:hAnsi="楷体"/>
          <w:sz w:val="24"/>
          <w:szCs w:val="24"/>
        </w:rPr>
      </w:pPr>
      <w:r w:rsidRPr="00AF5EA0">
        <w:rPr>
          <w:rFonts w:ascii="楷体" w:eastAsia="楷体" w:hAnsi="楷体" w:hint="eastAsia"/>
          <w:sz w:val="24"/>
          <w:szCs w:val="24"/>
        </w:rPr>
        <w:t>3月的纺织品服装进出口数据为本已略显疲态的郑棉打了一针鸡血。极佳的数据扭转了之前认为出口订单在持续减少的印象。不过，2月份上半旬时受疫情影响有一定的用工荒，出口未完全恢复，2021年的2月同比则是因春节基数较低，因此该数据确实振奋人心，但环比同比增幅利好程度仍需辩证性看待。近月05合约在基差回归的指引下走势温和，平稳的跨期价差也变相为远月合约提供了支撑。但因供应宽裕，仓单数量仍在持续增加中，郑棉缺乏趋势性大涨基础，预估仍是偏震荡走势</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1C4" w:rsidRDefault="001801C4">
      <w:r>
        <w:separator/>
      </w:r>
    </w:p>
  </w:endnote>
  <w:endnote w:type="continuationSeparator" w:id="0">
    <w:p w:rsidR="001801C4" w:rsidRDefault="0018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5B9BA2C5" wp14:editId="7CC04637">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AF5EA0">
                            <w:rPr>
                              <w:rFonts w:ascii="Times New Roman" w:eastAsia="楷体" w:hAnsi="Times New Roman" w:cs="Times New Roman"/>
                              <w:b/>
                              <w:noProof/>
                              <w:color w:val="833C0B"/>
                              <w:sz w:val="21"/>
                              <w:lang w:bidi="ar"/>
                            </w:rPr>
                            <w:t>3</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AF5EA0">
                      <w:rPr>
                        <w:rFonts w:ascii="Times New Roman" w:eastAsia="楷体" w:hAnsi="Times New Roman" w:cs="Times New Roman"/>
                        <w:b/>
                        <w:noProof/>
                        <w:color w:val="833C0B"/>
                        <w:sz w:val="21"/>
                        <w:lang w:bidi="ar"/>
                      </w:rPr>
                      <w:t>3</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1C4" w:rsidRDefault="001801C4">
      <w:r>
        <w:separator/>
      </w:r>
    </w:p>
  </w:footnote>
  <w:footnote w:type="continuationSeparator" w:id="0">
    <w:p w:rsidR="001801C4" w:rsidRDefault="001801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6B26A8DE" wp14:editId="45294728">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7752A656" wp14:editId="38C422E9">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AF5EA0">
      <w:rPr>
        <w:rFonts w:ascii="Times New Roman" w:eastAsia="楷体" w:hAnsi="Times New Roman" w:hint="eastAsia"/>
        <w:b/>
        <w:bCs/>
        <w:noProof/>
        <w:color w:val="833C0B"/>
        <w:sz w:val="21"/>
      </w:rPr>
      <w:t>2023</w:t>
    </w:r>
    <w:r w:rsidR="00AF5EA0">
      <w:rPr>
        <w:rFonts w:ascii="Times New Roman" w:eastAsia="楷体" w:hAnsi="Times New Roman" w:hint="eastAsia"/>
        <w:b/>
        <w:bCs/>
        <w:noProof/>
        <w:color w:val="833C0B"/>
        <w:sz w:val="21"/>
      </w:rPr>
      <w:t>年</w:t>
    </w:r>
    <w:r w:rsidR="00AF5EA0">
      <w:rPr>
        <w:rFonts w:ascii="Times New Roman" w:eastAsia="楷体" w:hAnsi="Times New Roman" w:hint="eastAsia"/>
        <w:b/>
        <w:bCs/>
        <w:noProof/>
        <w:color w:val="833C0B"/>
        <w:sz w:val="21"/>
      </w:rPr>
      <w:t>4</w:t>
    </w:r>
    <w:r w:rsidR="00AF5EA0">
      <w:rPr>
        <w:rFonts w:ascii="Times New Roman" w:eastAsia="楷体" w:hAnsi="Times New Roman" w:hint="eastAsia"/>
        <w:b/>
        <w:bCs/>
        <w:noProof/>
        <w:color w:val="833C0B"/>
        <w:sz w:val="21"/>
      </w:rPr>
      <w:t>月</w:t>
    </w:r>
    <w:r w:rsidR="00AF5EA0">
      <w:rPr>
        <w:rFonts w:ascii="Times New Roman" w:eastAsia="楷体" w:hAnsi="Times New Roman" w:hint="eastAsia"/>
        <w:b/>
        <w:bCs/>
        <w:noProof/>
        <w:color w:val="833C0B"/>
        <w:sz w:val="21"/>
      </w:rPr>
      <w:t>14</w:t>
    </w:r>
    <w:r w:rsidR="00AF5EA0">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286B"/>
    <w:rsid w:val="0005726F"/>
    <w:rsid w:val="00076420"/>
    <w:rsid w:val="000820C6"/>
    <w:rsid w:val="00096258"/>
    <w:rsid w:val="000A413E"/>
    <w:rsid w:val="000B0648"/>
    <w:rsid w:val="000D36DC"/>
    <w:rsid w:val="000D42E2"/>
    <w:rsid w:val="000D7CF0"/>
    <w:rsid w:val="000E0C15"/>
    <w:rsid w:val="000E4EEB"/>
    <w:rsid w:val="00120B1F"/>
    <w:rsid w:val="00147668"/>
    <w:rsid w:val="00147B03"/>
    <w:rsid w:val="0015047B"/>
    <w:rsid w:val="001801C4"/>
    <w:rsid w:val="001942CB"/>
    <w:rsid w:val="001A3E49"/>
    <w:rsid w:val="001B179D"/>
    <w:rsid w:val="001B1904"/>
    <w:rsid w:val="001B2D4C"/>
    <w:rsid w:val="001B6394"/>
    <w:rsid w:val="001C77D0"/>
    <w:rsid w:val="001D40EA"/>
    <w:rsid w:val="001F5438"/>
    <w:rsid w:val="002074A1"/>
    <w:rsid w:val="00216C1E"/>
    <w:rsid w:val="00226406"/>
    <w:rsid w:val="00235529"/>
    <w:rsid w:val="00244CA3"/>
    <w:rsid w:val="00282262"/>
    <w:rsid w:val="00285297"/>
    <w:rsid w:val="002951EB"/>
    <w:rsid w:val="002A0670"/>
    <w:rsid w:val="002A6C89"/>
    <w:rsid w:val="002B2257"/>
    <w:rsid w:val="002B32AE"/>
    <w:rsid w:val="002F075C"/>
    <w:rsid w:val="002F545E"/>
    <w:rsid w:val="002F6AD1"/>
    <w:rsid w:val="002F7810"/>
    <w:rsid w:val="00323550"/>
    <w:rsid w:val="00332F22"/>
    <w:rsid w:val="0033644D"/>
    <w:rsid w:val="003416C2"/>
    <w:rsid w:val="00341727"/>
    <w:rsid w:val="003471F4"/>
    <w:rsid w:val="00357545"/>
    <w:rsid w:val="00370D25"/>
    <w:rsid w:val="00371ED6"/>
    <w:rsid w:val="00375F0B"/>
    <w:rsid w:val="00376AF1"/>
    <w:rsid w:val="003953FD"/>
    <w:rsid w:val="003A1F3C"/>
    <w:rsid w:val="003A3DB4"/>
    <w:rsid w:val="003C5F91"/>
    <w:rsid w:val="003D3A9E"/>
    <w:rsid w:val="003F2424"/>
    <w:rsid w:val="003F56A5"/>
    <w:rsid w:val="004201F5"/>
    <w:rsid w:val="004230AC"/>
    <w:rsid w:val="00426AB5"/>
    <w:rsid w:val="00440FBE"/>
    <w:rsid w:val="004427D1"/>
    <w:rsid w:val="004567BD"/>
    <w:rsid w:val="00461147"/>
    <w:rsid w:val="00485A3F"/>
    <w:rsid w:val="00487F77"/>
    <w:rsid w:val="004977A9"/>
    <w:rsid w:val="004A3F85"/>
    <w:rsid w:val="004A65B5"/>
    <w:rsid w:val="004C5F3F"/>
    <w:rsid w:val="004E58A5"/>
    <w:rsid w:val="005145ED"/>
    <w:rsid w:val="00535DC9"/>
    <w:rsid w:val="00541F3F"/>
    <w:rsid w:val="00547DD7"/>
    <w:rsid w:val="005523A5"/>
    <w:rsid w:val="00576234"/>
    <w:rsid w:val="005818A8"/>
    <w:rsid w:val="0058734B"/>
    <w:rsid w:val="00591B89"/>
    <w:rsid w:val="00593B03"/>
    <w:rsid w:val="00593F40"/>
    <w:rsid w:val="005B5BDF"/>
    <w:rsid w:val="005C05F7"/>
    <w:rsid w:val="005C05FA"/>
    <w:rsid w:val="005E1CE0"/>
    <w:rsid w:val="005E6164"/>
    <w:rsid w:val="005F2CE6"/>
    <w:rsid w:val="005F45A8"/>
    <w:rsid w:val="00610C41"/>
    <w:rsid w:val="0061390B"/>
    <w:rsid w:val="00615F78"/>
    <w:rsid w:val="00637F19"/>
    <w:rsid w:val="00641752"/>
    <w:rsid w:val="00657B01"/>
    <w:rsid w:val="00661BB3"/>
    <w:rsid w:val="00666DE4"/>
    <w:rsid w:val="006911F3"/>
    <w:rsid w:val="006B4A5D"/>
    <w:rsid w:val="006D21ED"/>
    <w:rsid w:val="00710028"/>
    <w:rsid w:val="007103A5"/>
    <w:rsid w:val="0072164F"/>
    <w:rsid w:val="007253E7"/>
    <w:rsid w:val="0072736C"/>
    <w:rsid w:val="007315D8"/>
    <w:rsid w:val="00743CFD"/>
    <w:rsid w:val="007664C1"/>
    <w:rsid w:val="00785519"/>
    <w:rsid w:val="0079299D"/>
    <w:rsid w:val="00792D31"/>
    <w:rsid w:val="007952E9"/>
    <w:rsid w:val="007A410D"/>
    <w:rsid w:val="007A66FE"/>
    <w:rsid w:val="007D29EC"/>
    <w:rsid w:val="007D4BBD"/>
    <w:rsid w:val="007F1327"/>
    <w:rsid w:val="007F140C"/>
    <w:rsid w:val="007F186E"/>
    <w:rsid w:val="0080612D"/>
    <w:rsid w:val="00806354"/>
    <w:rsid w:val="0080692E"/>
    <w:rsid w:val="00806F4A"/>
    <w:rsid w:val="00815011"/>
    <w:rsid w:val="00815817"/>
    <w:rsid w:val="00822591"/>
    <w:rsid w:val="0083605E"/>
    <w:rsid w:val="00840F4E"/>
    <w:rsid w:val="008649BB"/>
    <w:rsid w:val="00867CA5"/>
    <w:rsid w:val="00873ECE"/>
    <w:rsid w:val="008740D4"/>
    <w:rsid w:val="0087785E"/>
    <w:rsid w:val="00892203"/>
    <w:rsid w:val="008A11C6"/>
    <w:rsid w:val="008A1D22"/>
    <w:rsid w:val="008B13D2"/>
    <w:rsid w:val="008B361D"/>
    <w:rsid w:val="008C1554"/>
    <w:rsid w:val="008E2B15"/>
    <w:rsid w:val="008E33F3"/>
    <w:rsid w:val="008E3B84"/>
    <w:rsid w:val="008F229B"/>
    <w:rsid w:val="008F2A6E"/>
    <w:rsid w:val="00906E0C"/>
    <w:rsid w:val="00907943"/>
    <w:rsid w:val="00916E97"/>
    <w:rsid w:val="009316EC"/>
    <w:rsid w:val="009317CD"/>
    <w:rsid w:val="00934728"/>
    <w:rsid w:val="009644D9"/>
    <w:rsid w:val="0097131C"/>
    <w:rsid w:val="009870E4"/>
    <w:rsid w:val="009A12FA"/>
    <w:rsid w:val="009A564D"/>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52CB"/>
    <w:rsid w:val="00AC7ECD"/>
    <w:rsid w:val="00AD009F"/>
    <w:rsid w:val="00AF5EA0"/>
    <w:rsid w:val="00B10135"/>
    <w:rsid w:val="00B133D0"/>
    <w:rsid w:val="00B15418"/>
    <w:rsid w:val="00B1737C"/>
    <w:rsid w:val="00B1758C"/>
    <w:rsid w:val="00B17639"/>
    <w:rsid w:val="00B443CE"/>
    <w:rsid w:val="00B4555A"/>
    <w:rsid w:val="00B53C56"/>
    <w:rsid w:val="00B606EF"/>
    <w:rsid w:val="00B618F8"/>
    <w:rsid w:val="00B72E2D"/>
    <w:rsid w:val="00B805BD"/>
    <w:rsid w:val="00BA4663"/>
    <w:rsid w:val="00BA696B"/>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C08102-8144-497D-981B-09AB85F6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10</Pages>
  <Words>1537</Words>
  <Characters>8767</Characters>
  <Application>Microsoft Office Word</Application>
  <DocSecurity>0</DocSecurity>
  <Lines>73</Lines>
  <Paragraphs>20</Paragraphs>
  <ScaleCrop>false</ScaleCrop>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87</cp:revision>
  <cp:lastPrinted>2023-04-13T02:15:00Z</cp:lastPrinted>
  <dcterms:created xsi:type="dcterms:W3CDTF">2022-11-15T10:06:00Z</dcterms:created>
  <dcterms:modified xsi:type="dcterms:W3CDTF">2023-04-14T01:56:00Z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