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5F2CE6"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5F2CE6" w:rsidRPr="00C72EFD">
            <w:rPr>
              <w:rStyle w:val="a7"/>
              <w:noProof/>
            </w:rPr>
            <w:fldChar w:fldCharType="begin"/>
          </w:r>
          <w:r w:rsidR="005F2CE6" w:rsidRPr="00C72EFD">
            <w:rPr>
              <w:rStyle w:val="a7"/>
              <w:noProof/>
            </w:rPr>
            <w:instrText xml:space="preserve"> </w:instrText>
          </w:r>
          <w:r w:rsidR="005F2CE6">
            <w:rPr>
              <w:noProof/>
            </w:rPr>
            <w:instrText>HYPERLINK \l "_Toc132103413"</w:instrText>
          </w:r>
          <w:r w:rsidR="005F2CE6" w:rsidRPr="00C72EFD">
            <w:rPr>
              <w:rStyle w:val="a7"/>
              <w:noProof/>
            </w:rPr>
            <w:instrText xml:space="preserve"> </w:instrText>
          </w:r>
          <w:r w:rsidR="005F2CE6" w:rsidRPr="00C72EFD">
            <w:rPr>
              <w:rStyle w:val="a7"/>
              <w:noProof/>
            </w:rPr>
          </w:r>
          <w:r w:rsidR="005F2CE6" w:rsidRPr="00C72EFD">
            <w:rPr>
              <w:rStyle w:val="a7"/>
              <w:noProof/>
            </w:rPr>
            <w:fldChar w:fldCharType="separate"/>
          </w:r>
          <w:r w:rsidR="005F2CE6" w:rsidRPr="00C72EFD">
            <w:rPr>
              <w:rStyle w:val="a7"/>
              <w:rFonts w:ascii="Times New Roman" w:eastAsia="楷体" w:hAnsi="Times New Roman"/>
              <w:b/>
              <w:noProof/>
            </w:rPr>
            <w:t>[</w:t>
          </w:r>
          <w:r w:rsidR="005F2CE6" w:rsidRPr="00C72EFD">
            <w:rPr>
              <w:rStyle w:val="a7"/>
              <w:rFonts w:ascii="Times New Roman" w:eastAsia="楷体" w:hAnsi="Times New Roman"/>
              <w:b/>
              <w:noProof/>
            </w:rPr>
            <w:t>金融</w:t>
          </w:r>
          <w:r w:rsidR="005F2CE6" w:rsidRPr="00C72EFD">
            <w:rPr>
              <w:rStyle w:val="a7"/>
              <w:rFonts w:ascii="Times New Roman" w:eastAsia="楷体" w:hAnsi="Times New Roman"/>
              <w:b/>
              <w:noProof/>
            </w:rPr>
            <w:t>]</w:t>
          </w:r>
          <w:r w:rsidR="005F2CE6" w:rsidRPr="00C72EFD">
            <w:rPr>
              <w:rStyle w:val="a7"/>
              <w:noProof/>
            </w:rPr>
            <w:fldChar w:fldCharType="end"/>
          </w:r>
        </w:p>
        <w:p w:rsidR="005F2CE6" w:rsidRDefault="005F2CE6">
          <w:pPr>
            <w:pStyle w:val="2"/>
            <w:tabs>
              <w:tab w:val="right" w:leader="dot" w:pos="8296"/>
            </w:tabs>
            <w:rPr>
              <w:rFonts w:eastAsiaTheme="minorEastAsia"/>
              <w:noProof/>
              <w:szCs w:val="22"/>
            </w:rPr>
          </w:pPr>
          <w:hyperlink w:anchor="_Toc132103414" w:history="1">
            <w:r w:rsidRPr="00C72EFD">
              <w:rPr>
                <w:rStyle w:val="a7"/>
                <w:rFonts w:ascii="Times New Roman" w:eastAsia="楷体" w:hAnsi="Times New Roman"/>
                <w:b/>
                <w:noProof/>
              </w:rPr>
              <w:t>股指：关注</w:t>
            </w:r>
            <w:r w:rsidRPr="00C72EFD">
              <w:rPr>
                <w:rStyle w:val="a7"/>
                <w:rFonts w:ascii="Times New Roman" w:eastAsia="楷体" w:hAnsi="Times New Roman"/>
                <w:b/>
                <w:noProof/>
              </w:rPr>
              <w:t>IH</w:t>
            </w:r>
            <w:r w:rsidRPr="00C72EFD">
              <w:rPr>
                <w:rStyle w:val="a7"/>
                <w:rFonts w:ascii="Times New Roman" w:eastAsia="楷体" w:hAnsi="Times New Roman"/>
                <w:b/>
                <w:noProof/>
              </w:rPr>
              <w:t>低多机会</w:t>
            </w:r>
          </w:hyperlink>
        </w:p>
        <w:p w:rsidR="005F2CE6" w:rsidRDefault="005F2CE6">
          <w:pPr>
            <w:pStyle w:val="11"/>
            <w:tabs>
              <w:tab w:val="right" w:leader="dot" w:pos="8296"/>
            </w:tabs>
            <w:rPr>
              <w:rFonts w:eastAsiaTheme="minorEastAsia"/>
              <w:noProof/>
              <w:szCs w:val="22"/>
            </w:rPr>
          </w:pPr>
          <w:hyperlink w:anchor="_Toc132103415" w:history="1">
            <w:r w:rsidRPr="00C72EFD">
              <w:rPr>
                <w:rStyle w:val="a7"/>
                <w:rFonts w:ascii="Times New Roman" w:eastAsia="楷体" w:hAnsi="Times New Roman"/>
                <w:b/>
                <w:noProof/>
              </w:rPr>
              <w:t>[</w:t>
            </w:r>
            <w:r w:rsidRPr="00C72EFD">
              <w:rPr>
                <w:rStyle w:val="a7"/>
                <w:rFonts w:ascii="Times New Roman" w:eastAsia="楷体" w:hAnsi="Times New Roman"/>
                <w:b/>
                <w:noProof/>
              </w:rPr>
              <w:t>贵金属</w:t>
            </w:r>
            <w:r w:rsidRPr="00C72EFD">
              <w:rPr>
                <w:rStyle w:val="a7"/>
                <w:rFonts w:ascii="Times New Roman" w:eastAsia="楷体" w:hAnsi="Times New Roman"/>
                <w:b/>
                <w:noProof/>
              </w:rPr>
              <w:t>]</w:t>
            </w:r>
          </w:hyperlink>
        </w:p>
        <w:p w:rsidR="005F2CE6" w:rsidRDefault="005F2CE6">
          <w:pPr>
            <w:pStyle w:val="2"/>
            <w:tabs>
              <w:tab w:val="right" w:leader="dot" w:pos="8296"/>
            </w:tabs>
            <w:rPr>
              <w:rFonts w:eastAsiaTheme="minorEastAsia"/>
              <w:noProof/>
              <w:szCs w:val="22"/>
            </w:rPr>
          </w:pPr>
          <w:hyperlink w:anchor="_Toc132103416" w:history="1">
            <w:r w:rsidRPr="00C72EFD">
              <w:rPr>
                <w:rStyle w:val="a7"/>
                <w:rFonts w:ascii="Times New Roman" w:eastAsia="楷体" w:hAnsi="Times New Roman"/>
                <w:b/>
                <w:noProof/>
              </w:rPr>
              <w:t>贵金属：美元指数反弹，金价小幅回调</w:t>
            </w:r>
          </w:hyperlink>
        </w:p>
        <w:p w:rsidR="005F2CE6" w:rsidRDefault="005F2CE6">
          <w:pPr>
            <w:pStyle w:val="11"/>
            <w:tabs>
              <w:tab w:val="right" w:leader="dot" w:pos="8296"/>
            </w:tabs>
            <w:rPr>
              <w:rFonts w:eastAsiaTheme="minorEastAsia"/>
              <w:noProof/>
              <w:szCs w:val="22"/>
            </w:rPr>
          </w:pPr>
          <w:hyperlink w:anchor="_Toc132103417" w:history="1">
            <w:r w:rsidRPr="00C72EFD">
              <w:rPr>
                <w:rStyle w:val="a7"/>
                <w:rFonts w:ascii="Times New Roman" w:eastAsia="楷体" w:hAnsi="Times New Roman"/>
                <w:b/>
                <w:noProof/>
              </w:rPr>
              <w:t>[</w:t>
            </w:r>
            <w:r w:rsidRPr="00C72EFD">
              <w:rPr>
                <w:rStyle w:val="a7"/>
                <w:rFonts w:ascii="Times New Roman" w:eastAsia="楷体" w:hAnsi="Times New Roman"/>
                <w:b/>
                <w:noProof/>
              </w:rPr>
              <w:t>金属</w:t>
            </w:r>
            <w:r w:rsidRPr="00C72EFD">
              <w:rPr>
                <w:rStyle w:val="a7"/>
                <w:rFonts w:ascii="Times New Roman" w:eastAsia="楷体" w:hAnsi="Times New Roman"/>
                <w:b/>
                <w:noProof/>
              </w:rPr>
              <w:t>]</w:t>
            </w:r>
          </w:hyperlink>
        </w:p>
        <w:p w:rsidR="005F2CE6" w:rsidRDefault="005F2CE6">
          <w:pPr>
            <w:pStyle w:val="2"/>
            <w:tabs>
              <w:tab w:val="right" w:leader="dot" w:pos="8296"/>
            </w:tabs>
            <w:rPr>
              <w:rFonts w:eastAsiaTheme="minorEastAsia"/>
              <w:noProof/>
              <w:szCs w:val="22"/>
            </w:rPr>
          </w:pPr>
          <w:hyperlink w:anchor="_Toc132103418" w:history="1">
            <w:r w:rsidRPr="00C72EFD">
              <w:rPr>
                <w:rStyle w:val="a7"/>
                <w:rFonts w:ascii="楷体" w:eastAsia="楷体" w:hAnsi="楷体"/>
                <w:b/>
                <w:noProof/>
              </w:rPr>
              <w:t>螺纹钢：企稳弱反弹，后续仍承压运行</w:t>
            </w:r>
          </w:hyperlink>
        </w:p>
        <w:p w:rsidR="005F2CE6" w:rsidRDefault="005F2CE6">
          <w:pPr>
            <w:pStyle w:val="2"/>
            <w:tabs>
              <w:tab w:val="right" w:leader="dot" w:pos="8296"/>
            </w:tabs>
            <w:rPr>
              <w:rFonts w:eastAsiaTheme="minorEastAsia"/>
              <w:noProof/>
              <w:szCs w:val="22"/>
            </w:rPr>
          </w:pPr>
          <w:hyperlink w:anchor="_Toc132103419" w:history="1">
            <w:r w:rsidRPr="00C72EFD">
              <w:rPr>
                <w:rStyle w:val="a7"/>
                <w:rFonts w:ascii="楷体" w:eastAsia="楷体" w:hAnsi="楷体"/>
                <w:b/>
                <w:noProof/>
              </w:rPr>
              <w:t>焦炭：负反馈压力较大，盘面承压运行</w:t>
            </w:r>
          </w:hyperlink>
        </w:p>
        <w:p w:rsidR="005F2CE6" w:rsidRDefault="005F2CE6">
          <w:pPr>
            <w:pStyle w:val="2"/>
            <w:tabs>
              <w:tab w:val="right" w:leader="dot" w:pos="8296"/>
            </w:tabs>
            <w:rPr>
              <w:rFonts w:eastAsiaTheme="minorEastAsia"/>
              <w:noProof/>
              <w:szCs w:val="22"/>
            </w:rPr>
          </w:pPr>
          <w:hyperlink w:anchor="_Toc132103420" w:history="1">
            <w:r w:rsidRPr="00C72EFD">
              <w:rPr>
                <w:rStyle w:val="a7"/>
                <w:rFonts w:ascii="楷体" w:eastAsia="楷体" w:hAnsi="楷体"/>
                <w:b/>
                <w:noProof/>
              </w:rPr>
              <w:t>焦煤：供应长期宽松，远月承压运行</w:t>
            </w:r>
          </w:hyperlink>
        </w:p>
        <w:p w:rsidR="005F2CE6" w:rsidRDefault="005F2CE6">
          <w:pPr>
            <w:pStyle w:val="2"/>
            <w:tabs>
              <w:tab w:val="right" w:leader="dot" w:pos="8296"/>
            </w:tabs>
            <w:rPr>
              <w:rFonts w:eastAsiaTheme="minorEastAsia"/>
              <w:noProof/>
              <w:szCs w:val="22"/>
            </w:rPr>
          </w:pPr>
          <w:hyperlink w:anchor="_Toc132103421" w:history="1">
            <w:r w:rsidRPr="00C72EFD">
              <w:rPr>
                <w:rStyle w:val="a7"/>
                <w:rFonts w:ascii="楷体" w:eastAsia="楷体" w:hAnsi="楷体"/>
                <w:b/>
                <w:noProof/>
              </w:rPr>
              <w:t>铜：海外宏观压力仍存，铜价承压运行</w:t>
            </w:r>
          </w:hyperlink>
        </w:p>
        <w:p w:rsidR="005F2CE6" w:rsidRDefault="005F2CE6">
          <w:pPr>
            <w:pStyle w:val="2"/>
            <w:tabs>
              <w:tab w:val="right" w:leader="dot" w:pos="8296"/>
            </w:tabs>
            <w:rPr>
              <w:rFonts w:eastAsiaTheme="minorEastAsia"/>
              <w:noProof/>
              <w:szCs w:val="22"/>
            </w:rPr>
          </w:pPr>
          <w:hyperlink w:anchor="_Toc132103422" w:history="1">
            <w:r w:rsidRPr="00C72EFD">
              <w:rPr>
                <w:rStyle w:val="a7"/>
                <w:rFonts w:ascii="楷体" w:eastAsia="楷体" w:hAnsi="楷体"/>
                <w:b/>
                <w:noProof/>
              </w:rPr>
              <w:t>铝：铝价震荡为主，上下驱动有限</w:t>
            </w:r>
          </w:hyperlink>
        </w:p>
        <w:p w:rsidR="005F2CE6" w:rsidRDefault="005F2CE6">
          <w:pPr>
            <w:pStyle w:val="2"/>
            <w:tabs>
              <w:tab w:val="right" w:leader="dot" w:pos="8296"/>
            </w:tabs>
            <w:rPr>
              <w:rFonts w:eastAsiaTheme="minorEastAsia"/>
              <w:noProof/>
              <w:szCs w:val="22"/>
            </w:rPr>
          </w:pPr>
          <w:hyperlink w:anchor="_Toc132103423" w:history="1">
            <w:r w:rsidRPr="00C72EFD">
              <w:rPr>
                <w:rStyle w:val="a7"/>
                <w:rFonts w:ascii="楷体" w:eastAsia="楷体" w:hAnsi="楷体"/>
                <w:b/>
                <w:noProof/>
              </w:rPr>
              <w:t>锌：基本面支撑偏弱，价格有下行压力</w:t>
            </w:r>
          </w:hyperlink>
        </w:p>
        <w:p w:rsidR="005F2CE6" w:rsidRDefault="005F2CE6">
          <w:pPr>
            <w:pStyle w:val="2"/>
            <w:tabs>
              <w:tab w:val="right" w:leader="dot" w:pos="8296"/>
            </w:tabs>
            <w:rPr>
              <w:rFonts w:eastAsiaTheme="minorEastAsia"/>
              <w:noProof/>
              <w:szCs w:val="22"/>
            </w:rPr>
          </w:pPr>
          <w:hyperlink w:anchor="_Toc132103424" w:history="1">
            <w:r w:rsidRPr="00C72EFD">
              <w:rPr>
                <w:rStyle w:val="a7"/>
                <w:rFonts w:ascii="楷体" w:eastAsia="楷体" w:hAnsi="楷体"/>
                <w:b/>
                <w:noProof/>
              </w:rPr>
              <w:t>镍：低库存下挤仓风险上升，反弹后高空思路不变</w:t>
            </w:r>
          </w:hyperlink>
        </w:p>
        <w:p w:rsidR="005F2CE6" w:rsidRDefault="005F2CE6">
          <w:pPr>
            <w:pStyle w:val="2"/>
            <w:tabs>
              <w:tab w:val="right" w:leader="dot" w:pos="8296"/>
            </w:tabs>
            <w:rPr>
              <w:rFonts w:eastAsiaTheme="minorEastAsia"/>
              <w:noProof/>
              <w:szCs w:val="22"/>
            </w:rPr>
          </w:pPr>
          <w:hyperlink w:anchor="_Toc132103425" w:history="1">
            <w:r w:rsidRPr="00C72EFD">
              <w:rPr>
                <w:rStyle w:val="a7"/>
                <w:rFonts w:ascii="楷体" w:eastAsia="楷体" w:hAnsi="楷体"/>
                <w:b/>
                <w:noProof/>
              </w:rPr>
              <w:t>铅：供需双弱，价格震荡整理</w:t>
            </w:r>
          </w:hyperlink>
        </w:p>
        <w:p w:rsidR="005F2CE6" w:rsidRDefault="005F2CE6">
          <w:pPr>
            <w:pStyle w:val="2"/>
            <w:tabs>
              <w:tab w:val="right" w:leader="dot" w:pos="8296"/>
            </w:tabs>
            <w:rPr>
              <w:rFonts w:eastAsiaTheme="minorEastAsia"/>
              <w:noProof/>
              <w:szCs w:val="22"/>
            </w:rPr>
          </w:pPr>
          <w:hyperlink w:anchor="_Toc132103426" w:history="1">
            <w:r w:rsidRPr="00C72EFD">
              <w:rPr>
                <w:rStyle w:val="a7"/>
                <w:rFonts w:ascii="楷体" w:eastAsia="楷体" w:hAnsi="楷体"/>
                <w:b/>
                <w:noProof/>
              </w:rPr>
              <w:t>不锈钢：短期超跌反弹，力度或有限</w:t>
            </w:r>
          </w:hyperlink>
        </w:p>
        <w:p w:rsidR="005F2CE6" w:rsidRDefault="005F2CE6">
          <w:pPr>
            <w:pStyle w:val="2"/>
            <w:tabs>
              <w:tab w:val="right" w:leader="dot" w:pos="8296"/>
            </w:tabs>
            <w:rPr>
              <w:rFonts w:eastAsiaTheme="minorEastAsia"/>
              <w:noProof/>
              <w:szCs w:val="22"/>
            </w:rPr>
          </w:pPr>
          <w:hyperlink w:anchor="_Toc132103427" w:history="1">
            <w:r w:rsidRPr="00C72EFD">
              <w:rPr>
                <w:rStyle w:val="a7"/>
                <w:rFonts w:ascii="楷体" w:eastAsia="楷体" w:hAnsi="楷体"/>
                <w:b/>
                <w:noProof/>
              </w:rPr>
              <w:t>工业硅：下游需求持续低迷，市场或将继续承压运行</w:t>
            </w:r>
          </w:hyperlink>
        </w:p>
        <w:p w:rsidR="005F2CE6" w:rsidRDefault="005F2CE6">
          <w:pPr>
            <w:pStyle w:val="11"/>
            <w:tabs>
              <w:tab w:val="right" w:leader="dot" w:pos="8296"/>
            </w:tabs>
            <w:rPr>
              <w:rFonts w:eastAsiaTheme="minorEastAsia"/>
              <w:noProof/>
              <w:szCs w:val="22"/>
            </w:rPr>
          </w:pPr>
          <w:hyperlink w:anchor="_Toc132103428" w:history="1">
            <w:r w:rsidRPr="00C72EFD">
              <w:rPr>
                <w:rStyle w:val="a7"/>
                <w:rFonts w:ascii="Times New Roman" w:eastAsia="楷体" w:hAnsi="Times New Roman"/>
                <w:b/>
                <w:noProof/>
              </w:rPr>
              <w:t>[</w:t>
            </w:r>
            <w:r w:rsidRPr="00C72EFD">
              <w:rPr>
                <w:rStyle w:val="a7"/>
                <w:rFonts w:ascii="Times New Roman" w:eastAsia="楷体" w:hAnsi="Times New Roman"/>
                <w:b/>
                <w:noProof/>
              </w:rPr>
              <w:t>化工</w:t>
            </w:r>
            <w:r w:rsidRPr="00C72EFD">
              <w:rPr>
                <w:rStyle w:val="a7"/>
                <w:rFonts w:ascii="Times New Roman" w:eastAsia="楷体" w:hAnsi="Times New Roman"/>
                <w:b/>
                <w:noProof/>
              </w:rPr>
              <w:t>]</w:t>
            </w:r>
          </w:hyperlink>
        </w:p>
        <w:p w:rsidR="005F2CE6" w:rsidRDefault="005F2CE6">
          <w:pPr>
            <w:pStyle w:val="2"/>
            <w:tabs>
              <w:tab w:val="right" w:leader="dot" w:pos="8296"/>
            </w:tabs>
            <w:rPr>
              <w:rFonts w:eastAsiaTheme="minorEastAsia"/>
              <w:noProof/>
              <w:szCs w:val="22"/>
            </w:rPr>
          </w:pPr>
          <w:hyperlink w:anchor="_Toc132103429" w:history="1">
            <w:r w:rsidRPr="00C72EFD">
              <w:rPr>
                <w:rStyle w:val="a7"/>
                <w:rFonts w:ascii="Times New Roman" w:eastAsia="楷体" w:hAnsi="Times New Roman"/>
                <w:b/>
                <w:noProof/>
              </w:rPr>
              <w:t>天然橡胶</w:t>
            </w:r>
            <w:r w:rsidRPr="00C72EFD">
              <w:rPr>
                <w:rStyle w:val="a7"/>
                <w:rFonts w:ascii="Times New Roman" w:eastAsia="楷体" w:hAnsi="Times New Roman"/>
                <w:b/>
                <w:noProof/>
              </w:rPr>
              <w:t>:</w:t>
            </w:r>
            <w:r w:rsidRPr="00C72EFD">
              <w:rPr>
                <w:rStyle w:val="a7"/>
                <w:noProof/>
              </w:rPr>
              <w:t xml:space="preserve"> </w:t>
            </w:r>
            <w:r w:rsidRPr="00C72EFD">
              <w:rPr>
                <w:rStyle w:val="a7"/>
                <w:rFonts w:ascii="Times New Roman" w:eastAsia="楷体" w:hAnsi="Times New Roman"/>
                <w:b/>
                <w:noProof/>
              </w:rPr>
              <w:t>全钢重卡端数据好于预期</w:t>
            </w:r>
            <w:r w:rsidRPr="00C72EFD">
              <w:rPr>
                <w:rStyle w:val="a7"/>
                <w:rFonts w:ascii="Times New Roman" w:eastAsia="楷体" w:hAnsi="Times New Roman"/>
                <w:b/>
                <w:noProof/>
              </w:rPr>
              <w:t xml:space="preserve"> RU</w:t>
            </w:r>
            <w:r w:rsidRPr="00C72EFD">
              <w:rPr>
                <w:rStyle w:val="a7"/>
                <w:rFonts w:ascii="Times New Roman" w:eastAsia="楷体" w:hAnsi="Times New Roman"/>
                <w:b/>
                <w:noProof/>
              </w:rPr>
              <w:t>短期偏空影响减弱</w:t>
            </w:r>
          </w:hyperlink>
        </w:p>
        <w:p w:rsidR="005F2CE6" w:rsidRDefault="005F2CE6">
          <w:pPr>
            <w:pStyle w:val="2"/>
            <w:tabs>
              <w:tab w:val="right" w:leader="dot" w:pos="8296"/>
            </w:tabs>
            <w:rPr>
              <w:rFonts w:eastAsiaTheme="minorEastAsia"/>
              <w:noProof/>
              <w:szCs w:val="22"/>
            </w:rPr>
          </w:pPr>
          <w:hyperlink w:anchor="_Toc132103430" w:history="1">
            <w:r w:rsidRPr="00C72EFD">
              <w:rPr>
                <w:rStyle w:val="a7"/>
                <w:rFonts w:ascii="楷体" w:eastAsia="楷体" w:hAnsi="楷体"/>
                <w:b/>
                <w:noProof/>
              </w:rPr>
              <w:t>PTA：成本端及供给偏紧继续给予支撑</w:t>
            </w:r>
          </w:hyperlink>
        </w:p>
        <w:p w:rsidR="005F2CE6" w:rsidRDefault="005F2CE6">
          <w:pPr>
            <w:pStyle w:val="2"/>
            <w:tabs>
              <w:tab w:val="right" w:leader="dot" w:pos="8296"/>
            </w:tabs>
            <w:rPr>
              <w:rFonts w:eastAsiaTheme="minorEastAsia"/>
              <w:noProof/>
              <w:szCs w:val="22"/>
            </w:rPr>
          </w:pPr>
          <w:hyperlink w:anchor="_Toc132103431" w:history="1">
            <w:r w:rsidRPr="00C72EFD">
              <w:rPr>
                <w:rStyle w:val="a7"/>
                <w:rFonts w:ascii="楷体" w:eastAsia="楷体" w:hAnsi="楷体"/>
                <w:b/>
                <w:noProof/>
              </w:rPr>
              <w:t>PVC：春检在即供需改善 关注V低多机会</w:t>
            </w:r>
          </w:hyperlink>
        </w:p>
        <w:p w:rsidR="005F2CE6" w:rsidRDefault="005F2CE6">
          <w:pPr>
            <w:pStyle w:val="2"/>
            <w:tabs>
              <w:tab w:val="right" w:leader="dot" w:pos="8296"/>
            </w:tabs>
            <w:rPr>
              <w:rFonts w:eastAsiaTheme="minorEastAsia"/>
              <w:noProof/>
              <w:szCs w:val="22"/>
            </w:rPr>
          </w:pPr>
          <w:hyperlink w:anchor="_Toc132103432" w:history="1">
            <w:r w:rsidRPr="00C72EFD">
              <w:rPr>
                <w:rStyle w:val="a7"/>
                <w:rFonts w:ascii="楷体" w:eastAsia="楷体" w:hAnsi="楷体"/>
                <w:b/>
                <w:noProof/>
              </w:rPr>
              <w:t>聚烯烃：下游需求提升缓慢 聚烯烃或偏弱整理为主</w:t>
            </w:r>
          </w:hyperlink>
        </w:p>
        <w:p w:rsidR="005F2CE6" w:rsidRDefault="005F2CE6">
          <w:pPr>
            <w:pStyle w:val="2"/>
            <w:tabs>
              <w:tab w:val="right" w:leader="dot" w:pos="8296"/>
            </w:tabs>
            <w:rPr>
              <w:rFonts w:eastAsiaTheme="minorEastAsia"/>
              <w:noProof/>
              <w:szCs w:val="22"/>
            </w:rPr>
          </w:pPr>
          <w:hyperlink w:anchor="_Toc132103433" w:history="1">
            <w:r w:rsidRPr="00C72EFD">
              <w:rPr>
                <w:rStyle w:val="a7"/>
                <w:rFonts w:ascii="楷体" w:eastAsia="楷体" w:hAnsi="楷体"/>
                <w:b/>
                <w:noProof/>
              </w:rPr>
              <w:t>MEG：关注09低多机会</w:t>
            </w:r>
          </w:hyperlink>
        </w:p>
        <w:p w:rsidR="005F2CE6" w:rsidRDefault="005F2CE6">
          <w:pPr>
            <w:pStyle w:val="2"/>
            <w:tabs>
              <w:tab w:val="right" w:leader="dot" w:pos="8296"/>
            </w:tabs>
            <w:rPr>
              <w:rFonts w:eastAsiaTheme="minorEastAsia"/>
              <w:noProof/>
              <w:szCs w:val="22"/>
            </w:rPr>
          </w:pPr>
          <w:hyperlink w:anchor="_Toc132103434" w:history="1">
            <w:r w:rsidRPr="00C72EFD">
              <w:rPr>
                <w:rStyle w:val="a7"/>
                <w:rFonts w:ascii="楷体" w:eastAsia="楷体" w:hAnsi="楷体"/>
                <w:b/>
                <w:noProof/>
              </w:rPr>
              <w:t>玻璃：现货以涨促销，盘面主力移仓9月</w:t>
            </w:r>
          </w:hyperlink>
        </w:p>
        <w:p w:rsidR="005F2CE6" w:rsidRDefault="005F2CE6">
          <w:pPr>
            <w:pStyle w:val="2"/>
            <w:tabs>
              <w:tab w:val="right" w:leader="dot" w:pos="8296"/>
            </w:tabs>
            <w:rPr>
              <w:rFonts w:eastAsiaTheme="minorEastAsia"/>
              <w:noProof/>
              <w:szCs w:val="22"/>
            </w:rPr>
          </w:pPr>
          <w:hyperlink w:anchor="_Toc132103435" w:history="1">
            <w:r w:rsidRPr="00C72EFD">
              <w:rPr>
                <w:rStyle w:val="a7"/>
                <w:rFonts w:ascii="楷体" w:eastAsia="楷体" w:hAnsi="楷体"/>
                <w:b/>
                <w:noProof/>
              </w:rPr>
              <w:t>纯碱：现货稳价运行，下游采购意愿不佳</w:t>
            </w:r>
          </w:hyperlink>
        </w:p>
        <w:p w:rsidR="005F2CE6" w:rsidRDefault="005F2CE6">
          <w:pPr>
            <w:pStyle w:val="11"/>
            <w:tabs>
              <w:tab w:val="right" w:leader="dot" w:pos="8296"/>
            </w:tabs>
            <w:rPr>
              <w:rFonts w:eastAsiaTheme="minorEastAsia"/>
              <w:noProof/>
              <w:szCs w:val="22"/>
            </w:rPr>
          </w:pPr>
          <w:hyperlink w:anchor="_Toc132103436" w:history="1">
            <w:r w:rsidRPr="00C72EFD">
              <w:rPr>
                <w:rStyle w:val="a7"/>
                <w:rFonts w:ascii="Times New Roman" w:eastAsia="楷体" w:hAnsi="Times New Roman"/>
                <w:b/>
                <w:noProof/>
              </w:rPr>
              <w:t>[</w:t>
            </w:r>
            <w:r w:rsidRPr="00C72EFD">
              <w:rPr>
                <w:rStyle w:val="a7"/>
                <w:rFonts w:ascii="Times New Roman" w:eastAsia="楷体" w:hAnsi="Times New Roman"/>
                <w:b/>
                <w:noProof/>
              </w:rPr>
              <w:t>农产品</w:t>
            </w:r>
            <w:r w:rsidRPr="00C72EFD">
              <w:rPr>
                <w:rStyle w:val="a7"/>
                <w:rFonts w:ascii="Times New Roman" w:eastAsia="楷体" w:hAnsi="Times New Roman"/>
                <w:b/>
                <w:noProof/>
              </w:rPr>
              <w:t>]</w:t>
            </w:r>
          </w:hyperlink>
        </w:p>
        <w:p w:rsidR="005F2CE6" w:rsidRDefault="005F2CE6">
          <w:pPr>
            <w:pStyle w:val="2"/>
            <w:tabs>
              <w:tab w:val="right" w:leader="dot" w:pos="8296"/>
            </w:tabs>
            <w:rPr>
              <w:rFonts w:eastAsiaTheme="minorEastAsia"/>
              <w:noProof/>
              <w:szCs w:val="22"/>
            </w:rPr>
          </w:pPr>
          <w:hyperlink w:anchor="_Toc132103437" w:history="1">
            <w:r w:rsidRPr="00C72EFD">
              <w:rPr>
                <w:rStyle w:val="a7"/>
                <w:rFonts w:ascii="楷体" w:eastAsia="楷体" w:hAnsi="楷体"/>
                <w:b/>
                <w:noProof/>
              </w:rPr>
              <w:t>豆粕/菜粕：震荡偏弱，阶段性供给压力仍存</w:t>
            </w:r>
          </w:hyperlink>
        </w:p>
        <w:p w:rsidR="005F2CE6" w:rsidRDefault="005F2CE6">
          <w:pPr>
            <w:pStyle w:val="2"/>
            <w:tabs>
              <w:tab w:val="right" w:leader="dot" w:pos="8296"/>
            </w:tabs>
            <w:rPr>
              <w:rFonts w:eastAsiaTheme="minorEastAsia"/>
              <w:noProof/>
              <w:szCs w:val="22"/>
            </w:rPr>
          </w:pPr>
          <w:hyperlink w:anchor="_Toc132103438" w:history="1">
            <w:r w:rsidRPr="00C72EFD">
              <w:rPr>
                <w:rStyle w:val="a7"/>
                <w:rFonts w:ascii="楷体" w:eastAsia="楷体" w:hAnsi="楷体"/>
                <w:b/>
                <w:noProof/>
              </w:rPr>
              <w:t>油脂：走势震荡偏弱</w:t>
            </w:r>
          </w:hyperlink>
        </w:p>
        <w:p w:rsidR="005F2CE6" w:rsidRDefault="005F2CE6">
          <w:pPr>
            <w:pStyle w:val="2"/>
            <w:tabs>
              <w:tab w:val="right" w:leader="dot" w:pos="8296"/>
            </w:tabs>
            <w:rPr>
              <w:rFonts w:eastAsiaTheme="minorEastAsia"/>
              <w:noProof/>
              <w:szCs w:val="22"/>
            </w:rPr>
          </w:pPr>
          <w:hyperlink w:anchor="_Toc132103439" w:history="1">
            <w:r w:rsidRPr="00C72EFD">
              <w:rPr>
                <w:rStyle w:val="a7"/>
                <w:rFonts w:ascii="楷体" w:eastAsia="楷体" w:hAnsi="楷体"/>
                <w:b/>
                <w:bCs/>
                <w:noProof/>
              </w:rPr>
              <w:t>玉米与淀粉：</w:t>
            </w:r>
            <w:r w:rsidRPr="00C72EFD">
              <w:rPr>
                <w:rStyle w:val="a7"/>
                <w:rFonts w:ascii="楷体" w:eastAsia="楷体" w:hAnsi="楷体"/>
                <w:b/>
                <w:noProof/>
              </w:rPr>
              <w:t>期价大幅反弹</w:t>
            </w:r>
          </w:hyperlink>
        </w:p>
        <w:p w:rsidR="005F2CE6" w:rsidRDefault="005F2CE6">
          <w:pPr>
            <w:pStyle w:val="2"/>
            <w:tabs>
              <w:tab w:val="right" w:leader="dot" w:pos="8296"/>
            </w:tabs>
            <w:rPr>
              <w:rFonts w:eastAsiaTheme="minorEastAsia"/>
              <w:noProof/>
              <w:szCs w:val="22"/>
            </w:rPr>
          </w:pPr>
          <w:hyperlink w:anchor="_Toc132103440" w:history="1">
            <w:r w:rsidRPr="00C72EFD">
              <w:rPr>
                <w:rStyle w:val="a7"/>
                <w:rFonts w:ascii="楷体" w:eastAsia="楷体" w:hAnsi="楷体"/>
                <w:b/>
                <w:bCs/>
                <w:noProof/>
              </w:rPr>
              <w:t>畜禽养殖：生猪现货带动期价继续弱势</w:t>
            </w:r>
          </w:hyperlink>
        </w:p>
        <w:p w:rsidR="005F2CE6" w:rsidRDefault="005F2CE6">
          <w:pPr>
            <w:pStyle w:val="2"/>
            <w:tabs>
              <w:tab w:val="right" w:leader="dot" w:pos="8296"/>
            </w:tabs>
            <w:rPr>
              <w:rFonts w:eastAsiaTheme="minorEastAsia"/>
              <w:noProof/>
              <w:szCs w:val="22"/>
            </w:rPr>
          </w:pPr>
          <w:hyperlink w:anchor="_Toc132103441" w:history="1">
            <w:r w:rsidRPr="00C72EFD">
              <w:rPr>
                <w:rStyle w:val="a7"/>
                <w:rFonts w:ascii="楷体" w:eastAsia="楷体" w:hAnsi="楷体"/>
                <w:b/>
                <w:noProof/>
              </w:rPr>
              <w:t>郑棉：郑棉震荡下行。等待回落后的重新加多或卖出看跌期权机会</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210341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2103414"/>
      <w:bookmarkEnd w:id="3"/>
      <w:r>
        <w:rPr>
          <w:rFonts w:ascii="Times New Roman" w:eastAsia="楷体" w:hAnsi="Times New Roman" w:hint="eastAsia"/>
          <w:b/>
          <w:color w:val="000000" w:themeColor="text1"/>
          <w:sz w:val="24"/>
          <w:szCs w:val="24"/>
        </w:rPr>
        <w:t>股指：</w:t>
      </w:r>
      <w:bookmarkEnd w:id="5"/>
      <w:bookmarkEnd w:id="6"/>
      <w:r w:rsidR="002951EB" w:rsidRPr="002951EB">
        <w:rPr>
          <w:rFonts w:ascii="Times New Roman" w:eastAsia="楷体" w:hAnsi="Times New Roman" w:hint="eastAsia"/>
          <w:b/>
          <w:color w:val="000000" w:themeColor="text1"/>
          <w:sz w:val="24"/>
          <w:szCs w:val="24"/>
        </w:rPr>
        <w:t>关注</w:t>
      </w:r>
      <w:r w:rsidR="002951EB" w:rsidRPr="002951EB">
        <w:rPr>
          <w:rFonts w:ascii="Times New Roman" w:eastAsia="楷体" w:hAnsi="Times New Roman" w:hint="eastAsia"/>
          <w:b/>
          <w:color w:val="000000" w:themeColor="text1"/>
          <w:sz w:val="24"/>
          <w:szCs w:val="24"/>
        </w:rPr>
        <w:t>IH</w:t>
      </w:r>
      <w:r w:rsidR="002951EB" w:rsidRPr="002951EB">
        <w:rPr>
          <w:rFonts w:ascii="Times New Roman" w:eastAsia="楷体" w:hAnsi="Times New Roman" w:hint="eastAsia"/>
          <w:b/>
          <w:color w:val="000000" w:themeColor="text1"/>
          <w:sz w:val="24"/>
          <w:szCs w:val="24"/>
        </w:rPr>
        <w:t>低多机会</w:t>
      </w:r>
      <w:bookmarkEnd w:id="7"/>
    </w:p>
    <w:p w:rsidR="003F56A5" w:rsidRDefault="002951EB">
      <w:pPr>
        <w:ind w:leftChars="300" w:left="630"/>
        <w:rPr>
          <w:rFonts w:ascii="Times New Roman" w:eastAsia="楷体" w:hAnsi="Times New Roman"/>
          <w:color w:val="000000" w:themeColor="text1"/>
          <w:sz w:val="24"/>
          <w:szCs w:val="24"/>
        </w:rPr>
      </w:pPr>
      <w:r w:rsidRPr="002951EB">
        <w:rPr>
          <w:rFonts w:ascii="Times New Roman" w:eastAsia="楷体" w:hAnsi="Times New Roman" w:hint="eastAsia"/>
          <w:color w:val="000000" w:themeColor="text1"/>
          <w:sz w:val="24"/>
          <w:szCs w:val="24"/>
        </w:rPr>
        <w:t>昨日大盘放量收跌，指数临近前高，有向上压力，预计后市将高位轮动。昨日注册制新股上市对于短线资金虹吸效应极强导致</w:t>
      </w:r>
      <w:r w:rsidRPr="002951EB">
        <w:rPr>
          <w:rFonts w:ascii="Times New Roman" w:eastAsia="楷体" w:hAnsi="Times New Roman" w:hint="eastAsia"/>
          <w:color w:val="000000" w:themeColor="text1"/>
          <w:sz w:val="24"/>
          <w:szCs w:val="24"/>
        </w:rPr>
        <w:t>TMT</w:t>
      </w:r>
      <w:r w:rsidRPr="002951EB">
        <w:rPr>
          <w:rFonts w:ascii="Times New Roman" w:eastAsia="楷体" w:hAnsi="Times New Roman" w:hint="eastAsia"/>
          <w:color w:val="000000" w:themeColor="text1"/>
          <w:sz w:val="24"/>
          <w:szCs w:val="24"/>
        </w:rPr>
        <w:t>板块的大跌，</w:t>
      </w:r>
      <w:r w:rsidRPr="002951EB">
        <w:rPr>
          <w:rFonts w:ascii="Times New Roman" w:eastAsia="楷体" w:hAnsi="Times New Roman" w:hint="eastAsia"/>
          <w:color w:val="000000" w:themeColor="text1"/>
          <w:sz w:val="24"/>
          <w:szCs w:val="24"/>
        </w:rPr>
        <w:t>TMT</w:t>
      </w:r>
      <w:r w:rsidRPr="002951EB">
        <w:rPr>
          <w:rFonts w:ascii="Times New Roman" w:eastAsia="楷体" w:hAnsi="Times New Roman" w:hint="eastAsia"/>
          <w:color w:val="000000" w:themeColor="text1"/>
          <w:sz w:val="24"/>
          <w:szCs w:val="24"/>
        </w:rPr>
        <w:t>在年后以来快速上涨后交易拥挤度显著提升，考虑到相关行业可能一季报业绩兑现还不是很强，存量市亦难以支撑极致的交易结构，预计获利资金或暂离场寻找确定性更强的方向，在高股息率氛围下，市场风格可能阶段性转向红利价值，仍以低多</w:t>
      </w:r>
      <w:r w:rsidRPr="002951EB">
        <w:rPr>
          <w:rFonts w:ascii="Times New Roman" w:eastAsia="楷体" w:hAnsi="Times New Roman" w:hint="eastAsia"/>
          <w:color w:val="000000" w:themeColor="text1"/>
          <w:sz w:val="24"/>
          <w:szCs w:val="24"/>
        </w:rPr>
        <w:t>IH</w:t>
      </w:r>
      <w:r w:rsidRPr="002951EB">
        <w:rPr>
          <w:rFonts w:ascii="Times New Roman" w:eastAsia="楷体" w:hAnsi="Times New Roman" w:hint="eastAsia"/>
          <w:color w:val="000000" w:themeColor="text1"/>
          <w:sz w:val="24"/>
          <w:szCs w:val="24"/>
        </w:rPr>
        <w:t>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210341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2103416"/>
      <w:r>
        <w:rPr>
          <w:rFonts w:ascii="Times New Roman" w:eastAsia="楷体" w:hAnsi="Times New Roman" w:hint="eastAsia"/>
          <w:b/>
          <w:color w:val="000000" w:themeColor="text1"/>
          <w:sz w:val="24"/>
          <w:szCs w:val="24"/>
        </w:rPr>
        <w:t>贵金属：</w:t>
      </w:r>
      <w:r w:rsidR="002951EB" w:rsidRPr="002951EB">
        <w:rPr>
          <w:rFonts w:ascii="Times New Roman" w:eastAsia="楷体" w:hAnsi="Times New Roman" w:hint="eastAsia"/>
          <w:b/>
          <w:color w:val="000000" w:themeColor="text1"/>
          <w:sz w:val="24"/>
          <w:szCs w:val="24"/>
        </w:rPr>
        <w:t>美元指数反弹，金价小幅回调</w:t>
      </w:r>
      <w:bookmarkEnd w:id="9"/>
    </w:p>
    <w:p w:rsidR="003F56A5" w:rsidRDefault="002951EB">
      <w:pPr>
        <w:ind w:leftChars="300" w:left="630"/>
        <w:rPr>
          <w:rFonts w:ascii="Times New Roman" w:eastAsia="楷体" w:hAnsi="Times New Roman"/>
          <w:sz w:val="24"/>
          <w:szCs w:val="24"/>
        </w:rPr>
      </w:pPr>
      <w:r w:rsidRPr="002951EB">
        <w:rPr>
          <w:rFonts w:ascii="Times New Roman" w:eastAsia="楷体" w:hAnsi="Times New Roman" w:hint="eastAsia"/>
          <w:color w:val="000000" w:themeColor="text1"/>
          <w:sz w:val="24"/>
          <w:szCs w:val="24"/>
        </w:rPr>
        <w:t>美联储威廉姆斯讲话称，预计今年经济增长将低于</w:t>
      </w:r>
      <w:r w:rsidRPr="002951EB">
        <w:rPr>
          <w:rFonts w:ascii="Times New Roman" w:eastAsia="楷体" w:hAnsi="Times New Roman" w:hint="eastAsia"/>
          <w:color w:val="000000" w:themeColor="text1"/>
          <w:sz w:val="24"/>
          <w:szCs w:val="24"/>
        </w:rPr>
        <w:t>1%</w:t>
      </w:r>
      <w:r w:rsidRPr="002951EB">
        <w:rPr>
          <w:rFonts w:ascii="Times New Roman" w:eastAsia="楷体" w:hAnsi="Times New Roman" w:hint="eastAsia"/>
          <w:color w:val="000000" w:themeColor="text1"/>
          <w:sz w:val="24"/>
          <w:szCs w:val="24"/>
        </w:rPr>
        <w:t>，通胀前景存在很多不确定性，今年通胀率预计将在</w:t>
      </w:r>
      <w:r w:rsidRPr="002951EB">
        <w:rPr>
          <w:rFonts w:ascii="Times New Roman" w:eastAsia="楷体" w:hAnsi="Times New Roman" w:hint="eastAsia"/>
          <w:color w:val="000000" w:themeColor="text1"/>
          <w:sz w:val="24"/>
          <w:szCs w:val="24"/>
        </w:rPr>
        <w:t>3.75%</w:t>
      </w:r>
      <w:r w:rsidRPr="002951EB">
        <w:rPr>
          <w:rFonts w:ascii="Times New Roman" w:eastAsia="楷体" w:hAnsi="Times New Roman" w:hint="eastAsia"/>
          <w:color w:val="000000" w:themeColor="text1"/>
          <w:sz w:val="24"/>
          <w:szCs w:val="24"/>
        </w:rPr>
        <w:t>左右，预计失业率将逐渐上升至</w:t>
      </w:r>
      <w:r w:rsidRPr="002951EB">
        <w:rPr>
          <w:rFonts w:ascii="Times New Roman" w:eastAsia="楷体" w:hAnsi="Times New Roman" w:hint="eastAsia"/>
          <w:color w:val="000000" w:themeColor="text1"/>
          <w:sz w:val="24"/>
          <w:szCs w:val="24"/>
        </w:rPr>
        <w:t>4%-4.5%</w:t>
      </w:r>
      <w:r w:rsidRPr="002951EB">
        <w:rPr>
          <w:rFonts w:ascii="Times New Roman" w:eastAsia="楷体" w:hAnsi="Times New Roman" w:hint="eastAsia"/>
          <w:color w:val="000000" w:themeColor="text1"/>
          <w:sz w:val="24"/>
          <w:szCs w:val="24"/>
        </w:rPr>
        <w:t>；美联储加息并不是引发最近银行问题压力的推手，尚未看到信贷紧缩的明显迹象。隔夜美元指数反弹，当前暂报</w:t>
      </w:r>
      <w:r w:rsidRPr="002951EB">
        <w:rPr>
          <w:rFonts w:ascii="Times New Roman" w:eastAsia="楷体" w:hAnsi="Times New Roman" w:hint="eastAsia"/>
          <w:color w:val="000000" w:themeColor="text1"/>
          <w:sz w:val="24"/>
          <w:szCs w:val="24"/>
        </w:rPr>
        <w:t>102.4</w:t>
      </w:r>
      <w:r w:rsidRPr="002951EB">
        <w:rPr>
          <w:rFonts w:ascii="Times New Roman" w:eastAsia="楷体" w:hAnsi="Times New Roman" w:hint="eastAsia"/>
          <w:color w:val="000000" w:themeColor="text1"/>
          <w:sz w:val="24"/>
          <w:szCs w:val="24"/>
        </w:rPr>
        <w:t>，外盘</w:t>
      </w:r>
      <w:r w:rsidRPr="002951EB">
        <w:rPr>
          <w:rFonts w:ascii="Times New Roman" w:eastAsia="楷体" w:hAnsi="Times New Roman" w:hint="eastAsia"/>
          <w:color w:val="000000" w:themeColor="text1"/>
          <w:sz w:val="24"/>
          <w:szCs w:val="24"/>
        </w:rPr>
        <w:t>COMEX</w:t>
      </w:r>
      <w:r w:rsidRPr="002951EB">
        <w:rPr>
          <w:rFonts w:ascii="Times New Roman" w:eastAsia="楷体" w:hAnsi="Times New Roman" w:hint="eastAsia"/>
          <w:color w:val="000000" w:themeColor="text1"/>
          <w:sz w:val="24"/>
          <w:szCs w:val="24"/>
        </w:rPr>
        <w:t>金价于</w:t>
      </w:r>
      <w:r w:rsidRPr="002951EB">
        <w:rPr>
          <w:rFonts w:ascii="Times New Roman" w:eastAsia="楷体" w:hAnsi="Times New Roman" w:hint="eastAsia"/>
          <w:color w:val="000000" w:themeColor="text1"/>
          <w:sz w:val="24"/>
          <w:szCs w:val="24"/>
        </w:rPr>
        <w:t>2010</w:t>
      </w:r>
      <w:r w:rsidRPr="002951EB">
        <w:rPr>
          <w:rFonts w:ascii="Times New Roman" w:eastAsia="楷体" w:hAnsi="Times New Roman" w:hint="eastAsia"/>
          <w:color w:val="000000" w:themeColor="text1"/>
          <w:sz w:val="24"/>
          <w:szCs w:val="24"/>
        </w:rPr>
        <w:t>美元</w:t>
      </w:r>
      <w:r w:rsidRPr="002951EB">
        <w:rPr>
          <w:rFonts w:ascii="Times New Roman" w:eastAsia="楷体" w:hAnsi="Times New Roman" w:hint="eastAsia"/>
          <w:color w:val="000000" w:themeColor="text1"/>
          <w:sz w:val="24"/>
          <w:szCs w:val="24"/>
        </w:rPr>
        <w:t>/</w:t>
      </w:r>
      <w:r w:rsidRPr="002951EB">
        <w:rPr>
          <w:rFonts w:ascii="Times New Roman" w:eastAsia="楷体" w:hAnsi="Times New Roman" w:hint="eastAsia"/>
          <w:color w:val="000000" w:themeColor="text1"/>
          <w:sz w:val="24"/>
          <w:szCs w:val="24"/>
        </w:rPr>
        <w:t>盎司一线窄幅震荡，沪金小幅回调。关注周三晚间公布的美国</w:t>
      </w:r>
      <w:r w:rsidRPr="002951EB">
        <w:rPr>
          <w:rFonts w:ascii="Times New Roman" w:eastAsia="楷体" w:hAnsi="Times New Roman" w:hint="eastAsia"/>
          <w:color w:val="000000" w:themeColor="text1"/>
          <w:sz w:val="24"/>
          <w:szCs w:val="24"/>
        </w:rPr>
        <w:t>3</w:t>
      </w:r>
      <w:r w:rsidRPr="002951EB">
        <w:rPr>
          <w:rFonts w:ascii="Times New Roman" w:eastAsia="楷体" w:hAnsi="Times New Roman" w:hint="eastAsia"/>
          <w:color w:val="000000" w:themeColor="text1"/>
          <w:sz w:val="24"/>
          <w:szCs w:val="24"/>
        </w:rPr>
        <w:t>月</w:t>
      </w:r>
      <w:r w:rsidRPr="002951EB">
        <w:rPr>
          <w:rFonts w:ascii="Times New Roman" w:eastAsia="楷体" w:hAnsi="Times New Roman" w:hint="eastAsia"/>
          <w:color w:val="000000" w:themeColor="text1"/>
          <w:sz w:val="24"/>
          <w:szCs w:val="24"/>
        </w:rPr>
        <w:t>CPI</w:t>
      </w:r>
      <w:r w:rsidRPr="002951EB">
        <w:rPr>
          <w:rFonts w:ascii="Times New Roman" w:eastAsia="楷体" w:hAnsi="Times New Roman" w:hint="eastAsia"/>
          <w:color w:val="000000" w:themeColor="text1"/>
          <w:sz w:val="24"/>
          <w:szCs w:val="24"/>
        </w:rPr>
        <w:t>表现，另外本周四美联储将公布议息会议纪要。市场将通过评估最新通胀表现、解读美联储纪要措辞，调整利率预期。加息接近尾声，美国就业、经济景气度降温，经济衰退的风险持续增加，沪金、沪银短线或维持震荡整理，中长线思路建议以偏多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210341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2103418"/>
      <w:r>
        <w:rPr>
          <w:rFonts w:ascii="楷体" w:eastAsia="楷体" w:hAnsi="楷体" w:hint="eastAsia"/>
          <w:b/>
          <w:color w:val="000000" w:themeColor="text1"/>
          <w:sz w:val="24"/>
          <w:szCs w:val="24"/>
        </w:rPr>
        <w:t>螺纹钢：</w:t>
      </w:r>
      <w:bookmarkEnd w:id="15"/>
      <w:bookmarkEnd w:id="16"/>
      <w:r w:rsidR="002951EB" w:rsidRPr="002951EB">
        <w:rPr>
          <w:rFonts w:ascii="楷体" w:eastAsia="楷体" w:hAnsi="楷体" w:hint="eastAsia"/>
          <w:b/>
          <w:color w:val="000000" w:themeColor="text1"/>
          <w:sz w:val="24"/>
          <w:szCs w:val="24"/>
        </w:rPr>
        <w:t>企稳弱反弹，后续仍承压运行</w:t>
      </w:r>
      <w:bookmarkEnd w:id="17"/>
    </w:p>
    <w:p w:rsidR="003F56A5" w:rsidRDefault="002951EB">
      <w:pPr>
        <w:ind w:leftChars="300" w:left="630"/>
        <w:rPr>
          <w:rFonts w:ascii="楷体" w:eastAsia="楷体" w:hAnsi="楷体"/>
          <w:color w:val="000000" w:themeColor="text1"/>
          <w:sz w:val="24"/>
          <w:szCs w:val="24"/>
        </w:rPr>
      </w:pPr>
      <w:r w:rsidRPr="002951EB">
        <w:rPr>
          <w:rFonts w:ascii="楷体" w:eastAsia="楷体" w:hAnsi="楷体" w:hint="eastAsia"/>
          <w:color w:val="000000" w:themeColor="text1"/>
          <w:sz w:val="24"/>
          <w:szCs w:val="24"/>
        </w:rPr>
        <w:t>需求弹性一般，价格大跌后成交有所转暖，预计价格继续偏弱运行。一是前期天气等问题导致需求走弱，预计下周有所改善。第二是下游前期补库意愿较弱，跌价后或有所改善，跌价刚需支撑，供需关系有所改善，针对旺季需求的高度及持续性仍有分歧。预计螺纹钢10合约价格运行区间（3860，4000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2103419"/>
      <w:r>
        <w:rPr>
          <w:rFonts w:ascii="楷体" w:eastAsia="楷体" w:hAnsi="楷体" w:hint="eastAsia"/>
          <w:b/>
          <w:color w:val="000000" w:themeColor="text1"/>
          <w:sz w:val="24"/>
          <w:szCs w:val="24"/>
        </w:rPr>
        <w:t>焦炭：</w:t>
      </w:r>
      <w:bookmarkEnd w:id="18"/>
      <w:bookmarkEnd w:id="19"/>
      <w:r w:rsidR="002951EB" w:rsidRPr="002951EB">
        <w:rPr>
          <w:rFonts w:ascii="楷体" w:eastAsia="楷体" w:hAnsi="楷体" w:hint="eastAsia"/>
          <w:b/>
          <w:color w:val="000000" w:themeColor="text1"/>
          <w:sz w:val="24"/>
          <w:szCs w:val="24"/>
        </w:rPr>
        <w:t>负反馈压力较大，盘面承压运行</w:t>
      </w:r>
      <w:bookmarkEnd w:id="20"/>
    </w:p>
    <w:p w:rsidR="003F56A5" w:rsidRDefault="002951EB">
      <w:pPr>
        <w:ind w:leftChars="300" w:left="630"/>
        <w:rPr>
          <w:rFonts w:ascii="楷体" w:eastAsia="楷体" w:hAnsi="楷体"/>
          <w:color w:val="000000" w:themeColor="text1"/>
          <w:sz w:val="24"/>
          <w:szCs w:val="24"/>
        </w:rPr>
      </w:pPr>
      <w:r w:rsidRPr="002951EB">
        <w:rPr>
          <w:rFonts w:ascii="楷体" w:eastAsia="楷体" w:hAnsi="楷体" w:hint="eastAsia"/>
          <w:color w:val="000000" w:themeColor="text1"/>
          <w:sz w:val="24"/>
          <w:szCs w:val="24"/>
        </w:rPr>
        <w:t>第二轮提降落地后，高铁水下继续盘面领跌下近月下行空间有限，远月情绪较为悲观下，持续承压运行，短期震荡区间（2350,2400）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2103420"/>
      <w:r>
        <w:rPr>
          <w:rFonts w:ascii="楷体" w:eastAsia="楷体" w:hAnsi="楷体" w:hint="eastAsia"/>
          <w:b/>
          <w:color w:val="000000" w:themeColor="text1"/>
          <w:sz w:val="24"/>
          <w:szCs w:val="24"/>
        </w:rPr>
        <w:t>焦煤：</w:t>
      </w:r>
      <w:r w:rsidR="002951EB" w:rsidRPr="002951EB">
        <w:rPr>
          <w:rFonts w:ascii="楷体" w:eastAsia="楷体" w:hAnsi="楷体" w:hint="eastAsia"/>
          <w:b/>
          <w:sz w:val="24"/>
          <w:szCs w:val="24"/>
        </w:rPr>
        <w:t>供应长期宽松，远月承压运行</w:t>
      </w:r>
      <w:bookmarkEnd w:id="21"/>
    </w:p>
    <w:p w:rsidR="003F56A5" w:rsidRDefault="002951EB">
      <w:pPr>
        <w:ind w:leftChars="300" w:left="630"/>
        <w:rPr>
          <w:rFonts w:ascii="楷体" w:eastAsia="楷体" w:hAnsi="楷体"/>
          <w:bCs/>
          <w:sz w:val="24"/>
          <w:szCs w:val="24"/>
        </w:rPr>
      </w:pPr>
      <w:r w:rsidRPr="002951EB">
        <w:rPr>
          <w:rFonts w:ascii="楷体" w:eastAsia="楷体" w:hAnsi="楷体" w:hint="eastAsia"/>
          <w:sz w:val="24"/>
          <w:szCs w:val="24"/>
        </w:rPr>
        <w:t>煤价下行趋势较强，上游累库压力大，下游低库存在跌价刚需支撑近月合约，短期或偏稳运行，但煤价中长期压力不改，远月或持续贴水运行，现货进一步下行或需等待铁水减产驱动。短期震荡区间（1500,1580）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2103421"/>
      <w:r>
        <w:rPr>
          <w:rFonts w:ascii="楷体" w:eastAsia="楷体" w:hAnsi="楷体" w:hint="eastAsia"/>
          <w:b/>
          <w:color w:val="000000" w:themeColor="text1"/>
          <w:sz w:val="24"/>
          <w:szCs w:val="24"/>
        </w:rPr>
        <w:lastRenderedPageBreak/>
        <w:t>铜：</w:t>
      </w:r>
      <w:bookmarkEnd w:id="22"/>
      <w:bookmarkEnd w:id="23"/>
      <w:r w:rsidR="005F2CE6" w:rsidRPr="005F2CE6">
        <w:rPr>
          <w:rFonts w:ascii="楷体" w:eastAsia="楷体" w:hAnsi="楷体" w:hint="eastAsia"/>
          <w:b/>
          <w:color w:val="000000" w:themeColor="text1"/>
          <w:sz w:val="24"/>
          <w:szCs w:val="24"/>
        </w:rPr>
        <w:t>海外宏观压力仍存，铜价承压运行</w:t>
      </w:r>
      <w:bookmarkEnd w:id="24"/>
    </w:p>
    <w:p w:rsidR="005F2CE6" w:rsidRPr="005F2CE6" w:rsidRDefault="005F2CE6" w:rsidP="005F2CE6">
      <w:pPr>
        <w:ind w:leftChars="300" w:left="630"/>
        <w:rPr>
          <w:rFonts w:ascii="楷体" w:eastAsia="楷体" w:hAnsi="楷体" w:hint="eastAsia"/>
          <w:color w:val="000000" w:themeColor="text1"/>
          <w:sz w:val="24"/>
          <w:szCs w:val="24"/>
        </w:rPr>
      </w:pPr>
      <w:r w:rsidRPr="005F2CE6">
        <w:rPr>
          <w:rFonts w:ascii="楷体" w:eastAsia="楷体" w:hAnsi="楷体" w:hint="eastAsia"/>
          <w:color w:val="000000" w:themeColor="text1"/>
          <w:sz w:val="24"/>
          <w:szCs w:val="24"/>
        </w:rPr>
        <w:t>(1)库存：4月10日，SHFE仓单库存63147吨，减756吨。LME休市。</w:t>
      </w:r>
    </w:p>
    <w:p w:rsidR="005F2CE6" w:rsidRPr="005F2CE6" w:rsidRDefault="005F2CE6" w:rsidP="005F2CE6">
      <w:pPr>
        <w:ind w:leftChars="300" w:left="630"/>
        <w:rPr>
          <w:rFonts w:ascii="楷体" w:eastAsia="楷体" w:hAnsi="楷体" w:hint="eastAsia"/>
          <w:color w:val="000000" w:themeColor="text1"/>
          <w:sz w:val="24"/>
          <w:szCs w:val="24"/>
        </w:rPr>
      </w:pPr>
      <w:r w:rsidRPr="005F2CE6">
        <w:rPr>
          <w:rFonts w:ascii="楷体" w:eastAsia="楷体" w:hAnsi="楷体" w:hint="eastAsia"/>
          <w:color w:val="000000" w:themeColor="text1"/>
          <w:sz w:val="24"/>
          <w:szCs w:val="24"/>
        </w:rPr>
        <w:t>(2)精废价差：4月10日，Mysteel精废价差2020，收窄30。目前价差在合理价差1388之上。</w:t>
      </w:r>
    </w:p>
    <w:p w:rsidR="00A71A7E" w:rsidRPr="00A71A7E" w:rsidRDefault="005F2CE6" w:rsidP="005F2CE6">
      <w:pPr>
        <w:ind w:leftChars="300" w:left="630"/>
        <w:rPr>
          <w:rFonts w:ascii="楷体" w:eastAsia="楷体" w:hAnsi="楷体"/>
          <w:color w:val="000000" w:themeColor="text1"/>
          <w:sz w:val="24"/>
          <w:szCs w:val="24"/>
        </w:rPr>
      </w:pPr>
      <w:r w:rsidRPr="005F2CE6">
        <w:rPr>
          <w:rFonts w:ascii="楷体" w:eastAsia="楷体" w:hAnsi="楷体" w:hint="eastAsia"/>
          <w:color w:val="000000" w:themeColor="text1"/>
          <w:sz w:val="24"/>
          <w:szCs w:val="24"/>
        </w:rPr>
        <w:t>综述：美国3月非农数据暂未大超预期，失业率维持低位，继续支撑5月加息，海外经济存继续走弱压力，国内经济延续复苏，政策面预期仍偏强;基本面， 国内精铜供应增量逐步兑现，去库放缓，基本面支撑有所弱化。预计铜价仍将承压运行，周内波动区间参考67000-69500元。关注美国3月通胀数据的指引</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2103422"/>
      <w:r>
        <w:rPr>
          <w:rFonts w:ascii="楷体" w:eastAsia="楷体" w:hAnsi="楷体" w:hint="eastAsia"/>
          <w:b/>
          <w:color w:val="000000" w:themeColor="text1"/>
          <w:sz w:val="24"/>
          <w:szCs w:val="24"/>
        </w:rPr>
        <w:t>铝：</w:t>
      </w:r>
      <w:bookmarkEnd w:id="25"/>
      <w:bookmarkEnd w:id="26"/>
      <w:r w:rsidR="002951EB" w:rsidRPr="002951EB">
        <w:rPr>
          <w:rFonts w:ascii="楷体" w:eastAsia="楷体" w:hAnsi="楷体" w:hint="eastAsia"/>
          <w:b/>
          <w:color w:val="000000" w:themeColor="text1"/>
          <w:sz w:val="24"/>
          <w:szCs w:val="24"/>
        </w:rPr>
        <w:t>铝价震荡为主，上下驱动有限</w:t>
      </w:r>
      <w:bookmarkEnd w:id="27"/>
    </w:p>
    <w:p w:rsidR="003F56A5" w:rsidRDefault="002951EB" w:rsidP="00CF7A9A">
      <w:pPr>
        <w:ind w:leftChars="300" w:left="630"/>
        <w:rPr>
          <w:rFonts w:ascii="楷体" w:eastAsia="楷体" w:hAnsi="楷体"/>
          <w:color w:val="000000" w:themeColor="text1"/>
          <w:sz w:val="24"/>
          <w:szCs w:val="24"/>
        </w:rPr>
      </w:pPr>
      <w:r w:rsidRPr="002951EB">
        <w:rPr>
          <w:rFonts w:ascii="楷体" w:eastAsia="楷体" w:hAnsi="楷体" w:hint="eastAsia"/>
          <w:color w:val="000000" w:themeColor="text1"/>
          <w:sz w:val="24"/>
          <w:szCs w:val="24"/>
        </w:rPr>
        <w:t>美国3月非农数据基本符合预期，美国通胀仍有粘性，加息之旅未走至终点，海外经济衰退风险加剧，国内经济政策整体宽松向好，宏观情绪外弱内强。铝企有利润支撑生产，库存去化但增速放缓，海外天然气价格走弱带动电解铝冶炼成本下行，海外有冶炼产能复产可能。国内四川、贵州小幅增产，云南干旱延续难以复产，前期云南二次减产压力向下传导，消息面传出云南或再有减产动作。下游企业开工率走增，冶炼加工利润支撑企业生产，海内外交易所库存拐入去库，社库去库但增速放缓，进入“银四”旺季，汽车消费、工业生产消费仍有支撑，地产数据修复改善但未有超季节性表现。整体上看，铝价区间震荡为主，波动区间18000-19000</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2103423"/>
      <w:r>
        <w:rPr>
          <w:rFonts w:ascii="楷体" w:eastAsia="楷体" w:hAnsi="楷体" w:hint="eastAsia"/>
          <w:b/>
          <w:color w:val="000000" w:themeColor="text1"/>
          <w:sz w:val="24"/>
          <w:szCs w:val="24"/>
        </w:rPr>
        <w:t>锌：</w:t>
      </w:r>
      <w:r w:rsidR="002951EB" w:rsidRPr="002951EB">
        <w:rPr>
          <w:rFonts w:ascii="楷体" w:eastAsia="楷体" w:hAnsi="楷体" w:hint="eastAsia"/>
          <w:b/>
          <w:color w:val="000000" w:themeColor="text1"/>
          <w:sz w:val="24"/>
          <w:szCs w:val="24"/>
        </w:rPr>
        <w:t>基本面支撑偏弱，价格有下行压力</w:t>
      </w:r>
      <w:bookmarkEnd w:id="28"/>
    </w:p>
    <w:p w:rsidR="003F56A5" w:rsidRDefault="002951EB" w:rsidP="000B0648">
      <w:pPr>
        <w:ind w:leftChars="300" w:left="630"/>
        <w:rPr>
          <w:rFonts w:ascii="楷体" w:eastAsia="楷体" w:hAnsi="楷体"/>
          <w:color w:val="000000" w:themeColor="text1"/>
          <w:sz w:val="24"/>
          <w:szCs w:val="24"/>
        </w:rPr>
      </w:pPr>
      <w:r w:rsidRPr="002951EB">
        <w:rPr>
          <w:rFonts w:ascii="楷体" w:eastAsia="楷体" w:hAnsi="楷体" w:hint="eastAsia"/>
          <w:color w:val="000000" w:themeColor="text1"/>
          <w:sz w:val="24"/>
          <w:szCs w:val="24"/>
        </w:rPr>
        <w:t>美国非农数据表现符合预期，失业率维持低位，美国通胀粘性较强，联储5月或再度加息，宏观承压运行。基本面来看，海外有较强供应复产预期，国内上中游维持高产，锌矿进口有走弱迹象，冶炼利润正在持续挤出。需求主要依赖内需支撑，地产、基建弱修复，整体表现为供强于需。锌价震荡偏弱，仍面临较大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2103424"/>
      <w:r>
        <w:rPr>
          <w:rFonts w:ascii="楷体" w:eastAsia="楷体" w:hAnsi="楷体" w:hint="eastAsia"/>
          <w:b/>
          <w:color w:val="000000" w:themeColor="text1"/>
          <w:sz w:val="24"/>
          <w:szCs w:val="24"/>
        </w:rPr>
        <w:t>镍：</w:t>
      </w:r>
      <w:r w:rsidR="005F2CE6" w:rsidRPr="005F2CE6">
        <w:rPr>
          <w:rFonts w:ascii="楷体" w:eastAsia="楷体" w:hAnsi="楷体" w:hint="eastAsia"/>
          <w:b/>
          <w:color w:val="000000" w:themeColor="text1"/>
          <w:sz w:val="24"/>
          <w:szCs w:val="24"/>
        </w:rPr>
        <w:t>低库存下挤仓风险上升，反弹后高空思路不变</w:t>
      </w:r>
      <w:bookmarkEnd w:id="29"/>
    </w:p>
    <w:p w:rsidR="003F56A5" w:rsidRDefault="005F2CE6">
      <w:pPr>
        <w:ind w:leftChars="300" w:left="630"/>
        <w:rPr>
          <w:rFonts w:ascii="楷体" w:eastAsia="楷体" w:hAnsi="楷体"/>
          <w:color w:val="000000" w:themeColor="text1"/>
          <w:sz w:val="24"/>
          <w:szCs w:val="24"/>
        </w:rPr>
      </w:pPr>
      <w:r w:rsidRPr="005F2CE6">
        <w:rPr>
          <w:rFonts w:ascii="楷体" w:eastAsia="楷体" w:hAnsi="楷体" w:hint="eastAsia"/>
          <w:color w:val="000000" w:themeColor="text1"/>
          <w:sz w:val="24"/>
          <w:szCs w:val="24"/>
        </w:rPr>
        <w:t>当前镍基本面依旧偏弱，精炼镍供应过剩更加明晰，不锈钢厂减产预期增加，新能源需求维持弱势，电池产业链仍在降价，整体对镍价支撑因素较为有限。不过库存继续减少，空单挤兑风险上升，对镍价构成一定的利好。预计短期震荡运行，波动区间17-18.6万。操作上仍建议反弹后逢高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A3F85" w:rsidRDefault="0079299D" w:rsidP="008B13D2">
      <w:pPr>
        <w:ind w:leftChars="200" w:left="420"/>
        <w:outlineLvl w:val="1"/>
        <w:rPr>
          <w:rFonts w:ascii="楷体" w:eastAsia="楷体" w:hAnsi="楷体"/>
          <w:b/>
          <w:color w:val="000000" w:themeColor="text1"/>
          <w:sz w:val="24"/>
          <w:szCs w:val="24"/>
        </w:rPr>
      </w:pPr>
      <w:bookmarkStart w:id="30" w:name="_Toc132103425"/>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2951EB" w:rsidRPr="002951EB">
        <w:rPr>
          <w:rFonts w:ascii="楷体" w:eastAsia="楷体" w:hAnsi="楷体" w:hint="eastAsia"/>
          <w:b/>
          <w:color w:val="000000" w:themeColor="text1"/>
          <w:sz w:val="24"/>
          <w:szCs w:val="24"/>
        </w:rPr>
        <w:t>供需双弱，价格震荡整理</w:t>
      </w:r>
      <w:bookmarkEnd w:id="30"/>
    </w:p>
    <w:p w:rsidR="008B13D2" w:rsidRPr="008B13D2" w:rsidRDefault="002951EB" w:rsidP="008B13D2">
      <w:pPr>
        <w:ind w:leftChars="300" w:left="630"/>
        <w:rPr>
          <w:rFonts w:ascii="楷体" w:eastAsia="楷体" w:hAnsi="楷体"/>
          <w:color w:val="000000" w:themeColor="text1"/>
          <w:sz w:val="24"/>
          <w:szCs w:val="24"/>
        </w:rPr>
      </w:pPr>
      <w:r w:rsidRPr="002951EB">
        <w:rPr>
          <w:rFonts w:ascii="楷体" w:eastAsia="楷体" w:hAnsi="楷体" w:hint="eastAsia"/>
          <w:color w:val="000000" w:themeColor="text1"/>
          <w:sz w:val="24"/>
          <w:szCs w:val="24"/>
        </w:rPr>
        <w:t>美国就业市场降温，非农数据未有超预期表现，实际美国通胀仍有粘性，加息之旅未走至终点，海外经济衰退风险加剧，国内经济政策整体宽松向好，宏观情绪外弱内强原生铅维持高产但产能利用率走低，冶炼厂开工积极性走弱，废旧电瓶货源偏紧价格挺立，再生铅利润逐步修复，冶炼厂多有检修技改计划，已有多个冶炼厂步入停产检修，淡季之下需求走弱，终端订单消费平淡，目前铅蓄电池企业开工率维持，显性库存持续去库。多空交织，铅价震荡为主，波动区间15000-15500</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2103426"/>
      <w:r>
        <w:rPr>
          <w:rFonts w:ascii="楷体" w:eastAsia="楷体" w:hAnsi="楷体" w:hint="eastAsia"/>
          <w:b/>
          <w:color w:val="000000" w:themeColor="text1"/>
          <w:sz w:val="24"/>
          <w:szCs w:val="24"/>
        </w:rPr>
        <w:t>不锈钢：</w:t>
      </w:r>
      <w:r w:rsidR="005F2CE6" w:rsidRPr="005F2CE6">
        <w:rPr>
          <w:rFonts w:ascii="楷体" w:eastAsia="楷体" w:hAnsi="楷体" w:hint="eastAsia"/>
          <w:b/>
          <w:color w:val="000000" w:themeColor="text1"/>
          <w:sz w:val="24"/>
          <w:szCs w:val="24"/>
        </w:rPr>
        <w:t>短期超跌反弹，力度或有限</w:t>
      </w:r>
      <w:bookmarkEnd w:id="31"/>
    </w:p>
    <w:p w:rsidR="003F56A5" w:rsidRDefault="005F2CE6">
      <w:pPr>
        <w:ind w:leftChars="300" w:left="630"/>
        <w:rPr>
          <w:rFonts w:ascii="楷体" w:eastAsia="楷体" w:hAnsi="楷体"/>
          <w:color w:val="000000" w:themeColor="text1"/>
          <w:sz w:val="24"/>
          <w:szCs w:val="24"/>
        </w:rPr>
      </w:pPr>
      <w:r w:rsidRPr="005F2CE6">
        <w:rPr>
          <w:rFonts w:ascii="楷体" w:eastAsia="楷体" w:hAnsi="楷体" w:hint="eastAsia"/>
          <w:color w:val="000000" w:themeColor="text1"/>
          <w:sz w:val="24"/>
          <w:szCs w:val="24"/>
        </w:rPr>
        <w:lastRenderedPageBreak/>
        <w:t>受周边金属市场转暖影响，不锈钢价探底回升。当前拖累不锈钢价格的主要因素仍在原料端，镍铁供应过剩预期下价格仍面临较大压力。不锈钢库存处于去化中，但高库存依旧无法为价格提供明显支撑，需要等待库存的进一步消化，短期价格支撑因素有限，预计反弹力度有限，中线等待原料企稳后的做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2103427"/>
      <w:r>
        <w:rPr>
          <w:rFonts w:ascii="楷体" w:eastAsia="楷体" w:hAnsi="楷体" w:hint="eastAsia"/>
          <w:b/>
          <w:color w:val="000000" w:themeColor="text1"/>
          <w:sz w:val="24"/>
          <w:szCs w:val="24"/>
        </w:rPr>
        <w:t>工业硅：</w:t>
      </w:r>
      <w:r w:rsidR="005F2CE6" w:rsidRPr="005F2CE6">
        <w:rPr>
          <w:rFonts w:ascii="楷体" w:eastAsia="楷体" w:hAnsi="楷体" w:hint="eastAsia"/>
          <w:b/>
          <w:sz w:val="24"/>
          <w:szCs w:val="24"/>
        </w:rPr>
        <w:t>下游需求持续低迷，市场或将继续承压运行</w:t>
      </w:r>
      <w:bookmarkEnd w:id="32"/>
    </w:p>
    <w:p w:rsidR="003F56A5" w:rsidRDefault="005F2CE6" w:rsidP="007103A5">
      <w:pPr>
        <w:ind w:leftChars="300" w:left="630"/>
        <w:rPr>
          <w:rFonts w:ascii="楷体" w:eastAsia="楷体" w:hAnsi="楷体"/>
          <w:sz w:val="24"/>
          <w:szCs w:val="24"/>
        </w:rPr>
      </w:pPr>
      <w:r w:rsidRPr="005F2CE6">
        <w:rPr>
          <w:rFonts w:ascii="楷体" w:eastAsia="楷体" w:hAnsi="楷体" w:hint="eastAsia"/>
          <w:sz w:val="24"/>
          <w:szCs w:val="24"/>
        </w:rPr>
        <w:t>4月10日，Si2308主力合约呈下行走势，收盘价14930元/吨，较上一收盘价涨跌幅-1.94%。下游有机硅市场持续走弱，上周周内 DMC 主流成交价格在 15300-15500 元/吨，周环环比下跌 1000 元/吨，生产一直处于亏损状态。因此，3月中下旬开始单体厂减停操作较多，据SMM 预计 3 月份产量约17 万吨，环比减少 4%，而4月份将进一步减少。整体来看，下游有机硅需求持续低迷，预计工业硅市场将继续承压运行，建议逢高做空为主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210342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5" w:name="_Toc132103429"/>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2951EB" w:rsidRPr="002951EB">
        <w:rPr>
          <w:rFonts w:ascii="Times New Roman" w:eastAsia="楷体" w:hAnsi="Times New Roman" w:hint="eastAsia"/>
          <w:b/>
          <w:color w:val="000000" w:themeColor="text1"/>
          <w:sz w:val="24"/>
          <w:szCs w:val="24"/>
        </w:rPr>
        <w:t>全钢重卡端数据好于预期</w:t>
      </w:r>
      <w:r w:rsidR="002951EB" w:rsidRPr="002951EB">
        <w:rPr>
          <w:rFonts w:ascii="Times New Roman" w:eastAsia="楷体" w:hAnsi="Times New Roman" w:hint="eastAsia"/>
          <w:b/>
          <w:color w:val="000000" w:themeColor="text1"/>
          <w:sz w:val="24"/>
          <w:szCs w:val="24"/>
        </w:rPr>
        <w:t xml:space="preserve"> RU</w:t>
      </w:r>
      <w:r w:rsidR="002951EB" w:rsidRPr="002951EB">
        <w:rPr>
          <w:rFonts w:ascii="Times New Roman" w:eastAsia="楷体" w:hAnsi="Times New Roman" w:hint="eastAsia"/>
          <w:b/>
          <w:color w:val="000000" w:themeColor="text1"/>
          <w:sz w:val="24"/>
          <w:szCs w:val="24"/>
        </w:rPr>
        <w:t>短期偏空影响减弱</w:t>
      </w:r>
      <w:bookmarkEnd w:id="35"/>
    </w:p>
    <w:p w:rsidR="003F56A5" w:rsidRDefault="002951EB">
      <w:pPr>
        <w:ind w:leftChars="300" w:left="630"/>
        <w:rPr>
          <w:rFonts w:ascii="楷体" w:eastAsia="楷体" w:hAnsi="楷体"/>
          <w:sz w:val="24"/>
          <w:szCs w:val="24"/>
        </w:rPr>
      </w:pPr>
      <w:r w:rsidRPr="002951EB">
        <w:rPr>
          <w:rFonts w:ascii="楷体" w:eastAsia="楷体" w:hAnsi="楷体" w:hint="eastAsia"/>
          <w:sz w:val="24"/>
          <w:szCs w:val="24"/>
        </w:rPr>
        <w:t>点评：昨日橡胶小幅回暖。目前制约橡胶上行的主要因素，与青岛港口库存高位、拐点迟迟未出现有关。尽管橡胶下游轮胎企业开工并不算差，但橡胶港口库存依旧高企，与前期欧美订单推迟，导致许多低价原料货源进入国内，近期集中到港有关。在经过数日回调后，天胶现货及原料价格已跌至成本线附近，随着市场恐慌情绪逐渐缓解，以及云南部分地区胶树因白粉病延迟开割给予价格底部支撑，天胶继续下跌的空间缩小。具体来看，供应方面，全球天然橡胶供应仍处季节性减产期，原料端整体产出收缩，近期原料价格小幅上行，对胶价支撑尚可。下游轮胎方面，国内乘用车轮胎替换需求来临，目前部分畅销型号缺货现象仍未缓解，排产将保持高位运行状态，全钢胎上周则逆势增长，或与重卡销量与国内物流运输情况好转有关。但进入4月份，随着渠道订单逐步到位，工厂出货节奏将有所放缓。预计短期内企业产能利用率将在高位持稳运行。终端汽车方面，2月车市景气度有所提升，但从1-2月份累计数据来看同比去年仍有所下滑。近期湖北等地发布政企联合汽车“价格战”，叠加前期疫情抑制的终端消费需求还在持续释放中，预计3月汽车市场延续增长态势，短期对橡胶有足够支撑；重卡销量方面，3月预估为9.7万辆，同环比继续明显提升，给盘面带来一定利好和信心。综合来看，后续橡胶能否飞跃取决于新能源汽车补贴退坡以及燃油汽车购置税减半结束后汽车消费的表现，以及基建和地产端对商用车的提振效果。只有等天胶港口库存出现拐点，才能印证橡胶实际需求的转好。从RU目前基本面来看，天胶在成本支撑下底部较为坚实，终端汽车、重卡产销景气度有所回升，同时下游轮胎厂在订单存缺口下对原料的补货预期仍存。此外，货运景气度和运价指数等指标显示商品的公路货运行业亦出现转好迹象，利好橡胶主要下游如重卡轮胎替换和重型卡车的销量。因此投资者不应过分看空橡胶。预计短期天胶在港口库存拐点不明朗的情况下继续上涨稍显乏力，但继续下行空间较为有限。中长</w:t>
      </w:r>
      <w:r w:rsidRPr="002951EB">
        <w:rPr>
          <w:rFonts w:ascii="楷体" w:eastAsia="楷体" w:hAnsi="楷体" w:hint="eastAsia"/>
          <w:sz w:val="24"/>
          <w:szCs w:val="24"/>
        </w:rPr>
        <w:lastRenderedPageBreak/>
        <w:t>期待RU在国内汽车产量继续回暖、货运需求逐步恢复下仍有上涨动力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2103430"/>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5F2CE6" w:rsidRPr="005F2CE6">
        <w:rPr>
          <w:rFonts w:ascii="楷体" w:eastAsia="楷体" w:hAnsi="楷体" w:hint="eastAsia"/>
          <w:b/>
          <w:color w:val="000000" w:themeColor="text1"/>
          <w:sz w:val="24"/>
          <w:szCs w:val="24"/>
        </w:rPr>
        <w:t>成本端及供给偏紧继续给予支撑</w:t>
      </w:r>
      <w:bookmarkEnd w:id="36"/>
      <w:r>
        <w:rPr>
          <w:rFonts w:ascii="楷体" w:eastAsia="楷体" w:hAnsi="楷体" w:hint="eastAsia"/>
          <w:b/>
          <w:color w:val="000000" w:themeColor="text1"/>
          <w:sz w:val="24"/>
          <w:szCs w:val="24"/>
        </w:rPr>
        <w:t xml:space="preserve"> </w:t>
      </w:r>
    </w:p>
    <w:p w:rsidR="003F56A5" w:rsidRDefault="005F2CE6" w:rsidP="008E3B84">
      <w:pPr>
        <w:ind w:leftChars="300" w:left="630"/>
        <w:rPr>
          <w:rFonts w:ascii="楷体" w:eastAsia="楷体" w:hAnsi="楷体"/>
          <w:color w:val="000000" w:themeColor="text1"/>
          <w:sz w:val="24"/>
          <w:szCs w:val="24"/>
        </w:rPr>
      </w:pPr>
      <w:r w:rsidRPr="005F2CE6">
        <w:rPr>
          <w:rFonts w:ascii="楷体" w:eastAsia="楷体" w:hAnsi="楷体" w:hint="eastAsia"/>
          <w:color w:val="000000" w:themeColor="text1"/>
          <w:sz w:val="24"/>
          <w:szCs w:val="24"/>
        </w:rPr>
        <w:t>PX方面，4-5月份为 PX 传统检修季及调油逻辑仍存，对 PTA 支撑仍较强。供给方面，三房巷120万吨恢复正常，威联化学250万吨小幅降负，仪征64万吨重启，至4.6 PTA负荷调整至81%附近。需求方面，上周主流变动在于几套聚酯装置减产或检修，聚酯负荷整体有所下滑。截至4.6 初步核算国内大陆地区聚酯负荷在89.4%。随着新订单减少，4月份后负荷逐步会有下行压力。从聚酯终端需求来看，清明前后江浙终端开工率下降较多，江浙终端开工率下降，订单继续回落。展望后市，以OPEC+165万桶/日的超预期减产，预计二季度原油价格大概率在78-83美元/桶之间震荡，对于下游的成本支撑有所加固。虽下游需求出现趋弱迹象，但终端厂商需求弹性较大且主要受成本端逻辑主导。短期内油价偏强、05多头面临移仓换月及聚酯大厂暂未大幅减产动作，PTA仍将维持强势格局。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2103431"/>
      <w:r>
        <w:rPr>
          <w:rFonts w:ascii="楷体" w:eastAsia="楷体" w:hAnsi="楷体" w:hint="eastAsia"/>
          <w:b/>
          <w:color w:val="000000" w:themeColor="text1"/>
          <w:sz w:val="24"/>
          <w:szCs w:val="24"/>
        </w:rPr>
        <w:t>PVC：</w:t>
      </w:r>
      <w:r w:rsidR="00A71A7E" w:rsidRPr="00A71A7E">
        <w:rPr>
          <w:rFonts w:ascii="楷体" w:eastAsia="楷体" w:hAnsi="楷体" w:hint="eastAsia"/>
          <w:b/>
          <w:color w:val="000000" w:themeColor="text1"/>
          <w:sz w:val="24"/>
          <w:szCs w:val="24"/>
        </w:rPr>
        <w:t>春检在即供需改善 关注V低多机会</w:t>
      </w:r>
      <w:bookmarkEnd w:id="37"/>
    </w:p>
    <w:p w:rsidR="003F56A5" w:rsidRDefault="00A71A7E">
      <w:pPr>
        <w:ind w:leftChars="300" w:left="630"/>
        <w:rPr>
          <w:rFonts w:ascii="楷体" w:eastAsia="楷体" w:hAnsi="楷体"/>
          <w:color w:val="000000" w:themeColor="text1"/>
          <w:sz w:val="24"/>
          <w:szCs w:val="24"/>
        </w:rPr>
      </w:pPr>
      <w:r w:rsidRPr="00A71A7E">
        <w:rPr>
          <w:rFonts w:ascii="楷体" w:eastAsia="楷体" w:hAnsi="楷体" w:hint="eastAsia"/>
          <w:color w:val="000000" w:themeColor="text1"/>
          <w:sz w:val="24"/>
          <w:szCs w:val="24"/>
        </w:rPr>
        <w:t>本周国内PVC行业开工负荷率继续下降，据卓创资讯数据显示，本周PVC整体开工负荷率75.83%，环比下降1.31%；其中电石法PVC开工负荷率73.02%，环比下降1.74%；乙烯法PVC开工负荷率85.42%，环比增加0.12%。库存方面，需求恢复至旺季，库存先增后降。综合来看，PVC预估生产利润长期亏损带来的负反馈及即将到来的春检等因素影响，供应有缩量预期。需求端尚处在季节性旺季，进入4月国内建筑行业也将有所复苏，PVC下游制品企业开工有进一步提升预期。从库存的季节性规律来看，近期社库连续去库且去库幅度较大，装置春检开启后有望延续去库态势。国内地产利好政策仍在，中线消费回暖仍存期待，PVC可考虑逢低加多，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2103432"/>
      <w:r>
        <w:rPr>
          <w:rFonts w:ascii="楷体" w:eastAsia="楷体" w:hAnsi="楷体" w:hint="eastAsia"/>
          <w:b/>
          <w:color w:val="000000" w:themeColor="text1"/>
          <w:sz w:val="24"/>
          <w:szCs w:val="24"/>
        </w:rPr>
        <w:t>聚烯烃：</w:t>
      </w:r>
      <w:r w:rsidR="002951EB" w:rsidRPr="002951EB">
        <w:rPr>
          <w:rFonts w:ascii="楷体" w:eastAsia="楷体" w:hAnsi="楷体" w:hint="eastAsia"/>
          <w:b/>
          <w:color w:val="000000" w:themeColor="text1"/>
          <w:sz w:val="24"/>
          <w:szCs w:val="24"/>
        </w:rPr>
        <w:t>下游需求提升缓慢 聚烯烃或偏弱整理为主</w:t>
      </w:r>
      <w:bookmarkEnd w:id="38"/>
    </w:p>
    <w:p w:rsidR="003F56A5" w:rsidRDefault="002951EB">
      <w:pPr>
        <w:ind w:leftChars="300" w:left="630"/>
        <w:rPr>
          <w:rFonts w:ascii="楷体" w:eastAsia="楷体" w:hAnsi="楷体"/>
          <w:bCs/>
          <w:sz w:val="24"/>
          <w:szCs w:val="24"/>
        </w:rPr>
      </w:pPr>
      <w:r w:rsidRPr="002951EB">
        <w:rPr>
          <w:rFonts w:ascii="楷体" w:eastAsia="楷体" w:hAnsi="楷体" w:hint="eastAsia"/>
          <w:color w:val="000000" w:themeColor="text1"/>
          <w:sz w:val="24"/>
          <w:szCs w:val="24"/>
        </w:rPr>
        <w:t>近期聚烯烃窄幅波动。库存方面，上周五国内PE库存环比3月24日下降2.32%，其中主要生产环节PE库存环比下降4.04%，PE样本港口库存环比下降0.37%，样本贸易企业库存环比下降1.98%。上周五国内PP库存环比3月24日下降3.90%。其中主要生产环节PP库存、贸易环节库存均有下降，港口库存上升。短期聚烯烃去库节奏尚可。成本方面，对美联储进一步加息的担忧抵消了欧佩克及其减产同盟国进一步减产的担忧，加之美元汇率增强，欧美原油期货下跌。目前油制PE利润大约为-37.79元/吨，油制PP利润大约为-1211.28元/吨，目前利润有所下降；需求方面，PE下游方面，棚膜工厂间歇性停机，地膜生产尚可，但后续需求跟进有限，工厂采购坚持刚需。PP方面，BOPP整体成交一般，部分企业报价下调，实际成交注重商谈，整体量较上一交易日减少，当前BOPP企业未交付订单多数在7天内，部分至4月中下旬。综合来看，PE方面，成本端原油价格下跌，对聚乙烯成本端支撑减弱；供应方面，供应压力仍存；需求方面，下游订单情况不佳，工厂逢低补货，多持观望态度，提振力度有限。预计今日聚乙烯价格窄幅震荡为主。PP方面，目前终端需求始终未见实质性恢复，工厂备货意愿偏低，采购以刚需跟进为主，现货价格区间震荡，4月计划停车装置增多，昨日停车比例上升至16.46%，供应压力有所减弱，因此预计</w:t>
      </w:r>
      <w:r w:rsidRPr="002951EB">
        <w:rPr>
          <w:rFonts w:ascii="楷体" w:eastAsia="楷体" w:hAnsi="楷体" w:hint="eastAsia"/>
          <w:color w:val="000000" w:themeColor="text1"/>
          <w:sz w:val="24"/>
          <w:szCs w:val="24"/>
        </w:rPr>
        <w:lastRenderedPageBreak/>
        <w:t>今日市场偏弱整理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2103433"/>
      <w:r>
        <w:rPr>
          <w:rFonts w:ascii="楷体" w:eastAsia="楷体" w:hAnsi="楷体" w:hint="eastAsia"/>
          <w:b/>
          <w:color w:val="000000" w:themeColor="text1"/>
          <w:sz w:val="24"/>
          <w:szCs w:val="24"/>
        </w:rPr>
        <w:t>MEG：</w:t>
      </w:r>
      <w:r w:rsidR="005F2CE6" w:rsidRPr="005F2CE6">
        <w:rPr>
          <w:rFonts w:ascii="楷体" w:eastAsia="楷体" w:hAnsi="楷体" w:hint="eastAsia"/>
          <w:b/>
          <w:color w:val="000000" w:themeColor="text1"/>
          <w:sz w:val="24"/>
          <w:szCs w:val="24"/>
        </w:rPr>
        <w:t>关注09低多机会</w:t>
      </w:r>
      <w:bookmarkEnd w:id="39"/>
    </w:p>
    <w:p w:rsidR="003F56A5" w:rsidRDefault="005F2CE6" w:rsidP="00E45000">
      <w:pPr>
        <w:ind w:leftChars="300" w:left="630"/>
        <w:rPr>
          <w:rFonts w:ascii="楷体" w:eastAsia="楷体" w:hAnsi="楷体"/>
          <w:color w:val="000000" w:themeColor="text1"/>
          <w:sz w:val="24"/>
          <w:szCs w:val="24"/>
        </w:rPr>
      </w:pPr>
      <w:r w:rsidRPr="005F2CE6">
        <w:rPr>
          <w:rFonts w:ascii="楷体" w:eastAsia="楷体" w:hAnsi="楷体" w:hint="eastAsia"/>
          <w:color w:val="000000" w:themeColor="text1"/>
          <w:sz w:val="24"/>
          <w:szCs w:val="24"/>
        </w:rPr>
        <w:t>供需情况，4.10 华东主港地区MEG港口库存约108.2万吨附近，环比上期减少4.1万吨。其中宁波9.7万吨，较上期增加0.7万吨，4月3日至4月9日宁波主要库区日均发货约2000吨附近；张家港54.1万吨附近，较上期减少3.0万吨。截至4月6日，中国大陆地区乙二醇整体开工负荷在55.18%（-5.25%），其中煤制乙二醇开工负荷在51.81%（-2.63%）。大连一套90万吨/年的MEG装置已按计划于4月1日起停车检修，预计检修时长在一个月附近。进口方面来看，马来西亚一套75万吨/年的MEG装置于3月底再次停车，重启时间待定。聚酯需求端来看，截止4.6初步核算国内大陆地区聚酯负荷在89.4%。上周江浙终端开工率局部下降，织造新单氛围不佳。江浙加弹综合开工率71%(-13%)，江浙织机综合开工率65%(-6%），江浙印染综合开工率77%（-4%），织造新单氛围持续回落，江浙终端开工率下降。综合来看，进入4月份乙二醇供给端多套大装置检修如恒力石化、海南炼化等，供应边际有缩量预期。乙二醇阶段性供需矛盾缓和，供需双减，短期来看05合约预估维持4000-4200区间走势，关注后期EG 09  4150附近低位加多机会。仅供参考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2103434"/>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5F2CE6" w:rsidRPr="005F2CE6">
        <w:rPr>
          <w:rFonts w:ascii="楷体" w:eastAsia="楷体" w:hAnsi="楷体" w:hint="eastAsia"/>
          <w:b/>
          <w:color w:val="000000" w:themeColor="text1"/>
          <w:sz w:val="24"/>
          <w:szCs w:val="24"/>
        </w:rPr>
        <w:t>现货以涨促销，盘面主力移仓9月</w:t>
      </w:r>
      <w:bookmarkEnd w:id="40"/>
    </w:p>
    <w:p w:rsidR="00A71A7E" w:rsidRDefault="005F2CE6" w:rsidP="0079299D">
      <w:pPr>
        <w:ind w:leftChars="300" w:left="630"/>
        <w:rPr>
          <w:rFonts w:ascii="楷体" w:eastAsia="楷体" w:hAnsi="楷体"/>
          <w:color w:val="000000" w:themeColor="text1"/>
          <w:sz w:val="24"/>
          <w:szCs w:val="24"/>
        </w:rPr>
      </w:pPr>
      <w:r w:rsidRPr="005F2CE6">
        <w:rPr>
          <w:rFonts w:ascii="楷体" w:eastAsia="楷体" w:hAnsi="楷体" w:hint="eastAsia"/>
          <w:color w:val="000000" w:themeColor="text1"/>
          <w:sz w:val="24"/>
          <w:szCs w:val="24"/>
        </w:rPr>
        <w:t>今日浮法玻璃现货价格1782，较上一交易日+4，北方整体带涨价，华北+25，其中沙河小板+24；华东+10；西南+10；东北+30；西北+20，厂家以涨促销。基本面无明显变化，库存由原片厂向中间商和深加工企业转移，房地产需求边际走弱，地产修复的可持续性有待观察，05合约走交割逻辑收基差，09合约由于下游地产景气度走弱偏空，整体高供应高库存仍对玻璃上涨有压制作用，盘面震荡为主，参考区间：1650-1750元/</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2103435"/>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5F2CE6" w:rsidRPr="005F2CE6">
        <w:rPr>
          <w:rFonts w:ascii="楷体" w:eastAsia="楷体" w:hAnsi="楷体" w:hint="eastAsia"/>
          <w:b/>
          <w:color w:val="000000" w:themeColor="text1"/>
          <w:sz w:val="24"/>
          <w:szCs w:val="24"/>
        </w:rPr>
        <w:t>现货稳价运行，下游采购意愿不佳</w:t>
      </w:r>
      <w:bookmarkEnd w:id="41"/>
    </w:p>
    <w:p w:rsidR="00A71A7E" w:rsidRDefault="005F2CE6" w:rsidP="00A71A7E">
      <w:pPr>
        <w:ind w:leftChars="300" w:left="630"/>
        <w:rPr>
          <w:rFonts w:ascii="楷体" w:eastAsia="楷体" w:hAnsi="楷体"/>
          <w:bCs/>
          <w:sz w:val="24"/>
          <w:szCs w:val="24"/>
        </w:rPr>
      </w:pPr>
      <w:r w:rsidRPr="005F2CE6">
        <w:rPr>
          <w:rFonts w:ascii="楷体" w:eastAsia="楷体" w:hAnsi="楷体" w:hint="eastAsia"/>
          <w:color w:val="000000" w:themeColor="text1"/>
          <w:sz w:val="24"/>
          <w:szCs w:val="24"/>
        </w:rPr>
        <w:t>国内纯碱市场走势以稳为主，交投情绪偏淡，现货价格以稳价为主。库存仍处于历史绝对低位水平，轻碱需求暂未启动，周度略有累库，重碱价格较高下游刚需采购等待纯碱扩产，基本面处于供需平衡状态。盘面在弱预期强现实的影响下震荡，但由于轻碱端需求的不确定性和未来进口量的不确定性，纯碱后续上行驱动需看到产业进一步偏紧，远兴投产前仍有博弈机会。重点关注轻碱需求及进口。09合约虽有长线扩产利空因素影响，但假设无大量突发进口或轻碱需求走强，供需仍会进一步进入紧张状态，短线震荡博弈。参考区间：2350-2500</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210343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2103437"/>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5F2CE6" w:rsidRPr="005F2CE6">
        <w:rPr>
          <w:rFonts w:ascii="楷体" w:eastAsia="楷体" w:hAnsi="楷体" w:hint="eastAsia"/>
          <w:b/>
          <w:sz w:val="24"/>
          <w:szCs w:val="24"/>
        </w:rPr>
        <w:t>震荡偏弱，阶段性供给压力仍存</w:t>
      </w:r>
      <w:bookmarkEnd w:id="43"/>
    </w:p>
    <w:p w:rsidR="003F56A5" w:rsidRDefault="005F2CE6">
      <w:pPr>
        <w:ind w:leftChars="300" w:left="630"/>
        <w:rPr>
          <w:rFonts w:ascii="楷体" w:eastAsia="楷体" w:hAnsi="楷体"/>
          <w:sz w:val="24"/>
          <w:szCs w:val="24"/>
        </w:rPr>
      </w:pPr>
      <w:r w:rsidRPr="005F2CE6">
        <w:rPr>
          <w:rFonts w:ascii="楷体" w:eastAsia="楷体" w:hAnsi="楷体" w:hint="eastAsia"/>
          <w:sz w:val="24"/>
          <w:szCs w:val="24"/>
        </w:rPr>
        <w:t>CBOT大豆高位震荡，且05合约临近交割前月，期现回归，对盘面构成支撑，但巴西贴水仍继续回落。当前巴西大豆收割及出口进度加快，而库容有限，农户销售意愿较强，后续供应压力预计会逐步释放，4月份预计出</w:t>
      </w:r>
      <w:r w:rsidRPr="005F2CE6">
        <w:rPr>
          <w:rFonts w:ascii="楷体" w:eastAsia="楷体" w:hAnsi="楷体" w:hint="eastAsia"/>
          <w:sz w:val="24"/>
          <w:szCs w:val="24"/>
        </w:rPr>
        <w:lastRenderedPageBreak/>
        <w:t>口1373.6万吨，高于前一个月，持续关注出口情况。国内市场，近期进口大豆还未大量到港，在供应减少及下游需求偏弱下油厂开机维持低位，但4月份仍存在延迟到港情况，根据机构预估4月份预计到港780万吨，油厂开机提升预计在4月中下旬，阶段性供应压力后移。下游养殖利润表现仍不佳，饲企和养殖企业等对豆粕饲用需求偏弱，虽近期饲料配方豆粕添加比例上调，但增量有限，现货基差后续仍面临压力。菜粕供应端在进口菜籽持续增加下逐步修复，油厂开机及压榨明显回升。而需求方面在豆粕价格回落后菜粕替代需求逐渐减弱。在近期天气逐步回暖后，华南水产需求预计启动。策略方面，关注巴西大豆到港节奏，随着巴西收割加快卖压也将逐步显现，期货上方空间有限，建议空单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2103438"/>
      <w:r>
        <w:rPr>
          <w:rFonts w:ascii="楷体" w:eastAsia="楷体" w:hAnsi="楷体" w:hint="eastAsia"/>
          <w:b/>
          <w:color w:val="000000" w:themeColor="text1"/>
          <w:sz w:val="24"/>
          <w:szCs w:val="24"/>
        </w:rPr>
        <w:t>油脂：</w:t>
      </w:r>
      <w:r w:rsidR="005F2CE6" w:rsidRPr="005F2CE6">
        <w:rPr>
          <w:rFonts w:ascii="楷体" w:eastAsia="楷体" w:hAnsi="楷体" w:hint="eastAsia"/>
          <w:b/>
          <w:sz w:val="24"/>
          <w:szCs w:val="24"/>
        </w:rPr>
        <w:t>走势震荡偏弱</w:t>
      </w:r>
      <w:bookmarkEnd w:id="44"/>
    </w:p>
    <w:p w:rsidR="003F56A5" w:rsidRDefault="005F2CE6" w:rsidP="00792D31">
      <w:pPr>
        <w:ind w:leftChars="300" w:left="630"/>
        <w:rPr>
          <w:rFonts w:ascii="楷体" w:eastAsia="楷体" w:hAnsi="楷体"/>
          <w:sz w:val="24"/>
          <w:szCs w:val="24"/>
        </w:rPr>
      </w:pPr>
      <w:r w:rsidRPr="005F2CE6">
        <w:rPr>
          <w:rFonts w:ascii="楷体" w:eastAsia="楷体" w:hAnsi="楷体" w:hint="eastAsia"/>
          <w:sz w:val="24"/>
          <w:szCs w:val="24"/>
        </w:rPr>
        <w:t>3月MPOB报告数据偏利多，马来棕榈油产量128.84万吨，环比增2.77%；出口148.62万吨，环比增31.76%；库存167.3万吨，环比降21.08%，低于市场预估。棕榈油方面，虽马棕1-3月份受天气影响处于减产周期，叠加3月份开斋节前备货需求出口环比跳增，库存超预期收紧。但4月后马来进入增产阶段，出口需求预计下滑，将抑制棕榈油反弹空间，船运机构显示马来西亚4月1-10日棕榈油出口量为303285吨，环比减少39.53%。国内棕榈油供应较充裕，近期库存高位回落，在进口利润持续倒挂下，出现洗船情况，二季度进口预计下滑。随着后续天气回暖，棕榈油消费预计增加，去库速度仍需看消费端大幅回升。豆油，随着天气回暖，在豆棕价差较大下利好棕榈油替代需求，近期下游成交较清淡。近期大部分油厂开机还未恢复，豆油周度库存小幅回落，处于历史低位水平，但随着后续进口大豆大量供应，豆油供应存边际修复预期，有望累库。菜油在供应边际改善下，短期上方压力仍存。随着进口加籽到港量逐步增加，菜籽库存维持高位，1-2月累计进口菜籽106万吨，且近期菜籽到港预计仍维持偏高水平。油厂开机回升，叠加进口菜油增加，供应逐渐改善。需求方面，一级豆油价格与三级菜油呈现倒挂，后续或提振部分菜油替代需求，支撑价格反弹。短期基本面仍缺乏有效利好支撑，上方空间预计有限，建议短线操作，关注做空豆棕09套利</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2103439"/>
      <w:r>
        <w:rPr>
          <w:rFonts w:ascii="楷体" w:eastAsia="楷体" w:hAnsi="楷体" w:hint="eastAsia"/>
          <w:b/>
          <w:bCs/>
          <w:color w:val="000000" w:themeColor="text1"/>
        </w:rPr>
        <w:t>玉米与淀粉：</w:t>
      </w:r>
      <w:r w:rsidR="002951EB" w:rsidRPr="002951EB">
        <w:rPr>
          <w:rFonts w:ascii="楷体" w:eastAsia="楷体" w:hAnsi="楷体" w:hint="eastAsia"/>
          <w:b/>
        </w:rPr>
        <w:t>期价大幅反弹</w:t>
      </w:r>
      <w:bookmarkEnd w:id="45"/>
    </w:p>
    <w:p w:rsidR="002951EB" w:rsidRPr="002951EB" w:rsidRDefault="002951EB" w:rsidP="002951EB">
      <w:pPr>
        <w:pStyle w:val="paragraph"/>
        <w:spacing w:before="60" w:after="60"/>
        <w:ind w:leftChars="300" w:left="630"/>
        <w:rPr>
          <w:rFonts w:ascii="楷体" w:eastAsia="楷体" w:hAnsi="楷体" w:hint="eastAsia"/>
        </w:rPr>
      </w:pPr>
      <w:r w:rsidRPr="002951EB">
        <w:rPr>
          <w:rFonts w:ascii="楷体" w:eastAsia="楷体" w:hAnsi="楷体" w:hint="eastAsia"/>
        </w:rPr>
        <w:t>对于玉米而言，近期市场关注的核心是国产玉米的性价比优势，通过比较可以看出，目前玉米期价贴近产区和北方港口平仓价，这是短期支撑所在，但显著高于玉米进口成本和国内小麦和陈化水稻，依然不具备性价比优势，因此，我们延续谨慎看空观点，接下来需要重点关注进口玉米与国内小麦价格的变动。综上所述，我们维持谨慎看空观点，建议持有前期空单（如有的话）。</w:t>
      </w:r>
    </w:p>
    <w:p w:rsidR="003F56A5" w:rsidRDefault="002951EB" w:rsidP="002951EB">
      <w:pPr>
        <w:pStyle w:val="paragraph"/>
        <w:spacing w:before="60" w:beforeAutospacing="0" w:after="60" w:afterAutospacing="0"/>
        <w:ind w:leftChars="300" w:left="630"/>
        <w:rPr>
          <w:rFonts w:ascii="楷体" w:eastAsia="楷体" w:hAnsi="楷体"/>
        </w:rPr>
      </w:pPr>
      <w:r w:rsidRPr="002951EB">
        <w:rPr>
          <w:rFonts w:ascii="楷体" w:eastAsia="楷体" w:hAnsi="楷体" w:hint="eastAsia"/>
        </w:rPr>
        <w:t>对于淀粉而言，近期淀粉-玉米价差有所走扩，主要源于两个方面的原因，其一是现货生产延续亏损状态，带动行业开机率持续小幅下滑；其二是华北小麦止跌企稳，带动华北-东北玉米价差走强。但原料端的风险</w:t>
      </w:r>
      <w:r w:rsidRPr="002951EB">
        <w:rPr>
          <w:rFonts w:ascii="楷体" w:eastAsia="楷体" w:hAnsi="楷体" w:hint="eastAsia"/>
        </w:rPr>
        <w:lastRenderedPageBreak/>
        <w:t>依然存在，且当前行业库存表明供需依然宽松，在淀粉基差走弱、盘面生产利润改善的情况下，后期价差或仍有反复</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2103440"/>
      <w:r>
        <w:rPr>
          <w:rFonts w:ascii="楷体" w:eastAsia="楷体" w:hAnsi="楷体" w:hint="eastAsia"/>
          <w:b/>
          <w:bCs/>
          <w:color w:val="000000" w:themeColor="text1"/>
        </w:rPr>
        <w:t>畜禽养殖：</w:t>
      </w:r>
      <w:r w:rsidR="002951EB" w:rsidRPr="002951EB">
        <w:rPr>
          <w:rFonts w:ascii="楷体" w:eastAsia="楷体" w:hAnsi="楷体" w:hint="eastAsia"/>
          <w:b/>
          <w:bCs/>
          <w:color w:val="000000" w:themeColor="text1"/>
        </w:rPr>
        <w:t>生猪现货带动期价继续弱势</w:t>
      </w:r>
      <w:bookmarkEnd w:id="46"/>
    </w:p>
    <w:p w:rsidR="002951EB" w:rsidRPr="002951EB" w:rsidRDefault="002951EB" w:rsidP="002951EB">
      <w:pPr>
        <w:pStyle w:val="paragraph"/>
        <w:spacing w:before="60" w:after="60"/>
        <w:ind w:leftChars="300" w:left="630"/>
        <w:rPr>
          <w:rFonts w:ascii="楷体" w:eastAsia="楷体" w:hAnsi="楷体" w:hint="eastAsia"/>
        </w:rPr>
      </w:pPr>
      <w:r w:rsidRPr="002951EB">
        <w:rPr>
          <w:rFonts w:ascii="楷体" w:eastAsia="楷体" w:hAnsi="楷体" w:hint="eastAsia"/>
        </w:rPr>
        <w:t>对于生猪而言，2月下旬以来现货表现不及我们之前预期，在我们看来，主要原因有二，一方面低估了节前堆积的供应量，另一方面则源于节后非瘟疫情对供应的阶段性影响。对于需求层面，考虑到生猪餐饮食堂消费占比较大，随着新冠疫情防控政策的放开，社会流动性提高，消费有望恢复至常年水平，除去宏观经济数据外，从节后鸡蛋和白羽鸡价格和利润处于历史同期高位水平可以得到印证。考虑到节前积累的供应仍有待消化，生猪现货缺乏上涨动力，与此同时，生猪养殖已经深度亏损，继续下跌将触发国家储备收购，期价继续下跌空间亦有限。在这种情况下，暂维持中性观点，后期或再度转向看多，建议投资者暂以观望为宜，待现货再度上涨后择机入场做多。</w:t>
      </w:r>
    </w:p>
    <w:p w:rsidR="003F56A5" w:rsidRDefault="002951EB" w:rsidP="002951EB">
      <w:pPr>
        <w:pStyle w:val="paragraph"/>
        <w:spacing w:before="60" w:beforeAutospacing="0" w:after="60" w:afterAutospacing="0"/>
        <w:ind w:leftChars="300" w:left="630"/>
        <w:rPr>
          <w:rFonts w:ascii="楷体" w:eastAsia="楷体" w:hAnsi="楷体"/>
        </w:rPr>
      </w:pPr>
      <w:r w:rsidRPr="002951EB">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现货市场表现符合我们之前预期，而期价表现弱势更多源于远期供需改善的担忧，远月期价大幅下跌，5-9价差处于历史同期最高水平，进而压制近月合约。在这种情况下，我们倾向于认为当前市场矛盾主要集中在近月合约上，考虑到2305合约基差处于历史高位，而现货季节性和供需仍支持现货阶段性强势，后期基差修复更多通过期价上涨来实现，据此维持谨慎看多观点，建议持有2305合约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2103441"/>
      <w:r>
        <w:rPr>
          <w:rFonts w:ascii="楷体" w:eastAsia="楷体" w:hAnsi="楷体" w:hint="eastAsia"/>
          <w:b/>
          <w:sz w:val="24"/>
          <w:szCs w:val="24"/>
        </w:rPr>
        <w:t>郑棉：</w:t>
      </w:r>
      <w:r w:rsidR="002951EB" w:rsidRPr="002951EB">
        <w:rPr>
          <w:rFonts w:ascii="楷体" w:eastAsia="楷体" w:hAnsi="楷体" w:hint="eastAsia"/>
          <w:b/>
          <w:sz w:val="24"/>
          <w:szCs w:val="24"/>
        </w:rPr>
        <w:t>郑棉震荡下行。等待回落后的重新加多或卖出看跌期权机会</w:t>
      </w:r>
      <w:bookmarkEnd w:id="47"/>
    </w:p>
    <w:p w:rsidR="003F56A5" w:rsidRDefault="002951EB" w:rsidP="008F2A6E">
      <w:pPr>
        <w:ind w:leftChars="300" w:left="630"/>
        <w:rPr>
          <w:rFonts w:ascii="楷体" w:eastAsia="楷体" w:hAnsi="楷体"/>
          <w:sz w:val="24"/>
          <w:szCs w:val="24"/>
        </w:rPr>
      </w:pPr>
      <w:r w:rsidRPr="002951EB">
        <w:rPr>
          <w:rFonts w:ascii="楷体" w:eastAsia="楷体" w:hAnsi="楷体" w:hint="eastAsia"/>
          <w:sz w:val="24"/>
          <w:szCs w:val="24"/>
        </w:rPr>
        <w:t>在贸易商和远月看多资金的博弈下，5-9合约以一个相对稳定的价差完成了移仓换月。而05的期现基差也在回归途中。但现货供应依然充裕，中下游的开机率也有降低预期，纱线价格暗弱，纺织利润收缩，4月的刚性需求支撑同样弱于3月，短期近月棉价难以出现趋势性大涨。预计09合约区间在1.4-1.5区间波段式震荡整理，等待重新入多和卖出看跌期权的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ED6" w:rsidRDefault="00371ED6">
      <w:r>
        <w:separator/>
      </w:r>
    </w:p>
  </w:endnote>
  <w:endnote w:type="continuationSeparator" w:id="0">
    <w:p w:rsidR="00371ED6" w:rsidRDefault="0037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B36CCAE" wp14:editId="2056F00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F2CE6">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F2CE6">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ED6" w:rsidRDefault="00371ED6">
      <w:r>
        <w:separator/>
      </w:r>
    </w:p>
  </w:footnote>
  <w:footnote w:type="continuationSeparator" w:id="0">
    <w:p w:rsidR="00371ED6" w:rsidRDefault="00371E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552E993B" wp14:editId="77B94FC9">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4242F497" wp14:editId="1DAE199A">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2951EB">
      <w:rPr>
        <w:rFonts w:ascii="Times New Roman" w:eastAsia="楷体" w:hAnsi="Times New Roman" w:hint="eastAsia"/>
        <w:b/>
        <w:bCs/>
        <w:noProof/>
        <w:color w:val="833C0B"/>
        <w:sz w:val="21"/>
      </w:rPr>
      <w:t>2023</w:t>
    </w:r>
    <w:r w:rsidR="002951EB">
      <w:rPr>
        <w:rFonts w:ascii="Times New Roman" w:eastAsia="楷体" w:hAnsi="Times New Roman" w:hint="eastAsia"/>
        <w:b/>
        <w:bCs/>
        <w:noProof/>
        <w:color w:val="833C0B"/>
        <w:sz w:val="21"/>
      </w:rPr>
      <w:t>年</w:t>
    </w:r>
    <w:r w:rsidR="002951EB">
      <w:rPr>
        <w:rFonts w:ascii="Times New Roman" w:eastAsia="楷体" w:hAnsi="Times New Roman" w:hint="eastAsia"/>
        <w:b/>
        <w:bCs/>
        <w:noProof/>
        <w:color w:val="833C0B"/>
        <w:sz w:val="21"/>
      </w:rPr>
      <w:t>4</w:t>
    </w:r>
    <w:r w:rsidR="002951EB">
      <w:rPr>
        <w:rFonts w:ascii="Times New Roman" w:eastAsia="楷体" w:hAnsi="Times New Roman" w:hint="eastAsia"/>
        <w:b/>
        <w:bCs/>
        <w:noProof/>
        <w:color w:val="833C0B"/>
        <w:sz w:val="21"/>
      </w:rPr>
      <w:t>月</w:t>
    </w:r>
    <w:r w:rsidR="002951EB">
      <w:rPr>
        <w:rFonts w:ascii="Times New Roman" w:eastAsia="楷体" w:hAnsi="Times New Roman" w:hint="eastAsia"/>
        <w:b/>
        <w:bCs/>
        <w:noProof/>
        <w:color w:val="833C0B"/>
        <w:sz w:val="21"/>
      </w:rPr>
      <w:t>11</w:t>
    </w:r>
    <w:r w:rsidR="002951EB">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5726F"/>
    <w:rsid w:val="00076420"/>
    <w:rsid w:val="000820C6"/>
    <w:rsid w:val="00096258"/>
    <w:rsid w:val="000A413E"/>
    <w:rsid w:val="000B0648"/>
    <w:rsid w:val="000D36DC"/>
    <w:rsid w:val="000D42E2"/>
    <w:rsid w:val="000D7CF0"/>
    <w:rsid w:val="000E0C15"/>
    <w:rsid w:val="000E4EEB"/>
    <w:rsid w:val="00120B1F"/>
    <w:rsid w:val="00147668"/>
    <w:rsid w:val="00147B03"/>
    <w:rsid w:val="0015047B"/>
    <w:rsid w:val="001942CB"/>
    <w:rsid w:val="001A3E49"/>
    <w:rsid w:val="001B179D"/>
    <w:rsid w:val="001B1904"/>
    <w:rsid w:val="001B2D4C"/>
    <w:rsid w:val="001B6394"/>
    <w:rsid w:val="001C77D0"/>
    <w:rsid w:val="001D40EA"/>
    <w:rsid w:val="001F5438"/>
    <w:rsid w:val="002074A1"/>
    <w:rsid w:val="00216C1E"/>
    <w:rsid w:val="00226406"/>
    <w:rsid w:val="00235529"/>
    <w:rsid w:val="00244CA3"/>
    <w:rsid w:val="00282262"/>
    <w:rsid w:val="00285297"/>
    <w:rsid w:val="002951EB"/>
    <w:rsid w:val="002A0670"/>
    <w:rsid w:val="002A6C89"/>
    <w:rsid w:val="002B2257"/>
    <w:rsid w:val="002B32AE"/>
    <w:rsid w:val="002F075C"/>
    <w:rsid w:val="002F545E"/>
    <w:rsid w:val="002F6AD1"/>
    <w:rsid w:val="002F7810"/>
    <w:rsid w:val="00323550"/>
    <w:rsid w:val="00332F22"/>
    <w:rsid w:val="0033644D"/>
    <w:rsid w:val="003416C2"/>
    <w:rsid w:val="00341727"/>
    <w:rsid w:val="003471F4"/>
    <w:rsid w:val="00357545"/>
    <w:rsid w:val="00371ED6"/>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F2CE6"/>
    <w:rsid w:val="005F45A8"/>
    <w:rsid w:val="00610C41"/>
    <w:rsid w:val="0061390B"/>
    <w:rsid w:val="00615F78"/>
    <w:rsid w:val="00637F19"/>
    <w:rsid w:val="00641752"/>
    <w:rsid w:val="00657B01"/>
    <w:rsid w:val="00661BB3"/>
    <w:rsid w:val="00666DE4"/>
    <w:rsid w:val="006B4A5D"/>
    <w:rsid w:val="006D21ED"/>
    <w:rsid w:val="00710028"/>
    <w:rsid w:val="007103A5"/>
    <w:rsid w:val="0072164F"/>
    <w:rsid w:val="007253E7"/>
    <w:rsid w:val="0072736C"/>
    <w:rsid w:val="007315D8"/>
    <w:rsid w:val="00743CFD"/>
    <w:rsid w:val="007664C1"/>
    <w:rsid w:val="00785519"/>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7CA5"/>
    <w:rsid w:val="00873ECE"/>
    <w:rsid w:val="008740D4"/>
    <w:rsid w:val="0087785E"/>
    <w:rsid w:val="008A11C6"/>
    <w:rsid w:val="008A1D22"/>
    <w:rsid w:val="008B13D2"/>
    <w:rsid w:val="008B361D"/>
    <w:rsid w:val="008C1554"/>
    <w:rsid w:val="008E2B15"/>
    <w:rsid w:val="008E33F3"/>
    <w:rsid w:val="008E3B84"/>
    <w:rsid w:val="008F229B"/>
    <w:rsid w:val="008F2A6E"/>
    <w:rsid w:val="00906E0C"/>
    <w:rsid w:val="00907943"/>
    <w:rsid w:val="00916E97"/>
    <w:rsid w:val="009316EC"/>
    <w:rsid w:val="009317CD"/>
    <w:rsid w:val="00934728"/>
    <w:rsid w:val="009644D9"/>
    <w:rsid w:val="0097131C"/>
    <w:rsid w:val="009870E4"/>
    <w:rsid w:val="009A12FA"/>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52CB"/>
    <w:rsid w:val="00AC7ECD"/>
    <w:rsid w:val="00AD009F"/>
    <w:rsid w:val="00B10135"/>
    <w:rsid w:val="00B133D0"/>
    <w:rsid w:val="00B15418"/>
    <w:rsid w:val="00B1737C"/>
    <w:rsid w:val="00B1758C"/>
    <w:rsid w:val="00B17639"/>
    <w:rsid w:val="00B443CE"/>
    <w:rsid w:val="00B4555A"/>
    <w:rsid w:val="00B53C56"/>
    <w:rsid w:val="00B606EF"/>
    <w:rsid w:val="00B618F8"/>
    <w:rsid w:val="00B72E2D"/>
    <w:rsid w:val="00B805BD"/>
    <w:rsid w:val="00BA4663"/>
    <w:rsid w:val="00BA696B"/>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99A1A"/>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EEE45-E2FE-491F-A5B3-26DC7614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9</Pages>
  <Words>1522</Words>
  <Characters>8677</Characters>
  <Application>Microsoft Office Word</Application>
  <DocSecurity>0</DocSecurity>
  <Lines>72</Lines>
  <Paragraphs>20</Paragraphs>
  <ScaleCrop>false</ScaleCrop>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82</cp:revision>
  <cp:lastPrinted>2023-04-04T02:33:00Z</cp:lastPrinted>
  <dcterms:created xsi:type="dcterms:W3CDTF">2022-11-15T10:06:00Z</dcterms:created>
  <dcterms:modified xsi:type="dcterms:W3CDTF">2023-04-11T03:02:00Z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