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CD70A0"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0" w:name="_GoBack"/>
          <w:bookmarkEnd w:id="0"/>
          <w:r w:rsidR="00CD70A0" w:rsidRPr="00575606">
            <w:rPr>
              <w:rStyle w:val="a7"/>
              <w:noProof/>
            </w:rPr>
            <w:fldChar w:fldCharType="begin"/>
          </w:r>
          <w:r w:rsidR="00CD70A0" w:rsidRPr="00575606">
            <w:rPr>
              <w:rStyle w:val="a7"/>
              <w:noProof/>
            </w:rPr>
            <w:instrText xml:space="preserve"> </w:instrText>
          </w:r>
          <w:r w:rsidR="00CD70A0">
            <w:rPr>
              <w:noProof/>
            </w:rPr>
            <w:instrText>HYPERLINK \l "_Toc132013458"</w:instrText>
          </w:r>
          <w:r w:rsidR="00CD70A0" w:rsidRPr="00575606">
            <w:rPr>
              <w:rStyle w:val="a7"/>
              <w:noProof/>
            </w:rPr>
            <w:instrText xml:space="preserve"> </w:instrText>
          </w:r>
          <w:r w:rsidR="00CD70A0" w:rsidRPr="00575606">
            <w:rPr>
              <w:rStyle w:val="a7"/>
              <w:noProof/>
            </w:rPr>
          </w:r>
          <w:r w:rsidR="00CD70A0" w:rsidRPr="00575606">
            <w:rPr>
              <w:rStyle w:val="a7"/>
              <w:noProof/>
            </w:rPr>
            <w:fldChar w:fldCharType="separate"/>
          </w:r>
          <w:r w:rsidR="00CD70A0" w:rsidRPr="00575606">
            <w:rPr>
              <w:rStyle w:val="a7"/>
              <w:rFonts w:ascii="Times New Roman" w:eastAsia="楷体" w:hAnsi="Times New Roman"/>
              <w:b/>
              <w:noProof/>
            </w:rPr>
            <w:t>[</w:t>
          </w:r>
          <w:r w:rsidR="00CD70A0" w:rsidRPr="00575606">
            <w:rPr>
              <w:rStyle w:val="a7"/>
              <w:rFonts w:ascii="Times New Roman" w:eastAsia="楷体" w:hAnsi="Times New Roman"/>
              <w:b/>
              <w:noProof/>
            </w:rPr>
            <w:t>金融</w:t>
          </w:r>
          <w:r w:rsidR="00CD70A0" w:rsidRPr="00575606">
            <w:rPr>
              <w:rStyle w:val="a7"/>
              <w:rFonts w:ascii="Times New Roman" w:eastAsia="楷体" w:hAnsi="Times New Roman"/>
              <w:b/>
              <w:noProof/>
            </w:rPr>
            <w:t>]</w:t>
          </w:r>
          <w:r w:rsidR="00CD70A0" w:rsidRPr="00575606">
            <w:rPr>
              <w:rStyle w:val="a7"/>
              <w:noProof/>
            </w:rPr>
            <w:fldChar w:fldCharType="end"/>
          </w:r>
        </w:p>
        <w:p w:rsidR="00CD70A0" w:rsidRDefault="00CD70A0">
          <w:pPr>
            <w:pStyle w:val="2"/>
            <w:tabs>
              <w:tab w:val="right" w:leader="dot" w:pos="8296"/>
            </w:tabs>
            <w:rPr>
              <w:rFonts w:eastAsiaTheme="minorEastAsia"/>
              <w:noProof/>
              <w:szCs w:val="22"/>
            </w:rPr>
          </w:pPr>
          <w:hyperlink w:anchor="_Toc132013459" w:history="1">
            <w:r w:rsidRPr="00575606">
              <w:rPr>
                <w:rStyle w:val="a7"/>
                <w:rFonts w:ascii="Times New Roman" w:eastAsia="楷体" w:hAnsi="Times New Roman"/>
                <w:b/>
                <w:noProof/>
              </w:rPr>
              <w:t>股指：关注</w:t>
            </w:r>
            <w:r w:rsidRPr="00575606">
              <w:rPr>
                <w:rStyle w:val="a7"/>
                <w:rFonts w:ascii="Times New Roman" w:eastAsia="楷体" w:hAnsi="Times New Roman"/>
                <w:b/>
                <w:noProof/>
              </w:rPr>
              <w:t>IH</w:t>
            </w:r>
            <w:r w:rsidRPr="00575606">
              <w:rPr>
                <w:rStyle w:val="a7"/>
                <w:rFonts w:ascii="Times New Roman" w:eastAsia="楷体" w:hAnsi="Times New Roman"/>
                <w:b/>
                <w:noProof/>
              </w:rPr>
              <w:t>低多机会</w:t>
            </w:r>
          </w:hyperlink>
        </w:p>
        <w:p w:rsidR="00CD70A0" w:rsidRDefault="00CD70A0">
          <w:pPr>
            <w:pStyle w:val="11"/>
            <w:tabs>
              <w:tab w:val="right" w:leader="dot" w:pos="8296"/>
            </w:tabs>
            <w:rPr>
              <w:rFonts w:eastAsiaTheme="minorEastAsia"/>
              <w:noProof/>
              <w:szCs w:val="22"/>
            </w:rPr>
          </w:pPr>
          <w:hyperlink w:anchor="_Toc132013460" w:history="1">
            <w:r w:rsidRPr="00575606">
              <w:rPr>
                <w:rStyle w:val="a7"/>
                <w:rFonts w:ascii="Times New Roman" w:eastAsia="楷体" w:hAnsi="Times New Roman"/>
                <w:b/>
                <w:noProof/>
              </w:rPr>
              <w:t>[</w:t>
            </w:r>
            <w:r w:rsidRPr="00575606">
              <w:rPr>
                <w:rStyle w:val="a7"/>
                <w:rFonts w:ascii="Times New Roman" w:eastAsia="楷体" w:hAnsi="Times New Roman"/>
                <w:b/>
                <w:noProof/>
              </w:rPr>
              <w:t>贵金属</w:t>
            </w:r>
            <w:r w:rsidRPr="00575606">
              <w:rPr>
                <w:rStyle w:val="a7"/>
                <w:rFonts w:ascii="Times New Roman" w:eastAsia="楷体" w:hAnsi="Times New Roman"/>
                <w:b/>
                <w:noProof/>
              </w:rPr>
              <w:t>]</w:t>
            </w:r>
          </w:hyperlink>
        </w:p>
        <w:p w:rsidR="00CD70A0" w:rsidRDefault="00CD70A0">
          <w:pPr>
            <w:pStyle w:val="2"/>
            <w:tabs>
              <w:tab w:val="right" w:leader="dot" w:pos="8296"/>
            </w:tabs>
            <w:rPr>
              <w:rFonts w:eastAsiaTheme="minorEastAsia"/>
              <w:noProof/>
              <w:szCs w:val="22"/>
            </w:rPr>
          </w:pPr>
          <w:hyperlink w:anchor="_Toc132013461" w:history="1">
            <w:r w:rsidRPr="00575606">
              <w:rPr>
                <w:rStyle w:val="a7"/>
                <w:rFonts w:ascii="Times New Roman" w:eastAsia="楷体" w:hAnsi="Times New Roman"/>
                <w:b/>
                <w:noProof/>
              </w:rPr>
              <w:t>贵金属：美国非农就业人数延续回落，银价大幅上涨</w:t>
            </w:r>
          </w:hyperlink>
        </w:p>
        <w:p w:rsidR="00CD70A0" w:rsidRDefault="00CD70A0">
          <w:pPr>
            <w:pStyle w:val="11"/>
            <w:tabs>
              <w:tab w:val="right" w:leader="dot" w:pos="8296"/>
            </w:tabs>
            <w:rPr>
              <w:rFonts w:eastAsiaTheme="minorEastAsia"/>
              <w:noProof/>
              <w:szCs w:val="22"/>
            </w:rPr>
          </w:pPr>
          <w:hyperlink w:anchor="_Toc132013462" w:history="1">
            <w:r w:rsidRPr="00575606">
              <w:rPr>
                <w:rStyle w:val="a7"/>
                <w:rFonts w:ascii="Times New Roman" w:eastAsia="楷体" w:hAnsi="Times New Roman"/>
                <w:b/>
                <w:noProof/>
              </w:rPr>
              <w:t>[</w:t>
            </w:r>
            <w:r w:rsidRPr="00575606">
              <w:rPr>
                <w:rStyle w:val="a7"/>
                <w:rFonts w:ascii="Times New Roman" w:eastAsia="楷体" w:hAnsi="Times New Roman"/>
                <w:b/>
                <w:noProof/>
              </w:rPr>
              <w:t>金属</w:t>
            </w:r>
            <w:r w:rsidRPr="00575606">
              <w:rPr>
                <w:rStyle w:val="a7"/>
                <w:rFonts w:ascii="Times New Roman" w:eastAsia="楷体" w:hAnsi="Times New Roman"/>
                <w:b/>
                <w:noProof/>
              </w:rPr>
              <w:t>]</w:t>
            </w:r>
          </w:hyperlink>
        </w:p>
        <w:p w:rsidR="00CD70A0" w:rsidRDefault="00CD70A0">
          <w:pPr>
            <w:pStyle w:val="2"/>
            <w:tabs>
              <w:tab w:val="right" w:leader="dot" w:pos="8296"/>
            </w:tabs>
            <w:rPr>
              <w:rFonts w:eastAsiaTheme="minorEastAsia"/>
              <w:noProof/>
              <w:szCs w:val="22"/>
            </w:rPr>
          </w:pPr>
          <w:hyperlink w:anchor="_Toc132013463" w:history="1">
            <w:r w:rsidRPr="00575606">
              <w:rPr>
                <w:rStyle w:val="a7"/>
                <w:rFonts w:ascii="楷体" w:eastAsia="楷体" w:hAnsi="楷体"/>
                <w:b/>
                <w:noProof/>
              </w:rPr>
              <w:t>螺纹钢：企稳弱反弹，后续仍承压运行</w:t>
            </w:r>
          </w:hyperlink>
        </w:p>
        <w:p w:rsidR="00CD70A0" w:rsidRDefault="00CD70A0">
          <w:pPr>
            <w:pStyle w:val="2"/>
            <w:tabs>
              <w:tab w:val="right" w:leader="dot" w:pos="8296"/>
            </w:tabs>
            <w:rPr>
              <w:rFonts w:eastAsiaTheme="minorEastAsia"/>
              <w:noProof/>
              <w:szCs w:val="22"/>
            </w:rPr>
          </w:pPr>
          <w:hyperlink w:anchor="_Toc132013464" w:history="1">
            <w:r w:rsidRPr="00575606">
              <w:rPr>
                <w:rStyle w:val="a7"/>
                <w:rFonts w:ascii="楷体" w:eastAsia="楷体" w:hAnsi="楷体"/>
                <w:b/>
                <w:noProof/>
              </w:rPr>
              <w:t>焦炭：现货继续探底，盘面领跌下震荡运行</w:t>
            </w:r>
          </w:hyperlink>
        </w:p>
        <w:p w:rsidR="00CD70A0" w:rsidRDefault="00CD70A0">
          <w:pPr>
            <w:pStyle w:val="2"/>
            <w:tabs>
              <w:tab w:val="right" w:leader="dot" w:pos="8296"/>
            </w:tabs>
            <w:rPr>
              <w:rFonts w:eastAsiaTheme="minorEastAsia"/>
              <w:noProof/>
              <w:szCs w:val="22"/>
            </w:rPr>
          </w:pPr>
          <w:hyperlink w:anchor="_Toc132013465" w:history="1">
            <w:r w:rsidRPr="00575606">
              <w:rPr>
                <w:rStyle w:val="a7"/>
                <w:rFonts w:ascii="楷体" w:eastAsia="楷体" w:hAnsi="楷体"/>
                <w:b/>
                <w:noProof/>
              </w:rPr>
              <w:t>焦煤：供应长期宽松，价格偏弱运行</w:t>
            </w:r>
          </w:hyperlink>
        </w:p>
        <w:p w:rsidR="00CD70A0" w:rsidRDefault="00CD70A0">
          <w:pPr>
            <w:pStyle w:val="2"/>
            <w:tabs>
              <w:tab w:val="right" w:leader="dot" w:pos="8296"/>
            </w:tabs>
            <w:rPr>
              <w:rFonts w:eastAsiaTheme="minorEastAsia"/>
              <w:noProof/>
              <w:szCs w:val="22"/>
            </w:rPr>
          </w:pPr>
          <w:hyperlink w:anchor="_Toc132013466" w:history="1">
            <w:r w:rsidRPr="00575606">
              <w:rPr>
                <w:rStyle w:val="a7"/>
                <w:rFonts w:ascii="楷体" w:eastAsia="楷体" w:hAnsi="楷体"/>
                <w:b/>
                <w:noProof/>
              </w:rPr>
              <w:t>铜：海外宏观压力仍存，铜价承压运行</w:t>
            </w:r>
          </w:hyperlink>
        </w:p>
        <w:p w:rsidR="00CD70A0" w:rsidRDefault="00CD70A0">
          <w:pPr>
            <w:pStyle w:val="2"/>
            <w:tabs>
              <w:tab w:val="right" w:leader="dot" w:pos="8296"/>
            </w:tabs>
            <w:rPr>
              <w:rFonts w:eastAsiaTheme="minorEastAsia"/>
              <w:noProof/>
              <w:szCs w:val="22"/>
            </w:rPr>
          </w:pPr>
          <w:hyperlink w:anchor="_Toc132013467" w:history="1">
            <w:r w:rsidRPr="00575606">
              <w:rPr>
                <w:rStyle w:val="a7"/>
                <w:rFonts w:ascii="楷体" w:eastAsia="楷体" w:hAnsi="楷体"/>
                <w:b/>
                <w:noProof/>
              </w:rPr>
              <w:t>铝：上下驱动有限，旺季支撑之下价格偏强震荡运行</w:t>
            </w:r>
          </w:hyperlink>
        </w:p>
        <w:p w:rsidR="00CD70A0" w:rsidRDefault="00CD70A0">
          <w:pPr>
            <w:pStyle w:val="2"/>
            <w:tabs>
              <w:tab w:val="right" w:leader="dot" w:pos="8296"/>
            </w:tabs>
            <w:rPr>
              <w:rFonts w:eastAsiaTheme="minorEastAsia"/>
              <w:noProof/>
              <w:szCs w:val="22"/>
            </w:rPr>
          </w:pPr>
          <w:hyperlink w:anchor="_Toc132013468" w:history="1">
            <w:r w:rsidRPr="00575606">
              <w:rPr>
                <w:rStyle w:val="a7"/>
                <w:rFonts w:ascii="楷体" w:eastAsia="楷体" w:hAnsi="楷体"/>
                <w:b/>
                <w:noProof/>
              </w:rPr>
              <w:t>锌：基本面支撑偏弱，价格有下行压力</w:t>
            </w:r>
          </w:hyperlink>
        </w:p>
        <w:p w:rsidR="00CD70A0" w:rsidRDefault="00CD70A0">
          <w:pPr>
            <w:pStyle w:val="2"/>
            <w:tabs>
              <w:tab w:val="right" w:leader="dot" w:pos="8296"/>
            </w:tabs>
            <w:rPr>
              <w:rFonts w:eastAsiaTheme="minorEastAsia"/>
              <w:noProof/>
              <w:szCs w:val="22"/>
            </w:rPr>
          </w:pPr>
          <w:hyperlink w:anchor="_Toc132013469" w:history="1">
            <w:r w:rsidRPr="00575606">
              <w:rPr>
                <w:rStyle w:val="a7"/>
                <w:rFonts w:ascii="楷体" w:eastAsia="楷体" w:hAnsi="楷体"/>
                <w:b/>
                <w:noProof/>
              </w:rPr>
              <w:t>镍：低库存下挤仓风险上升，反弹后高空思路不变</w:t>
            </w:r>
          </w:hyperlink>
        </w:p>
        <w:p w:rsidR="00CD70A0" w:rsidRDefault="00CD70A0">
          <w:pPr>
            <w:pStyle w:val="2"/>
            <w:tabs>
              <w:tab w:val="right" w:leader="dot" w:pos="8296"/>
            </w:tabs>
            <w:rPr>
              <w:rFonts w:eastAsiaTheme="minorEastAsia"/>
              <w:noProof/>
              <w:szCs w:val="22"/>
            </w:rPr>
          </w:pPr>
          <w:hyperlink w:anchor="_Toc132013470" w:history="1">
            <w:r w:rsidRPr="00575606">
              <w:rPr>
                <w:rStyle w:val="a7"/>
                <w:rFonts w:ascii="楷体" w:eastAsia="楷体" w:hAnsi="楷体"/>
                <w:b/>
                <w:noProof/>
              </w:rPr>
              <w:t>铅：淡季之下铅价震荡整理</w:t>
            </w:r>
          </w:hyperlink>
        </w:p>
        <w:p w:rsidR="00CD70A0" w:rsidRDefault="00CD70A0">
          <w:pPr>
            <w:pStyle w:val="2"/>
            <w:tabs>
              <w:tab w:val="right" w:leader="dot" w:pos="8296"/>
            </w:tabs>
            <w:rPr>
              <w:rFonts w:eastAsiaTheme="minorEastAsia"/>
              <w:noProof/>
              <w:szCs w:val="22"/>
            </w:rPr>
          </w:pPr>
          <w:hyperlink w:anchor="_Toc132013471" w:history="1">
            <w:r w:rsidRPr="00575606">
              <w:rPr>
                <w:rStyle w:val="a7"/>
                <w:rFonts w:ascii="楷体" w:eastAsia="楷体" w:hAnsi="楷体"/>
                <w:b/>
                <w:noProof/>
              </w:rPr>
              <w:t>不锈钢：短期超跌反弹，力度或有限</w:t>
            </w:r>
          </w:hyperlink>
        </w:p>
        <w:p w:rsidR="00CD70A0" w:rsidRDefault="00CD70A0">
          <w:pPr>
            <w:pStyle w:val="2"/>
            <w:tabs>
              <w:tab w:val="right" w:leader="dot" w:pos="8296"/>
            </w:tabs>
            <w:rPr>
              <w:rFonts w:eastAsiaTheme="minorEastAsia"/>
              <w:noProof/>
              <w:szCs w:val="22"/>
            </w:rPr>
          </w:pPr>
          <w:hyperlink w:anchor="_Toc132013472" w:history="1">
            <w:r w:rsidRPr="00575606">
              <w:rPr>
                <w:rStyle w:val="a7"/>
                <w:rFonts w:ascii="楷体" w:eastAsia="楷体" w:hAnsi="楷体"/>
                <w:b/>
                <w:noProof/>
              </w:rPr>
              <w:t>工业硅：库存压力仍在，预计反弹空间有限</w:t>
            </w:r>
          </w:hyperlink>
        </w:p>
        <w:p w:rsidR="00CD70A0" w:rsidRDefault="00CD70A0">
          <w:pPr>
            <w:pStyle w:val="11"/>
            <w:tabs>
              <w:tab w:val="right" w:leader="dot" w:pos="8296"/>
            </w:tabs>
            <w:rPr>
              <w:rFonts w:eastAsiaTheme="minorEastAsia"/>
              <w:noProof/>
              <w:szCs w:val="22"/>
            </w:rPr>
          </w:pPr>
          <w:hyperlink w:anchor="_Toc132013473" w:history="1">
            <w:r w:rsidRPr="00575606">
              <w:rPr>
                <w:rStyle w:val="a7"/>
                <w:rFonts w:ascii="Times New Roman" w:eastAsia="楷体" w:hAnsi="Times New Roman"/>
                <w:b/>
                <w:noProof/>
              </w:rPr>
              <w:t>[</w:t>
            </w:r>
            <w:r w:rsidRPr="00575606">
              <w:rPr>
                <w:rStyle w:val="a7"/>
                <w:rFonts w:ascii="Times New Roman" w:eastAsia="楷体" w:hAnsi="Times New Roman"/>
                <w:b/>
                <w:noProof/>
              </w:rPr>
              <w:t>化工</w:t>
            </w:r>
            <w:r w:rsidRPr="00575606">
              <w:rPr>
                <w:rStyle w:val="a7"/>
                <w:rFonts w:ascii="Times New Roman" w:eastAsia="楷体" w:hAnsi="Times New Roman"/>
                <w:b/>
                <w:noProof/>
              </w:rPr>
              <w:t>]</w:t>
            </w:r>
          </w:hyperlink>
        </w:p>
        <w:p w:rsidR="00CD70A0" w:rsidRDefault="00CD70A0">
          <w:pPr>
            <w:pStyle w:val="2"/>
            <w:tabs>
              <w:tab w:val="right" w:leader="dot" w:pos="8296"/>
            </w:tabs>
            <w:rPr>
              <w:rFonts w:eastAsiaTheme="minorEastAsia"/>
              <w:noProof/>
              <w:szCs w:val="22"/>
            </w:rPr>
          </w:pPr>
          <w:hyperlink w:anchor="_Toc132013474" w:history="1">
            <w:r w:rsidRPr="00575606">
              <w:rPr>
                <w:rStyle w:val="a7"/>
                <w:rFonts w:ascii="Times New Roman" w:eastAsia="楷体" w:hAnsi="Times New Roman"/>
                <w:b/>
                <w:noProof/>
              </w:rPr>
              <w:t>天然橡胶</w:t>
            </w:r>
            <w:r w:rsidRPr="00575606">
              <w:rPr>
                <w:rStyle w:val="a7"/>
                <w:rFonts w:ascii="Times New Roman" w:eastAsia="楷体" w:hAnsi="Times New Roman"/>
                <w:b/>
                <w:noProof/>
              </w:rPr>
              <w:t>:</w:t>
            </w:r>
            <w:r w:rsidRPr="00575606">
              <w:rPr>
                <w:rStyle w:val="a7"/>
                <w:noProof/>
              </w:rPr>
              <w:t xml:space="preserve"> </w:t>
            </w:r>
            <w:r w:rsidRPr="00575606">
              <w:rPr>
                <w:rStyle w:val="a7"/>
                <w:rFonts w:ascii="Times New Roman" w:eastAsia="楷体" w:hAnsi="Times New Roman"/>
                <w:b/>
                <w:noProof/>
              </w:rPr>
              <w:t>全钢重卡端数据亮眼</w:t>
            </w:r>
            <w:r w:rsidRPr="00575606">
              <w:rPr>
                <w:rStyle w:val="a7"/>
                <w:rFonts w:ascii="Times New Roman" w:eastAsia="楷体" w:hAnsi="Times New Roman"/>
                <w:b/>
                <w:noProof/>
              </w:rPr>
              <w:t xml:space="preserve"> RU</w:t>
            </w:r>
            <w:r w:rsidRPr="00575606">
              <w:rPr>
                <w:rStyle w:val="a7"/>
                <w:rFonts w:ascii="Times New Roman" w:eastAsia="楷体" w:hAnsi="Times New Roman"/>
                <w:b/>
                <w:noProof/>
              </w:rPr>
              <w:t>短期偏空影响减弱</w:t>
            </w:r>
          </w:hyperlink>
        </w:p>
        <w:p w:rsidR="00CD70A0" w:rsidRDefault="00CD70A0">
          <w:pPr>
            <w:pStyle w:val="2"/>
            <w:tabs>
              <w:tab w:val="right" w:leader="dot" w:pos="8296"/>
            </w:tabs>
            <w:rPr>
              <w:rFonts w:eastAsiaTheme="minorEastAsia"/>
              <w:noProof/>
              <w:szCs w:val="22"/>
            </w:rPr>
          </w:pPr>
          <w:hyperlink w:anchor="_Toc132013475" w:history="1">
            <w:r w:rsidRPr="00575606">
              <w:rPr>
                <w:rStyle w:val="a7"/>
                <w:rFonts w:ascii="楷体" w:eastAsia="楷体" w:hAnsi="楷体"/>
                <w:b/>
                <w:noProof/>
              </w:rPr>
              <w:t>PTA：产业链供需格局强势依旧</w:t>
            </w:r>
          </w:hyperlink>
        </w:p>
        <w:p w:rsidR="00CD70A0" w:rsidRDefault="00CD70A0">
          <w:pPr>
            <w:pStyle w:val="2"/>
            <w:tabs>
              <w:tab w:val="right" w:leader="dot" w:pos="8296"/>
            </w:tabs>
            <w:rPr>
              <w:rFonts w:eastAsiaTheme="minorEastAsia"/>
              <w:noProof/>
              <w:szCs w:val="22"/>
            </w:rPr>
          </w:pPr>
          <w:hyperlink w:anchor="_Toc132013476" w:history="1">
            <w:r w:rsidRPr="00575606">
              <w:rPr>
                <w:rStyle w:val="a7"/>
                <w:rFonts w:ascii="楷体" w:eastAsia="楷体" w:hAnsi="楷体"/>
                <w:b/>
                <w:noProof/>
              </w:rPr>
              <w:t>PVC：春检在即供需改善 关注V低多机会</w:t>
            </w:r>
          </w:hyperlink>
        </w:p>
        <w:p w:rsidR="00CD70A0" w:rsidRDefault="00CD70A0">
          <w:pPr>
            <w:pStyle w:val="2"/>
            <w:tabs>
              <w:tab w:val="right" w:leader="dot" w:pos="8296"/>
            </w:tabs>
            <w:rPr>
              <w:rFonts w:eastAsiaTheme="minorEastAsia"/>
              <w:noProof/>
              <w:szCs w:val="22"/>
            </w:rPr>
          </w:pPr>
          <w:hyperlink w:anchor="_Toc132013477" w:history="1">
            <w:r w:rsidRPr="00575606">
              <w:rPr>
                <w:rStyle w:val="a7"/>
                <w:rFonts w:ascii="楷体" w:eastAsia="楷体" w:hAnsi="楷体"/>
                <w:b/>
                <w:noProof/>
              </w:rPr>
              <w:t>聚烯烃：下游需求提升缓慢 聚烯烃或窄幅波动为主</w:t>
            </w:r>
          </w:hyperlink>
        </w:p>
        <w:p w:rsidR="00CD70A0" w:rsidRDefault="00CD70A0">
          <w:pPr>
            <w:pStyle w:val="2"/>
            <w:tabs>
              <w:tab w:val="right" w:leader="dot" w:pos="8296"/>
            </w:tabs>
            <w:rPr>
              <w:rFonts w:eastAsiaTheme="minorEastAsia"/>
              <w:noProof/>
              <w:szCs w:val="22"/>
            </w:rPr>
          </w:pPr>
          <w:hyperlink w:anchor="_Toc132013478" w:history="1">
            <w:r w:rsidRPr="00575606">
              <w:rPr>
                <w:rStyle w:val="a7"/>
                <w:rFonts w:ascii="楷体" w:eastAsia="楷体" w:hAnsi="楷体"/>
                <w:b/>
                <w:noProof/>
              </w:rPr>
              <w:t>MEG：关注09低多机会</w:t>
            </w:r>
          </w:hyperlink>
        </w:p>
        <w:p w:rsidR="00CD70A0" w:rsidRDefault="00CD70A0">
          <w:pPr>
            <w:pStyle w:val="2"/>
            <w:tabs>
              <w:tab w:val="right" w:leader="dot" w:pos="8296"/>
            </w:tabs>
            <w:rPr>
              <w:rFonts w:eastAsiaTheme="minorEastAsia"/>
              <w:noProof/>
              <w:szCs w:val="22"/>
            </w:rPr>
          </w:pPr>
          <w:hyperlink w:anchor="_Toc132013479" w:history="1">
            <w:r w:rsidRPr="00575606">
              <w:rPr>
                <w:rStyle w:val="a7"/>
                <w:rFonts w:ascii="楷体" w:eastAsia="楷体" w:hAnsi="楷体"/>
                <w:b/>
                <w:noProof/>
              </w:rPr>
              <w:t>玻璃：中下游补库趋缓，反弹高度有限</w:t>
            </w:r>
          </w:hyperlink>
        </w:p>
        <w:p w:rsidR="00CD70A0" w:rsidRDefault="00CD70A0">
          <w:pPr>
            <w:pStyle w:val="2"/>
            <w:tabs>
              <w:tab w:val="right" w:leader="dot" w:pos="8296"/>
            </w:tabs>
            <w:rPr>
              <w:rFonts w:eastAsiaTheme="minorEastAsia"/>
              <w:noProof/>
              <w:szCs w:val="22"/>
            </w:rPr>
          </w:pPr>
          <w:hyperlink w:anchor="_Toc132013480" w:history="1">
            <w:r w:rsidRPr="00575606">
              <w:rPr>
                <w:rStyle w:val="a7"/>
                <w:rFonts w:ascii="楷体" w:eastAsia="楷体" w:hAnsi="楷体"/>
                <w:b/>
                <w:noProof/>
              </w:rPr>
              <w:t>纯碱：进口尚未分装，期价短期或有反弹</w:t>
            </w:r>
          </w:hyperlink>
        </w:p>
        <w:p w:rsidR="00CD70A0" w:rsidRDefault="00CD70A0">
          <w:pPr>
            <w:pStyle w:val="11"/>
            <w:tabs>
              <w:tab w:val="right" w:leader="dot" w:pos="8296"/>
            </w:tabs>
            <w:rPr>
              <w:rFonts w:eastAsiaTheme="minorEastAsia"/>
              <w:noProof/>
              <w:szCs w:val="22"/>
            </w:rPr>
          </w:pPr>
          <w:hyperlink w:anchor="_Toc132013481" w:history="1">
            <w:r w:rsidRPr="00575606">
              <w:rPr>
                <w:rStyle w:val="a7"/>
                <w:rFonts w:ascii="Times New Roman" w:eastAsia="楷体" w:hAnsi="Times New Roman"/>
                <w:b/>
                <w:noProof/>
              </w:rPr>
              <w:t>[</w:t>
            </w:r>
            <w:r w:rsidRPr="00575606">
              <w:rPr>
                <w:rStyle w:val="a7"/>
                <w:rFonts w:ascii="Times New Roman" w:eastAsia="楷体" w:hAnsi="Times New Roman"/>
                <w:b/>
                <w:noProof/>
              </w:rPr>
              <w:t>农产品</w:t>
            </w:r>
            <w:r w:rsidRPr="00575606">
              <w:rPr>
                <w:rStyle w:val="a7"/>
                <w:rFonts w:ascii="Times New Roman" w:eastAsia="楷体" w:hAnsi="Times New Roman"/>
                <w:b/>
                <w:noProof/>
              </w:rPr>
              <w:t>]</w:t>
            </w:r>
          </w:hyperlink>
        </w:p>
        <w:p w:rsidR="00CD70A0" w:rsidRDefault="00CD70A0">
          <w:pPr>
            <w:pStyle w:val="2"/>
            <w:tabs>
              <w:tab w:val="right" w:leader="dot" w:pos="8296"/>
            </w:tabs>
            <w:rPr>
              <w:rFonts w:eastAsiaTheme="minorEastAsia"/>
              <w:noProof/>
              <w:szCs w:val="22"/>
            </w:rPr>
          </w:pPr>
          <w:hyperlink w:anchor="_Toc132013482" w:history="1">
            <w:r w:rsidRPr="00575606">
              <w:rPr>
                <w:rStyle w:val="a7"/>
                <w:rFonts w:ascii="楷体" w:eastAsia="楷体" w:hAnsi="楷体"/>
                <w:b/>
                <w:noProof/>
              </w:rPr>
              <w:t>豆粕/菜粕：阶段性供应压力下，趋势偏空</w:t>
            </w:r>
          </w:hyperlink>
        </w:p>
        <w:p w:rsidR="00CD70A0" w:rsidRDefault="00CD70A0">
          <w:pPr>
            <w:pStyle w:val="2"/>
            <w:tabs>
              <w:tab w:val="right" w:leader="dot" w:pos="8296"/>
            </w:tabs>
            <w:rPr>
              <w:rFonts w:eastAsiaTheme="minorEastAsia"/>
              <w:noProof/>
              <w:szCs w:val="22"/>
            </w:rPr>
          </w:pPr>
          <w:hyperlink w:anchor="_Toc132013483" w:history="1">
            <w:r w:rsidRPr="00575606">
              <w:rPr>
                <w:rStyle w:val="a7"/>
                <w:rFonts w:ascii="楷体" w:eastAsia="楷体" w:hAnsi="楷体"/>
                <w:b/>
                <w:noProof/>
              </w:rPr>
              <w:t>油脂：关注MPOB报告，整体上方空间有限</w:t>
            </w:r>
          </w:hyperlink>
        </w:p>
        <w:p w:rsidR="00CD70A0" w:rsidRDefault="00CD70A0">
          <w:pPr>
            <w:pStyle w:val="2"/>
            <w:tabs>
              <w:tab w:val="right" w:leader="dot" w:pos="8296"/>
            </w:tabs>
            <w:rPr>
              <w:rFonts w:eastAsiaTheme="minorEastAsia"/>
              <w:noProof/>
              <w:szCs w:val="22"/>
            </w:rPr>
          </w:pPr>
          <w:hyperlink w:anchor="_Toc132013484" w:history="1">
            <w:r w:rsidRPr="00575606">
              <w:rPr>
                <w:rStyle w:val="a7"/>
                <w:rFonts w:ascii="楷体" w:eastAsia="楷体" w:hAnsi="楷体"/>
                <w:b/>
                <w:bCs/>
                <w:noProof/>
              </w:rPr>
              <w:t>玉米与淀粉：</w:t>
            </w:r>
            <w:r w:rsidRPr="00575606">
              <w:rPr>
                <w:rStyle w:val="a7"/>
                <w:rFonts w:ascii="楷体" w:eastAsia="楷体" w:hAnsi="楷体"/>
                <w:b/>
                <w:noProof/>
              </w:rPr>
              <w:t>周五夜盘价差走扩</w:t>
            </w:r>
          </w:hyperlink>
        </w:p>
        <w:p w:rsidR="00CD70A0" w:rsidRDefault="00CD70A0">
          <w:pPr>
            <w:pStyle w:val="2"/>
            <w:tabs>
              <w:tab w:val="right" w:leader="dot" w:pos="8296"/>
            </w:tabs>
            <w:rPr>
              <w:rFonts w:eastAsiaTheme="minorEastAsia"/>
              <w:noProof/>
              <w:szCs w:val="22"/>
            </w:rPr>
          </w:pPr>
          <w:hyperlink w:anchor="_Toc132013485" w:history="1">
            <w:r w:rsidRPr="00575606">
              <w:rPr>
                <w:rStyle w:val="a7"/>
                <w:rFonts w:ascii="楷体" w:eastAsia="楷体" w:hAnsi="楷体"/>
                <w:b/>
                <w:bCs/>
                <w:noProof/>
              </w:rPr>
              <w:t>畜禽养殖：现货周末稳中调整</w:t>
            </w:r>
          </w:hyperlink>
        </w:p>
        <w:p w:rsidR="00CD70A0" w:rsidRDefault="00CD70A0">
          <w:pPr>
            <w:pStyle w:val="2"/>
            <w:tabs>
              <w:tab w:val="right" w:leader="dot" w:pos="8296"/>
            </w:tabs>
            <w:rPr>
              <w:rFonts w:eastAsiaTheme="minorEastAsia"/>
              <w:noProof/>
              <w:szCs w:val="22"/>
            </w:rPr>
          </w:pPr>
          <w:hyperlink w:anchor="_Toc132013486" w:history="1">
            <w:r w:rsidRPr="00575606">
              <w:rPr>
                <w:rStyle w:val="a7"/>
                <w:rFonts w:ascii="楷体" w:eastAsia="楷体" w:hAnsi="楷体"/>
                <w:b/>
                <w:noProof/>
              </w:rPr>
              <w:t>郑棉：郑棉震荡整理。远月多单止盈，等待回落后的重新加多或卖出看跌期权机会</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201345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2013459"/>
      <w:bookmarkEnd w:id="3"/>
      <w:r>
        <w:rPr>
          <w:rFonts w:ascii="Times New Roman" w:eastAsia="楷体" w:hAnsi="Times New Roman" w:hint="eastAsia"/>
          <w:b/>
          <w:color w:val="000000" w:themeColor="text1"/>
          <w:sz w:val="24"/>
          <w:szCs w:val="24"/>
        </w:rPr>
        <w:t>股指：</w:t>
      </w:r>
      <w:bookmarkEnd w:id="5"/>
      <w:bookmarkEnd w:id="6"/>
      <w:r w:rsidR="00AC52CB" w:rsidRPr="00AC52CB">
        <w:rPr>
          <w:rFonts w:ascii="Times New Roman" w:eastAsia="楷体" w:hAnsi="Times New Roman" w:hint="eastAsia"/>
          <w:b/>
          <w:color w:val="000000" w:themeColor="text1"/>
          <w:sz w:val="24"/>
          <w:szCs w:val="24"/>
        </w:rPr>
        <w:t>关注</w:t>
      </w:r>
      <w:r w:rsidR="00AC52CB" w:rsidRPr="00AC52CB">
        <w:rPr>
          <w:rFonts w:ascii="Times New Roman" w:eastAsia="楷体" w:hAnsi="Times New Roman" w:hint="eastAsia"/>
          <w:b/>
          <w:color w:val="000000" w:themeColor="text1"/>
          <w:sz w:val="24"/>
          <w:szCs w:val="24"/>
        </w:rPr>
        <w:t>IH</w:t>
      </w:r>
      <w:r w:rsidR="00AC52CB" w:rsidRPr="00AC52CB">
        <w:rPr>
          <w:rFonts w:ascii="Times New Roman" w:eastAsia="楷体" w:hAnsi="Times New Roman" w:hint="eastAsia"/>
          <w:b/>
          <w:color w:val="000000" w:themeColor="text1"/>
          <w:sz w:val="24"/>
          <w:szCs w:val="24"/>
        </w:rPr>
        <w:t>低多机会</w:t>
      </w:r>
      <w:bookmarkEnd w:id="7"/>
    </w:p>
    <w:p w:rsidR="003F56A5" w:rsidRDefault="00AC52CB">
      <w:pPr>
        <w:ind w:leftChars="300" w:left="630"/>
        <w:rPr>
          <w:rFonts w:ascii="Times New Roman" w:eastAsia="楷体" w:hAnsi="Times New Roman"/>
          <w:color w:val="000000" w:themeColor="text1"/>
          <w:sz w:val="24"/>
          <w:szCs w:val="24"/>
        </w:rPr>
      </w:pPr>
      <w:r w:rsidRPr="00AC52CB">
        <w:rPr>
          <w:rFonts w:ascii="Times New Roman" w:eastAsia="楷体" w:hAnsi="Times New Roman" w:hint="eastAsia"/>
          <w:color w:val="000000" w:themeColor="text1"/>
          <w:sz w:val="24"/>
          <w:szCs w:val="24"/>
        </w:rPr>
        <w:t>A</w:t>
      </w:r>
      <w:r w:rsidRPr="00AC52CB">
        <w:rPr>
          <w:rFonts w:ascii="Times New Roman" w:eastAsia="楷体" w:hAnsi="Times New Roman" w:hint="eastAsia"/>
          <w:color w:val="000000" w:themeColor="text1"/>
          <w:sz w:val="24"/>
          <w:szCs w:val="24"/>
        </w:rPr>
        <w:t>股进入财报季并将迎来持续的经济金融数据披露</w:t>
      </w:r>
      <w:r w:rsidRPr="00AC52CB">
        <w:rPr>
          <w:rFonts w:ascii="Times New Roman" w:eastAsia="楷体" w:hAnsi="Times New Roman" w:hint="eastAsia"/>
          <w:color w:val="000000" w:themeColor="text1"/>
          <w:sz w:val="24"/>
          <w:szCs w:val="24"/>
        </w:rPr>
        <w:t>(3</w:t>
      </w:r>
      <w:r w:rsidRPr="00AC52CB">
        <w:rPr>
          <w:rFonts w:ascii="Times New Roman" w:eastAsia="楷体" w:hAnsi="Times New Roman" w:hint="eastAsia"/>
          <w:color w:val="000000" w:themeColor="text1"/>
          <w:sz w:val="24"/>
          <w:szCs w:val="24"/>
        </w:rPr>
        <w:t>月金融数据、</w:t>
      </w:r>
      <w:r w:rsidRPr="00AC52CB">
        <w:rPr>
          <w:rFonts w:ascii="Times New Roman" w:eastAsia="楷体" w:hAnsi="Times New Roman" w:hint="eastAsia"/>
          <w:color w:val="000000" w:themeColor="text1"/>
          <w:sz w:val="24"/>
          <w:szCs w:val="24"/>
        </w:rPr>
        <w:t>4</w:t>
      </w:r>
      <w:r w:rsidRPr="00AC52CB">
        <w:rPr>
          <w:rFonts w:ascii="Times New Roman" w:eastAsia="楷体" w:hAnsi="Times New Roman" w:hint="eastAsia"/>
          <w:color w:val="000000" w:themeColor="text1"/>
          <w:sz w:val="24"/>
          <w:szCs w:val="24"/>
        </w:rPr>
        <w:t>月高频数据</w:t>
      </w:r>
      <w:r w:rsidRPr="00AC52CB">
        <w:rPr>
          <w:rFonts w:ascii="Times New Roman" w:eastAsia="楷体" w:hAnsi="Times New Roman" w:hint="eastAsia"/>
          <w:color w:val="000000" w:themeColor="text1"/>
          <w:sz w:val="24"/>
          <w:szCs w:val="24"/>
        </w:rPr>
        <w:t>)</w:t>
      </w:r>
      <w:r w:rsidRPr="00AC52CB">
        <w:rPr>
          <w:rFonts w:ascii="Times New Roman" w:eastAsia="楷体" w:hAnsi="Times New Roman" w:hint="eastAsia"/>
          <w:color w:val="000000" w:themeColor="text1"/>
          <w:sz w:val="24"/>
          <w:szCs w:val="24"/>
        </w:rPr>
        <w:t>及重要会议的落地</w:t>
      </w:r>
      <w:r w:rsidRPr="00AC52CB">
        <w:rPr>
          <w:rFonts w:ascii="Times New Roman" w:eastAsia="楷体" w:hAnsi="Times New Roman" w:hint="eastAsia"/>
          <w:color w:val="000000" w:themeColor="text1"/>
          <w:sz w:val="24"/>
          <w:szCs w:val="24"/>
        </w:rPr>
        <w:t>(4</w:t>
      </w:r>
      <w:r w:rsidRPr="00AC52CB">
        <w:rPr>
          <w:rFonts w:ascii="Times New Roman" w:eastAsia="楷体" w:hAnsi="Times New Roman" w:hint="eastAsia"/>
          <w:color w:val="000000" w:themeColor="text1"/>
          <w:sz w:val="24"/>
          <w:szCs w:val="24"/>
        </w:rPr>
        <w:t>月下旬政治局会议</w:t>
      </w:r>
      <w:r w:rsidRPr="00AC52CB">
        <w:rPr>
          <w:rFonts w:ascii="Times New Roman" w:eastAsia="楷体" w:hAnsi="Times New Roman" w:hint="eastAsia"/>
          <w:color w:val="000000" w:themeColor="text1"/>
          <w:sz w:val="24"/>
          <w:szCs w:val="24"/>
        </w:rPr>
        <w:t>)</w:t>
      </w:r>
      <w:r w:rsidRPr="00AC52CB">
        <w:rPr>
          <w:rFonts w:ascii="Times New Roman" w:eastAsia="楷体" w:hAnsi="Times New Roman" w:hint="eastAsia"/>
          <w:color w:val="000000" w:themeColor="text1"/>
          <w:sz w:val="24"/>
          <w:szCs w:val="24"/>
        </w:rPr>
        <w:t>，经济预期将在下旬迎来“决断”，将对市场交易结构产生一定影响，后续需关注市场交易结构平衡及业绩定价回归。一方面，现暂判断市场偏存量市环境，无法支撑交易结构持续极致化，部分概念方向在业绩方面很难兑现，故</w:t>
      </w:r>
      <w:r w:rsidRPr="00AC52CB">
        <w:rPr>
          <w:rFonts w:ascii="Times New Roman" w:eastAsia="楷体" w:hAnsi="Times New Roman" w:hint="eastAsia"/>
          <w:color w:val="000000" w:themeColor="text1"/>
          <w:sz w:val="24"/>
          <w:szCs w:val="24"/>
        </w:rPr>
        <w:t>TMT</w:t>
      </w:r>
      <w:r w:rsidRPr="00AC52CB">
        <w:rPr>
          <w:rFonts w:ascii="Times New Roman" w:eastAsia="楷体" w:hAnsi="Times New Roman" w:hint="eastAsia"/>
          <w:color w:val="000000" w:themeColor="text1"/>
          <w:sz w:val="24"/>
          <w:szCs w:val="24"/>
        </w:rPr>
        <w:t>方向波动将增大，市场风格继续扩散</w:t>
      </w:r>
      <w:r w:rsidRPr="00AC52CB">
        <w:rPr>
          <w:rFonts w:ascii="Times New Roman" w:eastAsia="楷体" w:hAnsi="Times New Roman" w:hint="eastAsia"/>
          <w:color w:val="000000" w:themeColor="text1"/>
          <w:sz w:val="24"/>
          <w:szCs w:val="24"/>
        </w:rPr>
        <w:t>;</w:t>
      </w:r>
      <w:r w:rsidRPr="00AC52CB">
        <w:rPr>
          <w:rFonts w:ascii="Times New Roman" w:eastAsia="楷体" w:hAnsi="Times New Roman" w:hint="eastAsia"/>
          <w:color w:val="000000" w:themeColor="text1"/>
          <w:sz w:val="24"/>
          <w:szCs w:val="24"/>
        </w:rPr>
        <w:t>另一方面，一季报业绩指引力度将会加大，市场开始寻找年内改善趋势明确，相对强的方向进行布局</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201346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2013461"/>
      <w:r>
        <w:rPr>
          <w:rFonts w:ascii="Times New Roman" w:eastAsia="楷体" w:hAnsi="Times New Roman" w:hint="eastAsia"/>
          <w:b/>
          <w:color w:val="000000" w:themeColor="text1"/>
          <w:sz w:val="24"/>
          <w:szCs w:val="24"/>
        </w:rPr>
        <w:t>贵金属：</w:t>
      </w:r>
      <w:r w:rsidR="00AC52CB" w:rsidRPr="00AC52CB">
        <w:rPr>
          <w:rFonts w:ascii="Times New Roman" w:eastAsia="楷体" w:hAnsi="Times New Roman" w:hint="eastAsia"/>
          <w:b/>
          <w:color w:val="000000" w:themeColor="text1"/>
          <w:sz w:val="24"/>
          <w:szCs w:val="24"/>
        </w:rPr>
        <w:t>美国非农就业人数延续回落，银价大幅上涨</w:t>
      </w:r>
      <w:bookmarkEnd w:id="9"/>
    </w:p>
    <w:p w:rsidR="003F56A5" w:rsidRDefault="00AC52CB">
      <w:pPr>
        <w:ind w:leftChars="300" w:left="630"/>
        <w:rPr>
          <w:rFonts w:ascii="Times New Roman" w:eastAsia="楷体" w:hAnsi="Times New Roman"/>
          <w:sz w:val="24"/>
          <w:szCs w:val="24"/>
        </w:rPr>
      </w:pPr>
      <w:r w:rsidRPr="00AC52CB">
        <w:rPr>
          <w:rFonts w:ascii="Times New Roman" w:eastAsia="楷体" w:hAnsi="Times New Roman" w:hint="eastAsia"/>
          <w:color w:val="000000" w:themeColor="text1"/>
          <w:sz w:val="24"/>
          <w:szCs w:val="24"/>
        </w:rPr>
        <w:t>美国</w:t>
      </w:r>
      <w:r w:rsidRPr="00AC52CB">
        <w:rPr>
          <w:rFonts w:ascii="Times New Roman" w:eastAsia="楷体" w:hAnsi="Times New Roman" w:hint="eastAsia"/>
          <w:color w:val="000000" w:themeColor="text1"/>
          <w:sz w:val="24"/>
          <w:szCs w:val="24"/>
        </w:rPr>
        <w:t>3</w:t>
      </w:r>
      <w:r w:rsidRPr="00AC52CB">
        <w:rPr>
          <w:rFonts w:ascii="Times New Roman" w:eastAsia="楷体" w:hAnsi="Times New Roman" w:hint="eastAsia"/>
          <w:color w:val="000000" w:themeColor="text1"/>
          <w:sz w:val="24"/>
          <w:szCs w:val="24"/>
        </w:rPr>
        <w:t>月非农就业数据延续回落，失业率、时薪增速下降，贵金属价格偏强运行。美国</w:t>
      </w:r>
      <w:r w:rsidRPr="00AC52CB">
        <w:rPr>
          <w:rFonts w:ascii="Times New Roman" w:eastAsia="楷体" w:hAnsi="Times New Roman" w:hint="eastAsia"/>
          <w:color w:val="000000" w:themeColor="text1"/>
          <w:sz w:val="24"/>
          <w:szCs w:val="24"/>
        </w:rPr>
        <w:t>3</w:t>
      </w:r>
      <w:r w:rsidRPr="00AC52CB">
        <w:rPr>
          <w:rFonts w:ascii="Times New Roman" w:eastAsia="楷体" w:hAnsi="Times New Roman" w:hint="eastAsia"/>
          <w:color w:val="000000" w:themeColor="text1"/>
          <w:sz w:val="24"/>
          <w:szCs w:val="24"/>
        </w:rPr>
        <w:t>月新增非农就业人数录得</w:t>
      </w:r>
      <w:r w:rsidRPr="00AC52CB">
        <w:rPr>
          <w:rFonts w:ascii="Times New Roman" w:eastAsia="楷体" w:hAnsi="Times New Roman" w:hint="eastAsia"/>
          <w:color w:val="000000" w:themeColor="text1"/>
          <w:sz w:val="24"/>
          <w:szCs w:val="24"/>
        </w:rPr>
        <w:t>23.6</w:t>
      </w:r>
      <w:r w:rsidRPr="00AC52CB">
        <w:rPr>
          <w:rFonts w:ascii="Times New Roman" w:eastAsia="楷体" w:hAnsi="Times New Roman" w:hint="eastAsia"/>
          <w:color w:val="000000" w:themeColor="text1"/>
          <w:sz w:val="24"/>
          <w:szCs w:val="24"/>
        </w:rPr>
        <w:t>万人，略高于预期，较上月的</w:t>
      </w:r>
      <w:r w:rsidRPr="00AC52CB">
        <w:rPr>
          <w:rFonts w:ascii="Times New Roman" w:eastAsia="楷体" w:hAnsi="Times New Roman" w:hint="eastAsia"/>
          <w:color w:val="000000" w:themeColor="text1"/>
          <w:sz w:val="24"/>
          <w:szCs w:val="24"/>
        </w:rPr>
        <w:t>32.6</w:t>
      </w:r>
      <w:r w:rsidRPr="00AC52CB">
        <w:rPr>
          <w:rFonts w:ascii="Times New Roman" w:eastAsia="楷体" w:hAnsi="Times New Roman" w:hint="eastAsia"/>
          <w:color w:val="000000" w:themeColor="text1"/>
          <w:sz w:val="24"/>
          <w:szCs w:val="24"/>
        </w:rPr>
        <w:t>万人有所回落，美国劳动力市场略显降温。</w:t>
      </w:r>
      <w:r w:rsidRPr="00AC52CB">
        <w:rPr>
          <w:rFonts w:ascii="Times New Roman" w:eastAsia="楷体" w:hAnsi="Times New Roman" w:hint="eastAsia"/>
          <w:color w:val="000000" w:themeColor="text1"/>
          <w:sz w:val="24"/>
          <w:szCs w:val="24"/>
        </w:rPr>
        <w:t>3</w:t>
      </w:r>
      <w:r w:rsidRPr="00AC52CB">
        <w:rPr>
          <w:rFonts w:ascii="Times New Roman" w:eastAsia="楷体" w:hAnsi="Times New Roman" w:hint="eastAsia"/>
          <w:color w:val="000000" w:themeColor="text1"/>
          <w:sz w:val="24"/>
          <w:szCs w:val="24"/>
        </w:rPr>
        <w:t>月美国失业率超预期下降至</w:t>
      </w:r>
      <w:r w:rsidRPr="00AC52CB">
        <w:rPr>
          <w:rFonts w:ascii="Times New Roman" w:eastAsia="楷体" w:hAnsi="Times New Roman" w:hint="eastAsia"/>
          <w:color w:val="000000" w:themeColor="text1"/>
          <w:sz w:val="24"/>
          <w:szCs w:val="24"/>
        </w:rPr>
        <w:t>3.5%</w:t>
      </w:r>
      <w:r w:rsidRPr="00AC52CB">
        <w:rPr>
          <w:rFonts w:ascii="Times New Roman" w:eastAsia="楷体" w:hAnsi="Times New Roman" w:hint="eastAsia"/>
          <w:color w:val="000000" w:themeColor="text1"/>
          <w:sz w:val="24"/>
          <w:szCs w:val="24"/>
        </w:rPr>
        <w:t>，劳动力参与率反弹</w:t>
      </w:r>
      <w:r w:rsidRPr="00AC52CB">
        <w:rPr>
          <w:rFonts w:ascii="Times New Roman" w:eastAsia="楷体" w:hAnsi="Times New Roman" w:hint="eastAsia"/>
          <w:color w:val="000000" w:themeColor="text1"/>
          <w:sz w:val="24"/>
          <w:szCs w:val="24"/>
        </w:rPr>
        <w:t>0.1</w:t>
      </w:r>
      <w:r w:rsidRPr="00AC52CB">
        <w:rPr>
          <w:rFonts w:ascii="Times New Roman" w:eastAsia="楷体" w:hAnsi="Times New Roman" w:hint="eastAsia"/>
          <w:color w:val="000000" w:themeColor="text1"/>
          <w:sz w:val="24"/>
          <w:szCs w:val="24"/>
        </w:rPr>
        <w:t>个百分点至</w:t>
      </w:r>
      <w:r w:rsidRPr="00AC52CB">
        <w:rPr>
          <w:rFonts w:ascii="Times New Roman" w:eastAsia="楷体" w:hAnsi="Times New Roman" w:hint="eastAsia"/>
          <w:color w:val="000000" w:themeColor="text1"/>
          <w:sz w:val="24"/>
          <w:szCs w:val="24"/>
        </w:rPr>
        <w:t>62.6%</w:t>
      </w:r>
      <w:r w:rsidRPr="00AC52CB">
        <w:rPr>
          <w:rFonts w:ascii="Times New Roman" w:eastAsia="楷体" w:hAnsi="Times New Roman" w:hint="eastAsia"/>
          <w:color w:val="000000" w:themeColor="text1"/>
          <w:sz w:val="24"/>
          <w:szCs w:val="24"/>
        </w:rPr>
        <w:t>。</w:t>
      </w:r>
      <w:r w:rsidRPr="00AC52CB">
        <w:rPr>
          <w:rFonts w:ascii="Times New Roman" w:eastAsia="楷体" w:hAnsi="Times New Roman" w:hint="eastAsia"/>
          <w:color w:val="000000" w:themeColor="text1"/>
          <w:sz w:val="24"/>
          <w:szCs w:val="24"/>
        </w:rPr>
        <w:t>3</w:t>
      </w:r>
      <w:r w:rsidRPr="00AC52CB">
        <w:rPr>
          <w:rFonts w:ascii="Times New Roman" w:eastAsia="楷体" w:hAnsi="Times New Roman" w:hint="eastAsia"/>
          <w:color w:val="000000" w:themeColor="text1"/>
          <w:sz w:val="24"/>
          <w:szCs w:val="24"/>
        </w:rPr>
        <w:t>月美国时薪增速同比增</w:t>
      </w:r>
      <w:r w:rsidRPr="00AC52CB">
        <w:rPr>
          <w:rFonts w:ascii="Times New Roman" w:eastAsia="楷体" w:hAnsi="Times New Roman" w:hint="eastAsia"/>
          <w:color w:val="000000" w:themeColor="text1"/>
          <w:sz w:val="24"/>
          <w:szCs w:val="24"/>
        </w:rPr>
        <w:t>4.2%</w:t>
      </w:r>
      <w:r w:rsidRPr="00AC52CB">
        <w:rPr>
          <w:rFonts w:ascii="Times New Roman" w:eastAsia="楷体" w:hAnsi="Times New Roman" w:hint="eastAsia"/>
          <w:color w:val="000000" w:themeColor="text1"/>
          <w:sz w:val="24"/>
          <w:szCs w:val="24"/>
        </w:rPr>
        <w:t>，环比增</w:t>
      </w:r>
      <w:r w:rsidRPr="00AC52CB">
        <w:rPr>
          <w:rFonts w:ascii="Times New Roman" w:eastAsia="楷体" w:hAnsi="Times New Roman" w:hint="eastAsia"/>
          <w:color w:val="000000" w:themeColor="text1"/>
          <w:sz w:val="24"/>
          <w:szCs w:val="24"/>
        </w:rPr>
        <w:t>0.3%</w:t>
      </w:r>
      <w:r w:rsidRPr="00AC52CB">
        <w:rPr>
          <w:rFonts w:ascii="Times New Roman" w:eastAsia="楷体" w:hAnsi="Times New Roman" w:hint="eastAsia"/>
          <w:color w:val="000000" w:themeColor="text1"/>
          <w:sz w:val="24"/>
          <w:szCs w:val="24"/>
        </w:rPr>
        <w:t>。上周五外盘因节假日休市，截至</w:t>
      </w:r>
      <w:r w:rsidRPr="00AC52CB">
        <w:rPr>
          <w:rFonts w:ascii="Times New Roman" w:eastAsia="楷体" w:hAnsi="Times New Roman" w:hint="eastAsia"/>
          <w:color w:val="000000" w:themeColor="text1"/>
          <w:sz w:val="24"/>
          <w:szCs w:val="24"/>
        </w:rPr>
        <w:t>4</w:t>
      </w:r>
      <w:r w:rsidRPr="00AC52CB">
        <w:rPr>
          <w:rFonts w:ascii="Times New Roman" w:eastAsia="楷体" w:hAnsi="Times New Roman" w:hint="eastAsia"/>
          <w:color w:val="000000" w:themeColor="text1"/>
          <w:sz w:val="24"/>
          <w:szCs w:val="24"/>
        </w:rPr>
        <w:t>月</w:t>
      </w:r>
      <w:r w:rsidRPr="00AC52CB">
        <w:rPr>
          <w:rFonts w:ascii="Times New Roman" w:eastAsia="楷体" w:hAnsi="Times New Roman" w:hint="eastAsia"/>
          <w:color w:val="000000" w:themeColor="text1"/>
          <w:sz w:val="24"/>
          <w:szCs w:val="24"/>
        </w:rPr>
        <w:t>6</w:t>
      </w:r>
      <w:r w:rsidRPr="00AC52CB">
        <w:rPr>
          <w:rFonts w:ascii="Times New Roman" w:eastAsia="楷体" w:hAnsi="Times New Roman" w:hint="eastAsia"/>
          <w:color w:val="000000" w:themeColor="text1"/>
          <w:sz w:val="24"/>
          <w:szCs w:val="24"/>
        </w:rPr>
        <w:t>日晚间</w:t>
      </w:r>
      <w:r w:rsidRPr="00AC52CB">
        <w:rPr>
          <w:rFonts w:ascii="Times New Roman" w:eastAsia="楷体" w:hAnsi="Times New Roman" w:hint="eastAsia"/>
          <w:color w:val="000000" w:themeColor="text1"/>
          <w:sz w:val="24"/>
          <w:szCs w:val="24"/>
        </w:rPr>
        <w:t>COMEX</w:t>
      </w:r>
      <w:r w:rsidRPr="00AC52CB">
        <w:rPr>
          <w:rFonts w:ascii="Times New Roman" w:eastAsia="楷体" w:hAnsi="Times New Roman" w:hint="eastAsia"/>
          <w:color w:val="000000" w:themeColor="text1"/>
          <w:sz w:val="24"/>
          <w:szCs w:val="24"/>
        </w:rPr>
        <w:t>黄金期货主力周内上涨</w:t>
      </w:r>
      <w:r w:rsidRPr="00AC52CB">
        <w:rPr>
          <w:rFonts w:ascii="Times New Roman" w:eastAsia="楷体" w:hAnsi="Times New Roman" w:hint="eastAsia"/>
          <w:color w:val="000000" w:themeColor="text1"/>
          <w:sz w:val="24"/>
          <w:szCs w:val="24"/>
        </w:rPr>
        <w:t>1.89%</w:t>
      </w:r>
      <w:r w:rsidRPr="00AC52CB">
        <w:rPr>
          <w:rFonts w:ascii="Times New Roman" w:eastAsia="楷体" w:hAnsi="Times New Roman" w:hint="eastAsia"/>
          <w:color w:val="000000" w:themeColor="text1"/>
          <w:sz w:val="24"/>
          <w:szCs w:val="24"/>
        </w:rPr>
        <w:t>，报</w:t>
      </w:r>
      <w:r w:rsidRPr="00AC52CB">
        <w:rPr>
          <w:rFonts w:ascii="Times New Roman" w:eastAsia="楷体" w:hAnsi="Times New Roman" w:hint="eastAsia"/>
          <w:color w:val="000000" w:themeColor="text1"/>
          <w:sz w:val="24"/>
          <w:szCs w:val="24"/>
        </w:rPr>
        <w:t>2023.7</w:t>
      </w:r>
      <w:r w:rsidRPr="00AC52CB">
        <w:rPr>
          <w:rFonts w:ascii="Times New Roman" w:eastAsia="楷体" w:hAnsi="Times New Roman" w:hint="eastAsia"/>
          <w:color w:val="000000" w:themeColor="text1"/>
          <w:sz w:val="24"/>
          <w:szCs w:val="24"/>
        </w:rPr>
        <w:t>美元</w:t>
      </w:r>
      <w:r w:rsidRPr="00AC52CB">
        <w:rPr>
          <w:rFonts w:ascii="Times New Roman" w:eastAsia="楷体" w:hAnsi="Times New Roman" w:hint="eastAsia"/>
          <w:color w:val="000000" w:themeColor="text1"/>
          <w:sz w:val="24"/>
          <w:szCs w:val="24"/>
        </w:rPr>
        <w:t>/</w:t>
      </w:r>
      <w:r w:rsidRPr="00AC52CB">
        <w:rPr>
          <w:rFonts w:ascii="Times New Roman" w:eastAsia="楷体" w:hAnsi="Times New Roman" w:hint="eastAsia"/>
          <w:color w:val="000000" w:themeColor="text1"/>
          <w:sz w:val="24"/>
          <w:szCs w:val="24"/>
        </w:rPr>
        <w:t>盎司；</w:t>
      </w:r>
      <w:r w:rsidRPr="00AC52CB">
        <w:rPr>
          <w:rFonts w:ascii="Times New Roman" w:eastAsia="楷体" w:hAnsi="Times New Roman" w:hint="eastAsia"/>
          <w:color w:val="000000" w:themeColor="text1"/>
          <w:sz w:val="24"/>
          <w:szCs w:val="24"/>
        </w:rPr>
        <w:t>COMEX</w:t>
      </w:r>
      <w:r w:rsidRPr="00AC52CB">
        <w:rPr>
          <w:rFonts w:ascii="Times New Roman" w:eastAsia="楷体" w:hAnsi="Times New Roman" w:hint="eastAsia"/>
          <w:color w:val="000000" w:themeColor="text1"/>
          <w:sz w:val="24"/>
          <w:szCs w:val="24"/>
        </w:rPr>
        <w:t>白银期货主力周涨</w:t>
      </w:r>
      <w:r w:rsidRPr="00AC52CB">
        <w:rPr>
          <w:rFonts w:ascii="Times New Roman" w:eastAsia="楷体" w:hAnsi="Times New Roman" w:hint="eastAsia"/>
          <w:color w:val="000000" w:themeColor="text1"/>
          <w:sz w:val="24"/>
          <w:szCs w:val="24"/>
        </w:rPr>
        <w:t>4.03%</w:t>
      </w:r>
      <w:r w:rsidRPr="00AC52CB">
        <w:rPr>
          <w:rFonts w:ascii="Times New Roman" w:eastAsia="楷体" w:hAnsi="Times New Roman" w:hint="eastAsia"/>
          <w:color w:val="000000" w:themeColor="text1"/>
          <w:sz w:val="24"/>
          <w:szCs w:val="24"/>
        </w:rPr>
        <w:t>，报</w:t>
      </w:r>
      <w:r w:rsidRPr="00AC52CB">
        <w:rPr>
          <w:rFonts w:ascii="Times New Roman" w:eastAsia="楷体" w:hAnsi="Times New Roman" w:hint="eastAsia"/>
          <w:color w:val="000000" w:themeColor="text1"/>
          <w:sz w:val="24"/>
          <w:szCs w:val="24"/>
        </w:rPr>
        <w:t>25.13</w:t>
      </w:r>
      <w:r w:rsidRPr="00AC52CB">
        <w:rPr>
          <w:rFonts w:ascii="Times New Roman" w:eastAsia="楷体" w:hAnsi="Times New Roman" w:hint="eastAsia"/>
          <w:color w:val="000000" w:themeColor="text1"/>
          <w:sz w:val="24"/>
          <w:szCs w:val="24"/>
        </w:rPr>
        <w:t>美元</w:t>
      </w:r>
      <w:r w:rsidRPr="00AC52CB">
        <w:rPr>
          <w:rFonts w:ascii="Times New Roman" w:eastAsia="楷体" w:hAnsi="Times New Roman" w:hint="eastAsia"/>
          <w:color w:val="000000" w:themeColor="text1"/>
          <w:sz w:val="24"/>
          <w:szCs w:val="24"/>
        </w:rPr>
        <w:t>/</w:t>
      </w:r>
      <w:r w:rsidRPr="00AC52CB">
        <w:rPr>
          <w:rFonts w:ascii="Times New Roman" w:eastAsia="楷体" w:hAnsi="Times New Roman" w:hint="eastAsia"/>
          <w:color w:val="000000" w:themeColor="text1"/>
          <w:sz w:val="24"/>
          <w:szCs w:val="24"/>
        </w:rPr>
        <w:t>盎司。沪金主力</w:t>
      </w:r>
      <w:r w:rsidRPr="00AC52CB">
        <w:rPr>
          <w:rFonts w:ascii="Times New Roman" w:eastAsia="楷体" w:hAnsi="Times New Roman" w:hint="eastAsia"/>
          <w:color w:val="000000" w:themeColor="text1"/>
          <w:sz w:val="24"/>
          <w:szCs w:val="24"/>
        </w:rPr>
        <w:t>4</w:t>
      </w:r>
      <w:r w:rsidRPr="00AC52CB">
        <w:rPr>
          <w:rFonts w:ascii="Times New Roman" w:eastAsia="楷体" w:hAnsi="Times New Roman" w:hint="eastAsia"/>
          <w:color w:val="000000" w:themeColor="text1"/>
          <w:sz w:val="24"/>
          <w:szCs w:val="24"/>
        </w:rPr>
        <w:t>月</w:t>
      </w:r>
      <w:r w:rsidRPr="00AC52CB">
        <w:rPr>
          <w:rFonts w:ascii="Times New Roman" w:eastAsia="楷体" w:hAnsi="Times New Roman" w:hint="eastAsia"/>
          <w:color w:val="000000" w:themeColor="text1"/>
          <w:sz w:val="24"/>
          <w:szCs w:val="24"/>
        </w:rPr>
        <w:t>8</w:t>
      </w:r>
      <w:r w:rsidRPr="00AC52CB">
        <w:rPr>
          <w:rFonts w:ascii="Times New Roman" w:eastAsia="楷体" w:hAnsi="Times New Roman" w:hint="eastAsia"/>
          <w:color w:val="000000" w:themeColor="text1"/>
          <w:sz w:val="24"/>
          <w:szCs w:val="24"/>
        </w:rPr>
        <w:t>日收盘报</w:t>
      </w:r>
      <w:r w:rsidRPr="00AC52CB">
        <w:rPr>
          <w:rFonts w:ascii="Times New Roman" w:eastAsia="楷体" w:hAnsi="Times New Roman" w:hint="eastAsia"/>
          <w:color w:val="000000" w:themeColor="text1"/>
          <w:sz w:val="24"/>
          <w:szCs w:val="24"/>
        </w:rPr>
        <w:t>445.92</w:t>
      </w:r>
      <w:r w:rsidRPr="00AC52CB">
        <w:rPr>
          <w:rFonts w:ascii="Times New Roman" w:eastAsia="楷体" w:hAnsi="Times New Roman" w:hint="eastAsia"/>
          <w:color w:val="000000" w:themeColor="text1"/>
          <w:sz w:val="24"/>
          <w:szCs w:val="24"/>
        </w:rPr>
        <w:t>元</w:t>
      </w:r>
      <w:r w:rsidRPr="00AC52CB">
        <w:rPr>
          <w:rFonts w:ascii="Times New Roman" w:eastAsia="楷体" w:hAnsi="Times New Roman" w:hint="eastAsia"/>
          <w:color w:val="000000" w:themeColor="text1"/>
          <w:sz w:val="24"/>
          <w:szCs w:val="24"/>
        </w:rPr>
        <w:t>/</w:t>
      </w:r>
      <w:r w:rsidRPr="00AC52CB">
        <w:rPr>
          <w:rFonts w:ascii="Times New Roman" w:eastAsia="楷体" w:hAnsi="Times New Roman" w:hint="eastAsia"/>
          <w:color w:val="000000" w:themeColor="text1"/>
          <w:sz w:val="24"/>
          <w:szCs w:val="24"/>
        </w:rPr>
        <w:t>克，周涨</w:t>
      </w:r>
      <w:r w:rsidRPr="00AC52CB">
        <w:rPr>
          <w:rFonts w:ascii="Times New Roman" w:eastAsia="楷体" w:hAnsi="Times New Roman" w:hint="eastAsia"/>
          <w:color w:val="000000" w:themeColor="text1"/>
          <w:sz w:val="24"/>
          <w:szCs w:val="24"/>
        </w:rPr>
        <w:t>1.42%</w:t>
      </w:r>
      <w:r w:rsidRPr="00AC52CB">
        <w:rPr>
          <w:rFonts w:ascii="Times New Roman" w:eastAsia="楷体" w:hAnsi="Times New Roman" w:hint="eastAsia"/>
          <w:color w:val="000000" w:themeColor="text1"/>
          <w:sz w:val="24"/>
          <w:szCs w:val="24"/>
        </w:rPr>
        <w:t>；沪银主力报</w:t>
      </w:r>
      <w:r w:rsidRPr="00AC52CB">
        <w:rPr>
          <w:rFonts w:ascii="Times New Roman" w:eastAsia="楷体" w:hAnsi="Times New Roman" w:hint="eastAsia"/>
          <w:color w:val="000000" w:themeColor="text1"/>
          <w:sz w:val="24"/>
          <w:szCs w:val="24"/>
        </w:rPr>
        <w:t>5566</w:t>
      </w:r>
      <w:r w:rsidRPr="00AC52CB">
        <w:rPr>
          <w:rFonts w:ascii="Times New Roman" w:eastAsia="楷体" w:hAnsi="Times New Roman" w:hint="eastAsia"/>
          <w:color w:val="000000" w:themeColor="text1"/>
          <w:sz w:val="24"/>
          <w:szCs w:val="24"/>
        </w:rPr>
        <w:t>元</w:t>
      </w:r>
      <w:r w:rsidRPr="00AC52CB">
        <w:rPr>
          <w:rFonts w:ascii="Times New Roman" w:eastAsia="楷体" w:hAnsi="Times New Roman" w:hint="eastAsia"/>
          <w:color w:val="000000" w:themeColor="text1"/>
          <w:sz w:val="24"/>
          <w:szCs w:val="24"/>
        </w:rPr>
        <w:t>/</w:t>
      </w:r>
      <w:r w:rsidRPr="00AC52CB">
        <w:rPr>
          <w:rFonts w:ascii="Times New Roman" w:eastAsia="楷体" w:hAnsi="Times New Roman" w:hint="eastAsia"/>
          <w:color w:val="000000" w:themeColor="text1"/>
          <w:sz w:val="24"/>
          <w:szCs w:val="24"/>
        </w:rPr>
        <w:t>千克，周涨</w:t>
      </w:r>
      <w:r w:rsidRPr="00AC52CB">
        <w:rPr>
          <w:rFonts w:ascii="Times New Roman" w:eastAsia="楷体" w:hAnsi="Times New Roman" w:hint="eastAsia"/>
          <w:color w:val="000000" w:themeColor="text1"/>
          <w:sz w:val="24"/>
          <w:szCs w:val="24"/>
        </w:rPr>
        <w:t>4.84%</w:t>
      </w:r>
      <w:r w:rsidRPr="00AC52CB">
        <w:rPr>
          <w:rFonts w:ascii="Times New Roman" w:eastAsia="楷体" w:hAnsi="Times New Roman" w:hint="eastAsia"/>
          <w:color w:val="000000" w:themeColor="text1"/>
          <w:sz w:val="24"/>
          <w:szCs w:val="24"/>
        </w:rPr>
        <w:t>。周内人民币汇率小幅走强，内外盘贵金属价格走势相近。关注本周即将公布的美国</w:t>
      </w:r>
      <w:r w:rsidRPr="00AC52CB">
        <w:rPr>
          <w:rFonts w:ascii="Times New Roman" w:eastAsia="楷体" w:hAnsi="Times New Roman" w:hint="eastAsia"/>
          <w:color w:val="000000" w:themeColor="text1"/>
          <w:sz w:val="24"/>
          <w:szCs w:val="24"/>
        </w:rPr>
        <w:t>3</w:t>
      </w:r>
      <w:r w:rsidRPr="00AC52CB">
        <w:rPr>
          <w:rFonts w:ascii="Times New Roman" w:eastAsia="楷体" w:hAnsi="Times New Roman" w:hint="eastAsia"/>
          <w:color w:val="000000" w:themeColor="text1"/>
          <w:sz w:val="24"/>
          <w:szCs w:val="24"/>
        </w:rPr>
        <w:t>月</w:t>
      </w:r>
      <w:r w:rsidRPr="00AC52CB">
        <w:rPr>
          <w:rFonts w:ascii="Times New Roman" w:eastAsia="楷体" w:hAnsi="Times New Roman" w:hint="eastAsia"/>
          <w:color w:val="000000" w:themeColor="text1"/>
          <w:sz w:val="24"/>
          <w:szCs w:val="24"/>
        </w:rPr>
        <w:t>CPI</w:t>
      </w:r>
      <w:r w:rsidRPr="00AC52CB">
        <w:rPr>
          <w:rFonts w:ascii="Times New Roman" w:eastAsia="楷体" w:hAnsi="Times New Roman" w:hint="eastAsia"/>
          <w:color w:val="000000" w:themeColor="text1"/>
          <w:sz w:val="24"/>
          <w:szCs w:val="24"/>
        </w:rPr>
        <w:t>通胀数据，美联储货币政策接近转向，美国就业、经济景气度降温，经济衰退的风险持续增加，鸽派预期仍对贵金属价格有所支撑，建议沪金、沪银思路以偏多为主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201346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2013463"/>
      <w:r>
        <w:rPr>
          <w:rFonts w:ascii="楷体" w:eastAsia="楷体" w:hAnsi="楷体" w:hint="eastAsia"/>
          <w:b/>
          <w:color w:val="000000" w:themeColor="text1"/>
          <w:sz w:val="24"/>
          <w:szCs w:val="24"/>
        </w:rPr>
        <w:t>螺纹钢：</w:t>
      </w:r>
      <w:bookmarkEnd w:id="15"/>
      <w:bookmarkEnd w:id="16"/>
      <w:r w:rsidR="00CD70A0" w:rsidRPr="00CD70A0">
        <w:rPr>
          <w:rFonts w:ascii="楷体" w:eastAsia="楷体" w:hAnsi="楷体" w:hint="eastAsia"/>
          <w:b/>
          <w:color w:val="000000" w:themeColor="text1"/>
          <w:sz w:val="24"/>
          <w:szCs w:val="24"/>
        </w:rPr>
        <w:t>企稳弱反弹，后续仍承压运行</w:t>
      </w:r>
      <w:bookmarkEnd w:id="17"/>
    </w:p>
    <w:p w:rsidR="003F56A5" w:rsidRDefault="00CD70A0">
      <w:pPr>
        <w:ind w:leftChars="300" w:left="630"/>
        <w:rPr>
          <w:rFonts w:ascii="楷体" w:eastAsia="楷体" w:hAnsi="楷体"/>
          <w:color w:val="000000" w:themeColor="text1"/>
          <w:sz w:val="24"/>
          <w:szCs w:val="24"/>
        </w:rPr>
      </w:pPr>
      <w:r w:rsidRPr="00CD70A0">
        <w:rPr>
          <w:rFonts w:ascii="楷体" w:eastAsia="楷体" w:hAnsi="楷体" w:hint="eastAsia"/>
          <w:color w:val="000000" w:themeColor="text1"/>
          <w:sz w:val="24"/>
          <w:szCs w:val="24"/>
        </w:rPr>
        <w:t>需求不利因素有所缓解，价格大跌后成交有所转暖。一是前期天气等问题导致需求走弱，预计下周有所改善。第二是下游前期补库意愿较弱，跌价后或有所改善，跌价刚需支撑，供需关系有所改善，针对旺季需求的高度及持续性仍有分歧。预计螺纹钢10合约价格运行区间（3930，4130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2013464"/>
      <w:r>
        <w:rPr>
          <w:rFonts w:ascii="楷体" w:eastAsia="楷体" w:hAnsi="楷体" w:hint="eastAsia"/>
          <w:b/>
          <w:color w:val="000000" w:themeColor="text1"/>
          <w:sz w:val="24"/>
          <w:szCs w:val="24"/>
        </w:rPr>
        <w:t>焦炭：</w:t>
      </w:r>
      <w:bookmarkEnd w:id="18"/>
      <w:bookmarkEnd w:id="19"/>
      <w:r w:rsidR="00CD70A0" w:rsidRPr="00CD70A0">
        <w:rPr>
          <w:rFonts w:ascii="楷体" w:eastAsia="楷体" w:hAnsi="楷体" w:hint="eastAsia"/>
          <w:b/>
          <w:color w:val="000000" w:themeColor="text1"/>
          <w:sz w:val="24"/>
          <w:szCs w:val="24"/>
        </w:rPr>
        <w:t>现货继续探底，盘面领跌下震荡运行</w:t>
      </w:r>
      <w:bookmarkEnd w:id="20"/>
    </w:p>
    <w:p w:rsidR="003F56A5" w:rsidRDefault="00CD70A0">
      <w:pPr>
        <w:ind w:leftChars="300" w:left="630"/>
        <w:rPr>
          <w:rFonts w:ascii="楷体" w:eastAsia="楷体" w:hAnsi="楷体"/>
          <w:color w:val="000000" w:themeColor="text1"/>
          <w:sz w:val="24"/>
          <w:szCs w:val="24"/>
        </w:rPr>
      </w:pPr>
      <w:r w:rsidRPr="00CD70A0">
        <w:rPr>
          <w:rFonts w:ascii="楷体" w:eastAsia="楷体" w:hAnsi="楷体" w:hint="eastAsia"/>
          <w:color w:val="000000" w:themeColor="text1"/>
          <w:sz w:val="24"/>
          <w:szCs w:val="24"/>
        </w:rPr>
        <w:t>预计本周焦炭第二轮提降落地后，短期或有一定支撑。前期焦煤让渡利润后，焦炭提降阻力不强，预计下周第二轮或将落地，但目前钢厂利润尚口，高铁水下继续提降空间有限，现货进一步下行或需等待铁水减产驱动</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2013465"/>
      <w:r>
        <w:rPr>
          <w:rFonts w:ascii="楷体" w:eastAsia="楷体" w:hAnsi="楷体" w:hint="eastAsia"/>
          <w:b/>
          <w:color w:val="000000" w:themeColor="text1"/>
          <w:sz w:val="24"/>
          <w:szCs w:val="24"/>
        </w:rPr>
        <w:t>焦煤：</w:t>
      </w:r>
      <w:r w:rsidR="00CD70A0" w:rsidRPr="00CD70A0">
        <w:rPr>
          <w:rFonts w:ascii="楷体" w:eastAsia="楷体" w:hAnsi="楷体" w:hint="eastAsia"/>
          <w:b/>
          <w:sz w:val="24"/>
          <w:szCs w:val="24"/>
        </w:rPr>
        <w:t>供应长期宽松，价格偏弱运行</w:t>
      </w:r>
      <w:bookmarkEnd w:id="21"/>
    </w:p>
    <w:p w:rsidR="003F56A5" w:rsidRDefault="00CD70A0">
      <w:pPr>
        <w:ind w:leftChars="300" w:left="630"/>
        <w:rPr>
          <w:rFonts w:ascii="楷体" w:eastAsia="楷体" w:hAnsi="楷体"/>
          <w:bCs/>
          <w:sz w:val="24"/>
          <w:szCs w:val="24"/>
        </w:rPr>
      </w:pPr>
      <w:r w:rsidRPr="00CD70A0">
        <w:rPr>
          <w:rFonts w:ascii="楷体" w:eastAsia="楷体" w:hAnsi="楷体" w:hint="eastAsia"/>
          <w:sz w:val="24"/>
          <w:szCs w:val="24"/>
        </w:rPr>
        <w:lastRenderedPageBreak/>
        <w:t>煤价下行趋势较强，但短期现货或偏稳运行。上游累库压力大，下游低库存在跌价后有一定补库需求，短期或偏稳运行，但煤价中长期压力不改，现货进一步下行或需等待铁水减产驱动</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2013466"/>
      <w:r>
        <w:rPr>
          <w:rFonts w:ascii="楷体" w:eastAsia="楷体" w:hAnsi="楷体" w:hint="eastAsia"/>
          <w:b/>
          <w:color w:val="000000" w:themeColor="text1"/>
          <w:sz w:val="24"/>
          <w:szCs w:val="24"/>
        </w:rPr>
        <w:t>铜：</w:t>
      </w:r>
      <w:bookmarkEnd w:id="22"/>
      <w:bookmarkEnd w:id="23"/>
      <w:r w:rsidR="00CD70A0" w:rsidRPr="00CD70A0">
        <w:rPr>
          <w:rFonts w:ascii="楷体" w:eastAsia="楷体" w:hAnsi="楷体" w:hint="eastAsia"/>
          <w:b/>
          <w:color w:val="000000" w:themeColor="text1"/>
          <w:sz w:val="24"/>
          <w:szCs w:val="24"/>
        </w:rPr>
        <w:t>海外宏观压力仍存，铜价承压运行</w:t>
      </w:r>
      <w:bookmarkEnd w:id="24"/>
    </w:p>
    <w:p w:rsidR="00CD70A0" w:rsidRPr="00CD70A0" w:rsidRDefault="00CD70A0" w:rsidP="00CD70A0">
      <w:pPr>
        <w:ind w:leftChars="300" w:left="630"/>
        <w:rPr>
          <w:rFonts w:ascii="楷体" w:eastAsia="楷体" w:hAnsi="楷体" w:hint="eastAsia"/>
          <w:color w:val="000000" w:themeColor="text1"/>
          <w:sz w:val="24"/>
          <w:szCs w:val="24"/>
        </w:rPr>
      </w:pPr>
      <w:r w:rsidRPr="00CD70A0">
        <w:rPr>
          <w:rFonts w:ascii="楷体" w:eastAsia="楷体" w:hAnsi="楷体" w:hint="eastAsia"/>
          <w:color w:val="000000" w:themeColor="text1"/>
          <w:sz w:val="24"/>
          <w:szCs w:val="24"/>
        </w:rPr>
        <w:t>(1)宏观：美国3月非农就业人口增加23.6万人，增幅高于预期值23万人，前值31.1万人；美国3月失业率降至3.5%，预期3.6%，前值3.6%。</w:t>
      </w:r>
    </w:p>
    <w:p w:rsidR="00CD70A0" w:rsidRPr="00CD70A0" w:rsidRDefault="00CD70A0" w:rsidP="00CD70A0">
      <w:pPr>
        <w:ind w:leftChars="300" w:left="630"/>
        <w:rPr>
          <w:rFonts w:ascii="楷体" w:eastAsia="楷体" w:hAnsi="楷体" w:hint="eastAsia"/>
          <w:color w:val="000000" w:themeColor="text1"/>
          <w:sz w:val="24"/>
          <w:szCs w:val="24"/>
        </w:rPr>
      </w:pPr>
      <w:r w:rsidRPr="00CD70A0">
        <w:rPr>
          <w:rFonts w:ascii="楷体" w:eastAsia="楷体" w:hAnsi="楷体" w:hint="eastAsia"/>
          <w:color w:val="000000" w:themeColor="text1"/>
          <w:sz w:val="24"/>
          <w:szCs w:val="24"/>
        </w:rPr>
        <w:t>(2)库存：4月7日，SHFE周库存155761吨，较上周五减815吨。LME仓单库存65425吨，较上周五增700吨。</w:t>
      </w:r>
    </w:p>
    <w:p w:rsidR="00CD70A0" w:rsidRPr="00CD70A0" w:rsidRDefault="00CD70A0" w:rsidP="00CD70A0">
      <w:pPr>
        <w:ind w:leftChars="300" w:left="630"/>
        <w:rPr>
          <w:rFonts w:ascii="楷体" w:eastAsia="楷体" w:hAnsi="楷体" w:hint="eastAsia"/>
          <w:color w:val="000000" w:themeColor="text1"/>
          <w:sz w:val="24"/>
          <w:szCs w:val="24"/>
        </w:rPr>
      </w:pPr>
      <w:r w:rsidRPr="00CD70A0">
        <w:rPr>
          <w:rFonts w:ascii="楷体" w:eastAsia="楷体" w:hAnsi="楷体" w:hint="eastAsia"/>
          <w:color w:val="000000" w:themeColor="text1"/>
          <w:sz w:val="24"/>
          <w:szCs w:val="24"/>
        </w:rPr>
        <w:t>(3)精废价差：4月7日，Mysteel精废价差2050，扩大4。目前价差在合理价差1388之上。</w:t>
      </w:r>
    </w:p>
    <w:p w:rsidR="00CD70A0" w:rsidRPr="00CD70A0" w:rsidRDefault="00CD70A0" w:rsidP="00CD70A0">
      <w:pPr>
        <w:ind w:leftChars="300" w:left="630"/>
        <w:rPr>
          <w:rFonts w:ascii="楷体" w:eastAsia="楷体" w:hAnsi="楷体"/>
          <w:color w:val="000000" w:themeColor="text1"/>
          <w:sz w:val="24"/>
          <w:szCs w:val="24"/>
        </w:rPr>
      </w:pPr>
    </w:p>
    <w:p w:rsidR="00A71A7E" w:rsidRPr="00A71A7E" w:rsidRDefault="00CD70A0" w:rsidP="00CD70A0">
      <w:pPr>
        <w:ind w:leftChars="300" w:left="630"/>
        <w:rPr>
          <w:rFonts w:ascii="楷体" w:eastAsia="楷体" w:hAnsi="楷体"/>
          <w:color w:val="000000" w:themeColor="text1"/>
          <w:sz w:val="24"/>
          <w:szCs w:val="24"/>
        </w:rPr>
      </w:pPr>
      <w:r w:rsidRPr="00CD70A0">
        <w:rPr>
          <w:rFonts w:ascii="楷体" w:eastAsia="楷体" w:hAnsi="楷体" w:hint="eastAsia"/>
          <w:color w:val="000000" w:themeColor="text1"/>
          <w:sz w:val="24"/>
          <w:szCs w:val="24"/>
        </w:rPr>
        <w:t>综述：美国3月非农数据暂未大超预期，失业率维持低位，继续支撑5月加息，海外经济存继续走弱压力，国内经济延续复苏，政策面预期仍偏强;基本面， 国内精铜供应增量逐步兑现，去库放缓，基本面支撑有所弱化。预计铜价仍将承压运行，周内波动区间参考67000-69500元。关注美国3月通胀数据的指引</w:t>
      </w:r>
      <w:r w:rsidR="00A71A7E" w:rsidRPr="00A71A7E">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2013467"/>
      <w:r>
        <w:rPr>
          <w:rFonts w:ascii="楷体" w:eastAsia="楷体" w:hAnsi="楷体" w:hint="eastAsia"/>
          <w:b/>
          <w:color w:val="000000" w:themeColor="text1"/>
          <w:sz w:val="24"/>
          <w:szCs w:val="24"/>
        </w:rPr>
        <w:t>铝：</w:t>
      </w:r>
      <w:bookmarkEnd w:id="25"/>
      <w:bookmarkEnd w:id="26"/>
      <w:r w:rsidR="00AC52CB" w:rsidRPr="00AC52CB">
        <w:rPr>
          <w:rFonts w:ascii="楷体" w:eastAsia="楷体" w:hAnsi="楷体" w:hint="eastAsia"/>
          <w:b/>
          <w:color w:val="000000" w:themeColor="text1"/>
          <w:sz w:val="24"/>
          <w:szCs w:val="24"/>
        </w:rPr>
        <w:t>上下驱动有限，旺季支撑之下价格偏强震荡运行</w:t>
      </w:r>
      <w:bookmarkEnd w:id="27"/>
    </w:p>
    <w:p w:rsidR="003F56A5" w:rsidRDefault="00AC52CB" w:rsidP="00CF7A9A">
      <w:pPr>
        <w:ind w:leftChars="300" w:left="630"/>
        <w:rPr>
          <w:rFonts w:ascii="楷体" w:eastAsia="楷体" w:hAnsi="楷体"/>
          <w:color w:val="000000" w:themeColor="text1"/>
          <w:sz w:val="24"/>
          <w:szCs w:val="24"/>
        </w:rPr>
      </w:pPr>
      <w:r w:rsidRPr="00AC52CB">
        <w:rPr>
          <w:rFonts w:ascii="楷体" w:eastAsia="楷体" w:hAnsi="楷体" w:hint="eastAsia"/>
          <w:color w:val="000000" w:themeColor="text1"/>
          <w:sz w:val="24"/>
          <w:szCs w:val="24"/>
        </w:rPr>
        <w:t>宏观面：宏观外弱内强，短期负面情绪压力缓解。美国就业市场降温，实际美国通胀仍有粘性，加息之旅未走至终点，海外经济衰退风险加剧，国内经济政策整体宽松向好，宏观情绪外弱内强。基本面：铝企有利润支撑生产，库存去化但增速放缓，需求有旺季刚性支撑但整体表现不及市场乐观预期。海外天然气价格走弱带动电解铝冶炼成本下行，海外有供应复产可能。国内四川、贵州小幅增产， 云南干旱延续难以复产，前期云南二次减产压力向下传导，消息面传出云南或再有减产动作。下游企业开工率走增，冶炼加工利润支撑企业生产，海内外交易所库存拐入去库，社库去库但增速放缓，进入“银四”旺季，汽车消费、工业生产消费仍有支撑，地产数据修复改善但未有超季节性表现。整体上看，短期价格偏强震荡，波动区间18000-19000</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2013468"/>
      <w:r>
        <w:rPr>
          <w:rFonts w:ascii="楷体" w:eastAsia="楷体" w:hAnsi="楷体" w:hint="eastAsia"/>
          <w:b/>
          <w:color w:val="000000" w:themeColor="text1"/>
          <w:sz w:val="24"/>
          <w:szCs w:val="24"/>
        </w:rPr>
        <w:t>锌：</w:t>
      </w:r>
      <w:r w:rsidR="00AC52CB" w:rsidRPr="00AC52CB">
        <w:rPr>
          <w:rFonts w:ascii="楷体" w:eastAsia="楷体" w:hAnsi="楷体" w:hint="eastAsia"/>
          <w:b/>
          <w:color w:val="000000" w:themeColor="text1"/>
          <w:sz w:val="24"/>
          <w:szCs w:val="24"/>
        </w:rPr>
        <w:t>基本面支撑偏弱，价格有下行压力</w:t>
      </w:r>
      <w:bookmarkEnd w:id="28"/>
    </w:p>
    <w:p w:rsidR="003F56A5" w:rsidRDefault="00AC52CB" w:rsidP="000B0648">
      <w:pPr>
        <w:ind w:leftChars="300" w:left="630"/>
        <w:rPr>
          <w:rFonts w:ascii="楷体" w:eastAsia="楷体" w:hAnsi="楷体"/>
          <w:color w:val="000000" w:themeColor="text1"/>
          <w:sz w:val="24"/>
          <w:szCs w:val="24"/>
        </w:rPr>
      </w:pPr>
      <w:r w:rsidRPr="00AC52CB">
        <w:rPr>
          <w:rFonts w:ascii="楷体" w:eastAsia="楷体" w:hAnsi="楷体" w:hint="eastAsia"/>
          <w:color w:val="000000" w:themeColor="text1"/>
          <w:sz w:val="24"/>
          <w:szCs w:val="24"/>
        </w:rPr>
        <w:t>美国非农数据表现符合预期，失业率维持低位，美国通胀粘性较强，联储5月或再度加息，宏观承压运行。基本面来看，海外有较强供应复产预期，国内上中游维持高产，锌矿进口有走弱迹象，冶炼利润正在持续挤出。需求主要依赖内需支撑，地产、基建弱修复，整体表现为供强于需。锌价震荡偏弱，仍面临较大下行压力</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2013469"/>
      <w:r>
        <w:rPr>
          <w:rFonts w:ascii="楷体" w:eastAsia="楷体" w:hAnsi="楷体" w:hint="eastAsia"/>
          <w:b/>
          <w:color w:val="000000" w:themeColor="text1"/>
          <w:sz w:val="24"/>
          <w:szCs w:val="24"/>
        </w:rPr>
        <w:t>镍：</w:t>
      </w:r>
      <w:r w:rsidR="00CD70A0" w:rsidRPr="00CD70A0">
        <w:rPr>
          <w:rFonts w:ascii="楷体" w:eastAsia="楷体" w:hAnsi="楷体" w:hint="eastAsia"/>
          <w:b/>
          <w:color w:val="000000" w:themeColor="text1"/>
          <w:sz w:val="24"/>
          <w:szCs w:val="24"/>
        </w:rPr>
        <w:t>低库存下挤仓风险上升，反弹后高空思路不变</w:t>
      </w:r>
      <w:bookmarkEnd w:id="29"/>
    </w:p>
    <w:p w:rsidR="003F56A5" w:rsidRDefault="00CD70A0">
      <w:pPr>
        <w:ind w:leftChars="300" w:left="630"/>
        <w:rPr>
          <w:rFonts w:ascii="楷体" w:eastAsia="楷体" w:hAnsi="楷体"/>
          <w:color w:val="000000" w:themeColor="text1"/>
          <w:sz w:val="24"/>
          <w:szCs w:val="24"/>
        </w:rPr>
      </w:pPr>
      <w:r w:rsidRPr="00CD70A0">
        <w:rPr>
          <w:rFonts w:ascii="楷体" w:eastAsia="楷体" w:hAnsi="楷体" w:hint="eastAsia"/>
          <w:color w:val="000000" w:themeColor="text1"/>
          <w:sz w:val="24"/>
          <w:szCs w:val="24"/>
        </w:rPr>
        <w:t>当前镍基本面依旧偏弱，精炼镍供应过剩更加明晰，不锈钢厂减产预期增加，新能源需求维持弱势，电池产业链仍在降价，整体对镍价支撑因素较为有限。不过库存继续减少，空单挤兑风险上升，对镍价构成一定的利好。预计短期震荡运行，波动区间17-18.6万。操作上仍建议反弹后逢高空</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A3F85" w:rsidRDefault="0079299D" w:rsidP="008B13D2">
      <w:pPr>
        <w:ind w:leftChars="200" w:left="420"/>
        <w:outlineLvl w:val="1"/>
        <w:rPr>
          <w:rFonts w:ascii="楷体" w:eastAsia="楷体" w:hAnsi="楷体"/>
          <w:b/>
          <w:color w:val="000000" w:themeColor="text1"/>
          <w:sz w:val="24"/>
          <w:szCs w:val="24"/>
        </w:rPr>
      </w:pPr>
      <w:bookmarkStart w:id="30" w:name="_Toc132013470"/>
      <w:r>
        <w:rPr>
          <w:rFonts w:ascii="楷体" w:eastAsia="楷体" w:hAnsi="楷体" w:hint="eastAsia"/>
          <w:b/>
          <w:color w:val="000000" w:themeColor="text1"/>
          <w:sz w:val="24"/>
          <w:szCs w:val="24"/>
        </w:rPr>
        <w:lastRenderedPageBreak/>
        <w:t>铅</w:t>
      </w:r>
      <w:r w:rsidR="008B13D2">
        <w:rPr>
          <w:rFonts w:ascii="楷体" w:eastAsia="楷体" w:hAnsi="楷体" w:hint="eastAsia"/>
          <w:b/>
          <w:color w:val="000000" w:themeColor="text1"/>
          <w:sz w:val="24"/>
          <w:szCs w:val="24"/>
        </w:rPr>
        <w:t>：</w:t>
      </w:r>
      <w:r w:rsidR="00AC52CB" w:rsidRPr="00AC52CB">
        <w:rPr>
          <w:rFonts w:ascii="楷体" w:eastAsia="楷体" w:hAnsi="楷体" w:hint="eastAsia"/>
          <w:b/>
          <w:color w:val="000000" w:themeColor="text1"/>
          <w:sz w:val="24"/>
          <w:szCs w:val="24"/>
        </w:rPr>
        <w:t>淡季之下铅价震荡整理</w:t>
      </w:r>
      <w:bookmarkEnd w:id="30"/>
    </w:p>
    <w:p w:rsidR="008B13D2" w:rsidRPr="008B13D2" w:rsidRDefault="00AC52CB" w:rsidP="008B13D2">
      <w:pPr>
        <w:ind w:leftChars="300" w:left="630"/>
        <w:rPr>
          <w:rFonts w:ascii="楷体" w:eastAsia="楷体" w:hAnsi="楷体"/>
          <w:color w:val="000000" w:themeColor="text1"/>
          <w:sz w:val="24"/>
          <w:szCs w:val="24"/>
        </w:rPr>
      </w:pPr>
      <w:r w:rsidRPr="00AC52CB">
        <w:rPr>
          <w:rFonts w:ascii="楷体" w:eastAsia="楷体" w:hAnsi="楷体" w:hint="eastAsia"/>
          <w:color w:val="000000" w:themeColor="text1"/>
          <w:sz w:val="24"/>
          <w:szCs w:val="24"/>
        </w:rPr>
        <w:t>美国非农数据未超预期，劳动力市场虽有降温但反映出美国通胀压力仍存，国内延续稳中向好。基本面来看，原生铅冶炼开工率略有走低，废旧电瓶货源偏紧，再生铅冶炼也多有检修和技改计划，淡季之下4月多厂进入检修，终端消费订单走弱，企业以单定产，目前铅蓄电池企业开工率维持，在低库存结构及再生铅利润支撑下，铅价预期震荡整理，波动区间15000-15500</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32013471"/>
      <w:r>
        <w:rPr>
          <w:rFonts w:ascii="楷体" w:eastAsia="楷体" w:hAnsi="楷体" w:hint="eastAsia"/>
          <w:b/>
          <w:color w:val="000000" w:themeColor="text1"/>
          <w:sz w:val="24"/>
          <w:szCs w:val="24"/>
        </w:rPr>
        <w:t>不锈钢：</w:t>
      </w:r>
      <w:r w:rsidR="00CD70A0" w:rsidRPr="00CD70A0">
        <w:rPr>
          <w:rFonts w:ascii="楷体" w:eastAsia="楷体" w:hAnsi="楷体" w:hint="eastAsia"/>
          <w:b/>
          <w:color w:val="000000" w:themeColor="text1"/>
          <w:sz w:val="24"/>
          <w:szCs w:val="24"/>
        </w:rPr>
        <w:t>短期超跌反弹，力度或有限</w:t>
      </w:r>
      <w:bookmarkEnd w:id="31"/>
    </w:p>
    <w:p w:rsidR="003F56A5" w:rsidRDefault="00CD70A0">
      <w:pPr>
        <w:ind w:leftChars="300" w:left="630"/>
        <w:rPr>
          <w:rFonts w:ascii="楷体" w:eastAsia="楷体" w:hAnsi="楷体"/>
          <w:color w:val="000000" w:themeColor="text1"/>
          <w:sz w:val="24"/>
          <w:szCs w:val="24"/>
        </w:rPr>
      </w:pPr>
      <w:r w:rsidRPr="00CD70A0">
        <w:rPr>
          <w:rFonts w:ascii="楷体" w:eastAsia="楷体" w:hAnsi="楷体" w:hint="eastAsia"/>
          <w:color w:val="000000" w:themeColor="text1"/>
          <w:sz w:val="24"/>
          <w:szCs w:val="24"/>
        </w:rPr>
        <w:t>受周边金属市场转暖影响，不锈钢价探底回升。当前拖累不锈钢价格的主要因素仍在原料端，镍铁供应过剩预期下价格仍面临较大压力。不锈钢库存处于去化中，但高库存依旧无法为价格提供明显支撑，需要等待库存的进一步消化，短期价格支撑因素有限，预计反弹力度有限，中线等待原料企稳后的做多机会</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2" w:name="_Toc132013472"/>
      <w:r>
        <w:rPr>
          <w:rFonts w:ascii="楷体" w:eastAsia="楷体" w:hAnsi="楷体" w:hint="eastAsia"/>
          <w:b/>
          <w:color w:val="000000" w:themeColor="text1"/>
          <w:sz w:val="24"/>
          <w:szCs w:val="24"/>
        </w:rPr>
        <w:t>工业硅：</w:t>
      </w:r>
      <w:r w:rsidR="00CD70A0" w:rsidRPr="00CD70A0">
        <w:rPr>
          <w:rFonts w:ascii="楷体" w:eastAsia="楷体" w:hAnsi="楷体" w:hint="eastAsia"/>
          <w:b/>
          <w:sz w:val="24"/>
          <w:szCs w:val="24"/>
        </w:rPr>
        <w:t>库存压力仍在，预计反弹空间有限</w:t>
      </w:r>
      <w:bookmarkEnd w:id="32"/>
    </w:p>
    <w:p w:rsidR="003F56A5" w:rsidRDefault="00CD70A0" w:rsidP="007103A5">
      <w:pPr>
        <w:ind w:leftChars="300" w:left="630"/>
        <w:rPr>
          <w:rFonts w:ascii="楷体" w:eastAsia="楷体" w:hAnsi="楷体"/>
          <w:sz w:val="24"/>
          <w:szCs w:val="24"/>
        </w:rPr>
      </w:pPr>
      <w:r w:rsidRPr="00CD70A0">
        <w:rPr>
          <w:rFonts w:ascii="楷体" w:eastAsia="楷体" w:hAnsi="楷体" w:hint="eastAsia"/>
          <w:sz w:val="24"/>
          <w:szCs w:val="24"/>
        </w:rPr>
        <w:t>4月7日，Si2308主力合约呈震荡走势，收盘价15225元/吨，较上一收盘价涨跌幅+0.00%。近期市场大幅下跌，西南地区处于枯水期高成本，供应有所减少，整体符合预期。但去年年底国内疫情管控政策全面放开后，新疆当地工厂较多进行复产。据百川数据统计，截至4月6日，新疆开炉仍旧高达72.2%，处于开工高位，在下游需求维持偏弱背景下，工厂库存存在累库迹象。 整体来看，受西南地区供应有所减少，短期市场或有反弹，但库存去化不明显，库存压力仍旧较大，预计反弹空间有限，维持逢高做空思路</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3" w:name="化工"/>
      <w:r>
        <w:rPr>
          <w:rFonts w:ascii="Times New Roman" w:eastAsia="楷体" w:hAnsi="Times New Roman" w:hint="eastAsia"/>
          <w:b/>
          <w:color w:val="823C0B"/>
          <w:sz w:val="30"/>
          <w:szCs w:val="30"/>
        </w:rPr>
        <w:t xml:space="preserve"> </w:t>
      </w:r>
      <w:bookmarkStart w:id="34" w:name="_Toc13201347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3"/>
      <w:bookmarkEnd w:id="34"/>
    </w:p>
    <w:p w:rsidR="003F56A5" w:rsidRPr="00D86D76" w:rsidRDefault="00CC3FFA" w:rsidP="00D86D76">
      <w:pPr>
        <w:ind w:firstLineChars="200" w:firstLine="482"/>
        <w:outlineLvl w:val="1"/>
        <w:rPr>
          <w:rFonts w:ascii="Times New Roman" w:eastAsia="楷体" w:hAnsi="Times New Roman"/>
          <w:b/>
          <w:color w:val="000000" w:themeColor="text1"/>
          <w:sz w:val="24"/>
          <w:szCs w:val="24"/>
        </w:rPr>
      </w:pPr>
      <w:bookmarkStart w:id="35" w:name="_Toc132013474"/>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547DD7" w:rsidRPr="00547DD7">
        <w:rPr>
          <w:rFonts w:hint="eastAsia"/>
        </w:rPr>
        <w:t xml:space="preserve"> </w:t>
      </w:r>
      <w:r w:rsidR="00AC52CB" w:rsidRPr="00AC52CB">
        <w:rPr>
          <w:rFonts w:ascii="Times New Roman" w:eastAsia="楷体" w:hAnsi="Times New Roman" w:hint="eastAsia"/>
          <w:b/>
          <w:color w:val="000000" w:themeColor="text1"/>
          <w:sz w:val="24"/>
          <w:szCs w:val="24"/>
        </w:rPr>
        <w:t>全钢重卡端数据亮眼</w:t>
      </w:r>
      <w:r w:rsidR="00AC52CB" w:rsidRPr="00AC52CB">
        <w:rPr>
          <w:rFonts w:ascii="Times New Roman" w:eastAsia="楷体" w:hAnsi="Times New Roman" w:hint="eastAsia"/>
          <w:b/>
          <w:color w:val="000000" w:themeColor="text1"/>
          <w:sz w:val="24"/>
          <w:szCs w:val="24"/>
        </w:rPr>
        <w:t xml:space="preserve"> RU</w:t>
      </w:r>
      <w:r w:rsidR="00AC52CB" w:rsidRPr="00AC52CB">
        <w:rPr>
          <w:rFonts w:ascii="Times New Roman" w:eastAsia="楷体" w:hAnsi="Times New Roman" w:hint="eastAsia"/>
          <w:b/>
          <w:color w:val="000000" w:themeColor="text1"/>
          <w:sz w:val="24"/>
          <w:szCs w:val="24"/>
        </w:rPr>
        <w:t>短期偏空影响减弱</w:t>
      </w:r>
      <w:bookmarkEnd w:id="35"/>
    </w:p>
    <w:p w:rsidR="003F56A5" w:rsidRDefault="00AC52CB">
      <w:pPr>
        <w:ind w:leftChars="300" w:left="630"/>
        <w:rPr>
          <w:rFonts w:ascii="楷体" w:eastAsia="楷体" w:hAnsi="楷体"/>
          <w:sz w:val="24"/>
          <w:szCs w:val="24"/>
        </w:rPr>
      </w:pPr>
      <w:r w:rsidRPr="00AC52CB">
        <w:rPr>
          <w:rFonts w:ascii="楷体" w:eastAsia="楷体" w:hAnsi="楷体" w:hint="eastAsia"/>
          <w:sz w:val="24"/>
          <w:szCs w:val="24"/>
        </w:rPr>
        <w:t>点评：近期橡胶偏弱整理。目前制约橡胶上行的主要因素，与青岛港口库存高位、拐点迟迟未出现有关。尽管橡胶下游轮胎企业开工并不算差，但橡胶港口库存依旧高企，与前期欧美订单推迟，导致许多低价原料货源进入国内，近期集中到港有关。在经过数日回调后，天胶现货及原料价格已跌至成本线附近，随着市场恐慌情绪逐渐缓解，以及云南部分地区胶树因白粉病延迟开割给予价格底部支撑，天胶继续下跌的空间缩小。具体来看，供应方面，全球天然橡胶供应仍处季节性减产期，原料端整体产出收缩，近期原料价格小幅上行，对胶价支撑尚可。下游轮胎方面，国内乘用车轮胎替换需求来临，目前部分畅销型号缺货现象仍未缓解，排产将保持高位运行状态，全钢胎上周则逆势增长，或与重卡销量与国内物流运输情况好转有关。但进入4月份，随着渠道订单逐步到位，工厂出货节奏将有所放缓。预计短期内企业产能利用率将在高位持稳运行。终端汽车方面，2月车市景气度有所提升。近期湖北等地发布政企联合汽车“价格战”，叠加前期疫情抑制的终端消费需求还在持续释放中，预计3月汽车市场延续增长态势，短期对橡胶有足够支撑；重卡销量方面，3月预估为9.7万辆，同</w:t>
      </w:r>
      <w:r w:rsidRPr="00AC52CB">
        <w:rPr>
          <w:rFonts w:ascii="楷体" w:eastAsia="楷体" w:hAnsi="楷体" w:hint="eastAsia"/>
          <w:sz w:val="24"/>
          <w:szCs w:val="24"/>
        </w:rPr>
        <w:lastRenderedPageBreak/>
        <w:t>环比继续明显提升，给盘面带来一定利好和信心。综合来看，后续橡胶能否飞跃取决于新能源汽车补贴退坡以及燃油汽车购置税减半结束后汽车消费的表现，以及基建和地产端对商用车的提振效果。只有等天胶港口库存出现拐点，才能印证橡胶实际需求的转好。从RU目前基本面来看，天胶在成本支撑下底部较为坚实，终端汽车、重卡产销景气度有所回升，同时下游轮胎厂在订单存缺口下对原料的补货预期仍存。此外，货运景气度和运价指数等指标显示商品的公路货运行业亦出现转好迹象，利好橡胶主要下游如重卡轮胎替换和重型卡车的销量。因此投资者不应过分看空橡胶。预计短期天胶在港口库存拐点不明朗的情况下继续上涨稍显乏力，但继续下行空间较为有限。中长期待RU在国内汽车产量继续回暖、货运需求逐步恢复下仍有上涨动力</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2013475"/>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CD70A0" w:rsidRPr="00CD70A0">
        <w:rPr>
          <w:rFonts w:ascii="楷体" w:eastAsia="楷体" w:hAnsi="楷体" w:hint="eastAsia"/>
          <w:b/>
          <w:color w:val="000000" w:themeColor="text1"/>
          <w:sz w:val="24"/>
          <w:szCs w:val="24"/>
        </w:rPr>
        <w:t>产业链供需格局强势依旧</w:t>
      </w:r>
      <w:bookmarkEnd w:id="36"/>
      <w:r>
        <w:rPr>
          <w:rFonts w:ascii="楷体" w:eastAsia="楷体" w:hAnsi="楷体" w:hint="eastAsia"/>
          <w:b/>
          <w:color w:val="000000" w:themeColor="text1"/>
          <w:sz w:val="24"/>
          <w:szCs w:val="24"/>
        </w:rPr>
        <w:t xml:space="preserve"> </w:t>
      </w:r>
    </w:p>
    <w:p w:rsidR="003F56A5" w:rsidRDefault="00CD70A0" w:rsidP="008E3B84">
      <w:pPr>
        <w:ind w:leftChars="300" w:left="630"/>
        <w:rPr>
          <w:rFonts w:ascii="楷体" w:eastAsia="楷体" w:hAnsi="楷体"/>
          <w:color w:val="000000" w:themeColor="text1"/>
          <w:sz w:val="24"/>
          <w:szCs w:val="24"/>
        </w:rPr>
      </w:pPr>
      <w:r w:rsidRPr="00CD70A0">
        <w:rPr>
          <w:rFonts w:ascii="楷体" w:eastAsia="楷体" w:hAnsi="楷体" w:hint="eastAsia"/>
          <w:color w:val="000000" w:themeColor="text1"/>
          <w:sz w:val="24"/>
          <w:szCs w:val="24"/>
        </w:rPr>
        <w:t>PX方面，二季度为 PX 传统检修季及调油逻辑仍存，预估后市 PX 装置开工率提升有限。PX 调油需求叠加检修季，对 PTA 支撑仍较强。供给方面，三房巷120万吨恢复正常，威联化学250万吨小幅降负，仪征64万吨重启，至4.6 PTA负荷调整至81%附近。PTA加工费方面已经修复至600元/吨附近，高开工及高利润恐压制盘面反弹高度。库存方面，随着聚酯减产加剧，社会库存或在332万吨附近。需求方面，本周主流变动在于几套聚酯装置减产或检修，聚酯负荷整体有所下滑。截至4.6 初步核算国内大陆地区聚酯负荷在89.4%，聚酯开工小幅下滑。随着新订单减少，4月份后负荷逐步会有下行压力。从聚酯终端需求来看，清明前后江浙终端开工率下降较多，江浙终端开工率下降，订单继续回落。展望后市，以OPEC+165万桶/日的超预期减产来看，预估今年原油市场二三季度的过剩预期将会被扭转为紧平衡甚至供应略偏紧。短期内油价偏强、05多头面临移仓换月VS  聚酯大厂暂未大幅减产动作，聚酯开工高位维持下PTA仍将维持强势格局。仅供参考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2013476"/>
      <w:r>
        <w:rPr>
          <w:rFonts w:ascii="楷体" w:eastAsia="楷体" w:hAnsi="楷体" w:hint="eastAsia"/>
          <w:b/>
          <w:color w:val="000000" w:themeColor="text1"/>
          <w:sz w:val="24"/>
          <w:szCs w:val="24"/>
        </w:rPr>
        <w:t>PVC：</w:t>
      </w:r>
      <w:r w:rsidR="00A71A7E" w:rsidRPr="00A71A7E">
        <w:rPr>
          <w:rFonts w:ascii="楷体" w:eastAsia="楷体" w:hAnsi="楷体" w:hint="eastAsia"/>
          <w:b/>
          <w:color w:val="000000" w:themeColor="text1"/>
          <w:sz w:val="24"/>
          <w:szCs w:val="24"/>
        </w:rPr>
        <w:t>春检在即供需改善 关注V低多机会</w:t>
      </w:r>
      <w:bookmarkEnd w:id="37"/>
    </w:p>
    <w:p w:rsidR="003F56A5" w:rsidRDefault="00A71A7E">
      <w:pPr>
        <w:ind w:leftChars="300" w:left="630"/>
        <w:rPr>
          <w:rFonts w:ascii="楷体" w:eastAsia="楷体" w:hAnsi="楷体"/>
          <w:color w:val="000000" w:themeColor="text1"/>
          <w:sz w:val="24"/>
          <w:szCs w:val="24"/>
        </w:rPr>
      </w:pPr>
      <w:r w:rsidRPr="00A71A7E">
        <w:rPr>
          <w:rFonts w:ascii="楷体" w:eastAsia="楷体" w:hAnsi="楷体" w:hint="eastAsia"/>
          <w:color w:val="000000" w:themeColor="text1"/>
          <w:sz w:val="24"/>
          <w:szCs w:val="24"/>
        </w:rPr>
        <w:t>本周国内PVC行业开工负荷率继续下降，据卓创资讯数据显示，本周PVC整体开工负荷率75.83%，环比下降1.31%；其中电石法PVC开工负荷率73.02%，环比下降1.74%；乙烯法PVC开工负荷率85.42%，环比增加0.12%。库存方面，需求恢复至旺季，库存先增后降。综合来看，PVC预估生产利润长期亏损带来的负反馈及即将到来的春检等因素影响，供应有缩量预期。需求端尚处在季节性旺季，进入4月国内建筑行业也将有所复苏，PVC下游制品企业开工有进一步提升预期。从库存的季节性规律来看，近期社库连续去库且去库幅度较大，装置春检开启后有望延续去库态势。国内地产利好政策仍在，中线消费回暖仍存期待，PVC可考虑逢低加多，仅供参考</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2013477"/>
      <w:r>
        <w:rPr>
          <w:rFonts w:ascii="楷体" w:eastAsia="楷体" w:hAnsi="楷体" w:hint="eastAsia"/>
          <w:b/>
          <w:color w:val="000000" w:themeColor="text1"/>
          <w:sz w:val="24"/>
          <w:szCs w:val="24"/>
        </w:rPr>
        <w:t>聚烯烃：</w:t>
      </w:r>
      <w:r w:rsidR="00AC52CB" w:rsidRPr="00AC52CB">
        <w:rPr>
          <w:rFonts w:ascii="楷体" w:eastAsia="楷体" w:hAnsi="楷体" w:hint="eastAsia"/>
          <w:b/>
          <w:color w:val="000000" w:themeColor="text1"/>
          <w:sz w:val="24"/>
          <w:szCs w:val="24"/>
        </w:rPr>
        <w:t>下游需求提升缓慢 聚烯烃或窄幅波动为主</w:t>
      </w:r>
      <w:bookmarkEnd w:id="38"/>
    </w:p>
    <w:p w:rsidR="003F56A5" w:rsidRDefault="00AC52CB">
      <w:pPr>
        <w:ind w:leftChars="300" w:left="630"/>
        <w:rPr>
          <w:rFonts w:ascii="楷体" w:eastAsia="楷体" w:hAnsi="楷体"/>
          <w:bCs/>
          <w:sz w:val="24"/>
          <w:szCs w:val="24"/>
        </w:rPr>
      </w:pPr>
      <w:r w:rsidRPr="00AC52CB">
        <w:rPr>
          <w:rFonts w:ascii="楷体" w:eastAsia="楷体" w:hAnsi="楷体" w:hint="eastAsia"/>
          <w:color w:val="000000" w:themeColor="text1"/>
          <w:sz w:val="24"/>
          <w:szCs w:val="24"/>
        </w:rPr>
        <w:t>近期聚烯烃窄幅回落。库存方面，上周五国内PE库存环比3月24日下降2.32%，其中主要生产环节PE库存环比下降4.04%，PE样本港口库存环比下降0.37%，样本贸易企业库存环比下降1.98%。上周五国内PP库存环比3月24日下降3.90%。其中主要生产环节PP库存、贸易环节库存均有下</w:t>
      </w:r>
      <w:r w:rsidRPr="00AC52CB">
        <w:rPr>
          <w:rFonts w:ascii="楷体" w:eastAsia="楷体" w:hAnsi="楷体" w:hint="eastAsia"/>
          <w:color w:val="000000" w:themeColor="text1"/>
          <w:sz w:val="24"/>
          <w:szCs w:val="24"/>
        </w:rPr>
        <w:lastRenderedPageBreak/>
        <w:t>降，港口库存上升。短期聚烯烃去库节奏尚可。成本方面，周五因耶稣受难日假期影响，布伦特原油期货均修市。目前油制PE利润大约为-37.79元/吨，油制PP利润大约为-1211.28元/吨，目前利润有所下降；需求方面，PE下游方面，棚膜工厂间歇性停机，地膜生产尚可，但后续需求跟进有限，工厂采购坚持刚需。PP方面，BOPP整体成交一般，部分企业报价下调，实际成交注重商谈，整体量较上一交易日减少，当前BOPP企业未交付订单多数在7天内，部分至4月中下旬。综合来看，PE方面，原油成本端价格上涨，对聚乙烯成本面支撑增强；供应端，新增部分装置小修，供应压力稍有缓解；需求端，地膜企业订单缩减，管材企业需求上升，需求旺季暂时维持。PP方面，上周市场高价成交不畅，贸易商让利出货，聚丙烯整体阴跌。尽管停车装置增多，检修损失量增多对冲部分新产能释放压力，但供应面压力仍较高。下游行业开工率降低，工厂维持刚需采购，需求呈疲态。 聚丙烯市场缺乏上行驱动，今日或窄幅整理</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32013478"/>
      <w:r>
        <w:rPr>
          <w:rFonts w:ascii="楷体" w:eastAsia="楷体" w:hAnsi="楷体" w:hint="eastAsia"/>
          <w:b/>
          <w:color w:val="000000" w:themeColor="text1"/>
          <w:sz w:val="24"/>
          <w:szCs w:val="24"/>
        </w:rPr>
        <w:t>MEG：</w:t>
      </w:r>
      <w:r w:rsidR="00CD70A0" w:rsidRPr="00CD70A0">
        <w:rPr>
          <w:rFonts w:ascii="楷体" w:eastAsia="楷体" w:hAnsi="楷体" w:hint="eastAsia"/>
          <w:b/>
          <w:color w:val="000000" w:themeColor="text1"/>
          <w:sz w:val="24"/>
          <w:szCs w:val="24"/>
        </w:rPr>
        <w:t>关注09低多机会</w:t>
      </w:r>
      <w:bookmarkEnd w:id="39"/>
    </w:p>
    <w:p w:rsidR="003F56A5" w:rsidRDefault="00CD70A0" w:rsidP="00E45000">
      <w:pPr>
        <w:ind w:leftChars="300" w:left="630"/>
        <w:rPr>
          <w:rFonts w:ascii="楷体" w:eastAsia="楷体" w:hAnsi="楷体"/>
          <w:color w:val="000000" w:themeColor="text1"/>
          <w:sz w:val="24"/>
          <w:szCs w:val="24"/>
        </w:rPr>
      </w:pPr>
      <w:r w:rsidRPr="00CD70A0">
        <w:rPr>
          <w:rFonts w:ascii="楷体" w:eastAsia="楷体" w:hAnsi="楷体" w:hint="eastAsia"/>
          <w:color w:val="000000" w:themeColor="text1"/>
          <w:sz w:val="24"/>
          <w:szCs w:val="24"/>
        </w:rPr>
        <w:t>供需情况，4.3 华东主港地区MEG港口库存约112.3万吨附近，环比上期增加1.9万吨。4月3日至4月9日，张家港到货数量约为 4.2万吨，太仓码头到货数量约为3.95万吨，宁波到货数量约为 2.0万吨，上海到船数量约为 0 万吨，主港计划到货总数为 10.15万吨。截至4月6日，中国大陆地区乙二醇整体开工负荷在55.18%（-5.25%），其中煤制乙二醇开工负荷在51.81%（-2.63%）。大连一套90万吨/年的MEG装置已按计划于4月1日起停车检修，预计检修时长在一个月附近。进口方面来看，马来西亚一套75万吨/年的MEG装置于3月底再次停车，重启时间待定。聚酯需求端来看，截止3.30初步核算国内大陆地区聚酯负荷在89.4%。本周江浙终端开工率局部下降，织造新单氛围不佳。江浙加弹综合开工率71%(-13%)，江浙织机综合开工率65%(-6%），江浙印染综合开工率77%（-4%），织造新单氛围持续回落，江浙终端开工率下降。综合来看，进入4月份乙二醇供给端多套大装置检修如恒力石化、海南炼化等，供应边际有缩量预期。乙二醇阶段性供需矛盾缓和，供需双减，短期来看05合约预估维持4000-4200区间走势，关注后期EG 09  4150附近低位加多机会。仅供参考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0" w:name="_Toc132013479"/>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CD70A0" w:rsidRPr="00CD70A0">
        <w:rPr>
          <w:rFonts w:ascii="楷体" w:eastAsia="楷体" w:hAnsi="楷体" w:hint="eastAsia"/>
          <w:b/>
          <w:color w:val="000000" w:themeColor="text1"/>
          <w:sz w:val="24"/>
          <w:szCs w:val="24"/>
        </w:rPr>
        <w:t>中下游补库趋缓，反弹高度有限</w:t>
      </w:r>
      <w:bookmarkEnd w:id="40"/>
    </w:p>
    <w:p w:rsidR="00A71A7E" w:rsidRDefault="00CD70A0" w:rsidP="0079299D">
      <w:pPr>
        <w:ind w:leftChars="300" w:left="630"/>
        <w:rPr>
          <w:rFonts w:ascii="楷体" w:eastAsia="楷体" w:hAnsi="楷体"/>
          <w:color w:val="000000" w:themeColor="text1"/>
          <w:sz w:val="24"/>
          <w:szCs w:val="24"/>
        </w:rPr>
      </w:pPr>
      <w:r w:rsidRPr="00CD70A0">
        <w:rPr>
          <w:rFonts w:ascii="楷体" w:eastAsia="楷体" w:hAnsi="楷体" w:hint="eastAsia"/>
          <w:color w:val="000000" w:themeColor="text1"/>
          <w:sz w:val="24"/>
          <w:szCs w:val="24"/>
        </w:rPr>
        <w:t>供应方面，本周中周四湖北三峡新型建材股份有限公司二线600吨复产点火，江苏沐阳鑫达650吨冷修，日熔量净减500吨/天，周熔量111.39万吨， 较上周上涨0.49%，综合产销约在99%，清明假期加上降雨，产销明显回落，较上周减少16%。库存方面，厂库库存6215.4万重箱，环比-3.30%， 下游节后补库，市场交投好转，原片库存延续去库。需求方面，2023年3月底，深加工企业订单天数12.8天，较上期减少0.1天，环比降幅0.78%， 房地产销售出现好转，中间商和深加工厂补库，原片企业经过这段时间的降库，目前库存压力已明显减少。整体来看，中下游补库动作趋缓，房地产销售好转带动需求复苏，但需求好转的可持续性有待观察，整体高供应高库存仍对玻璃上涨有压制作用，盘面反弹或有限，下周盘面或呈震荡运行，参考区间：1600-1750元/吨</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2013480"/>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CD70A0" w:rsidRPr="00CD70A0">
        <w:rPr>
          <w:rFonts w:ascii="楷体" w:eastAsia="楷体" w:hAnsi="楷体" w:hint="eastAsia"/>
          <w:b/>
          <w:color w:val="000000" w:themeColor="text1"/>
          <w:sz w:val="24"/>
          <w:szCs w:val="24"/>
        </w:rPr>
        <w:t>进口尚未分装，期价短期或有反弹</w:t>
      </w:r>
      <w:bookmarkEnd w:id="41"/>
    </w:p>
    <w:p w:rsidR="00A71A7E" w:rsidRDefault="00CD70A0" w:rsidP="00A71A7E">
      <w:pPr>
        <w:ind w:leftChars="300" w:left="630"/>
        <w:rPr>
          <w:rFonts w:ascii="楷体" w:eastAsia="楷体" w:hAnsi="楷体"/>
          <w:bCs/>
          <w:sz w:val="24"/>
          <w:szCs w:val="24"/>
        </w:rPr>
      </w:pPr>
      <w:r w:rsidRPr="00CD70A0">
        <w:rPr>
          <w:rFonts w:ascii="楷体" w:eastAsia="楷体" w:hAnsi="楷体" w:hint="eastAsia"/>
          <w:color w:val="000000" w:themeColor="text1"/>
          <w:sz w:val="24"/>
          <w:szCs w:val="24"/>
        </w:rPr>
        <w:t>供应方面，本周3条产线检修或减产：3日湖北双环因设备问题降负荷，4日安徽红四方装置检修，7日河南骏化设备问题降负荷，本周开工及产量均有所减少，因本周高产能碱厂检修于4日开始，预计下周产量及开工将有所回升。进口方面，上周末6万吨土耳其重碱到港，将分销至广东、福建及湖南三省，预计下半月完成分销。库存方面，周内纯碱厂家库存31.25万吨，环比+6.02万吨，涨幅23.86%，主要增量来源于轻碱，交割库库存无变化。需求方面，玻璃厂维持刚需补库为主，市场价格有差异，下游采购情绪谨慎；下周，光伏产能和浮法产能预期稳定，生产线无变动。市场情绪表现偏弱。综上，下周部分企业装置检修完毕，开工回升，部分企业待发订单由于假期和降雨发货缓慢，下周需要发货，进口碱对于国内供应市场有一定补充，缓解国内供应偏紧局面。整体来看，市场情绪较弱，轻弱重稳，供需趋于紧平衡。远端09合约博弈较大，在在无强驱动情况下，盘面或将弱反弹后维持区间震荡，周度参考区间：2350-2500元/吨</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2" w:name="_Toc13201348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42"/>
    </w:p>
    <w:p w:rsidR="003F56A5" w:rsidRDefault="00147B03">
      <w:pPr>
        <w:ind w:leftChars="200" w:left="420"/>
        <w:outlineLvl w:val="1"/>
        <w:rPr>
          <w:rFonts w:ascii="楷体" w:eastAsia="楷体" w:hAnsi="楷体"/>
          <w:b/>
          <w:sz w:val="24"/>
          <w:szCs w:val="24"/>
        </w:rPr>
      </w:pPr>
      <w:bookmarkStart w:id="43" w:name="_Toc132013482"/>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CD70A0" w:rsidRPr="00CD70A0">
        <w:rPr>
          <w:rFonts w:ascii="楷体" w:eastAsia="楷体" w:hAnsi="楷体" w:hint="eastAsia"/>
          <w:b/>
          <w:sz w:val="24"/>
          <w:szCs w:val="24"/>
        </w:rPr>
        <w:t>阶段性供应压力下，趋势偏空</w:t>
      </w:r>
      <w:bookmarkEnd w:id="43"/>
    </w:p>
    <w:p w:rsidR="003F56A5" w:rsidRDefault="00CD70A0">
      <w:pPr>
        <w:ind w:leftChars="300" w:left="630"/>
        <w:rPr>
          <w:rFonts w:ascii="楷体" w:eastAsia="楷体" w:hAnsi="楷体"/>
          <w:sz w:val="24"/>
          <w:szCs w:val="24"/>
        </w:rPr>
      </w:pPr>
      <w:r w:rsidRPr="00CD70A0">
        <w:rPr>
          <w:rFonts w:ascii="楷体" w:eastAsia="楷体" w:hAnsi="楷体" w:hint="eastAsia"/>
          <w:sz w:val="24"/>
          <w:szCs w:val="24"/>
        </w:rPr>
        <w:t>在巴西大豆阶段性供应压力，以及美豆出口销售不及预期下，CBOT大豆承压回落。当前巴西大豆收割及出口进度加快，而库容有限，农户销售意愿较强，后续供应压力预计会逐步释放，4月份预计出口1373.6万吨，高于前一个月。国内市场，近期进口大豆还未大量到港，在供应减少及下游需求偏弱下油厂开机维持低位，但4月份仍存在延迟到港情况，根据机构预估4月份预计到港780万吨，油厂开机提升预计在4月中下旬，阶段性供应压力后移。下游养殖利润表现仍不佳，饲企和养殖企业等对豆粕饲用需求偏弱，虽近期饲料配方豆粕添加比例上调，但增量有限，现货基差后续仍面临压力。菜粕供应端在进口菜籽持续增加下逐步修复，油厂开机及压榨明显回升。而需求方面在豆粕价格回落后菜粕替代需求逐渐减弱。在近期天气逐步回暖后，华南水产需求预计启动。策略方面，关注巴西大豆到港节奏，随着巴西收割加快卖压也将逐步显现，期货上方空间有限，建议空单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4" w:name="_Toc132013483"/>
      <w:r>
        <w:rPr>
          <w:rFonts w:ascii="楷体" w:eastAsia="楷体" w:hAnsi="楷体" w:hint="eastAsia"/>
          <w:b/>
          <w:color w:val="000000" w:themeColor="text1"/>
          <w:sz w:val="24"/>
          <w:szCs w:val="24"/>
        </w:rPr>
        <w:t>油脂：</w:t>
      </w:r>
      <w:r w:rsidR="00CD70A0" w:rsidRPr="00CD70A0">
        <w:rPr>
          <w:rFonts w:ascii="楷体" w:eastAsia="楷体" w:hAnsi="楷体" w:hint="eastAsia"/>
          <w:b/>
          <w:sz w:val="24"/>
          <w:szCs w:val="24"/>
        </w:rPr>
        <w:t>关注MPOB报告，整体上方空间有限</w:t>
      </w:r>
      <w:bookmarkEnd w:id="44"/>
    </w:p>
    <w:p w:rsidR="003F56A5" w:rsidRDefault="00CD70A0" w:rsidP="00792D31">
      <w:pPr>
        <w:ind w:leftChars="300" w:left="630"/>
        <w:rPr>
          <w:rFonts w:ascii="楷体" w:eastAsia="楷体" w:hAnsi="楷体"/>
          <w:sz w:val="24"/>
          <w:szCs w:val="24"/>
        </w:rPr>
      </w:pPr>
      <w:r w:rsidRPr="00CD70A0">
        <w:rPr>
          <w:rFonts w:ascii="楷体" w:eastAsia="楷体" w:hAnsi="楷体" w:hint="eastAsia"/>
          <w:sz w:val="24"/>
          <w:szCs w:val="24"/>
        </w:rPr>
        <w:t>关注3月MPOB报告是否符合预期，短期在市场利好情绪消化后，盘面冲高回落，同时在油脂整体供需平衡下，且供给持续好转下，上方压力仍存。棕榈油方面，虽马棕3月份因降雨影响存减产担忧，但四月后将进入增产周期；需求方面，受印尼出口收紧及斋月备货提振3月出口环比跳增，但随着开斋节临近备货预计进入尾声，3月库存预估降至175万吨附近，印尼后续出口预计会放开，产地4月或进入累库周期。国内棕榈油供应较充裕，近期库存高位回落，在进口利润持续倒挂下，出现洗船情况，二季度进口预计下滑。随着后续天气回暖，棕榈油消费预计增加，去库速度仍需看消费端大幅回升。豆油，随着天气回暖，在豆棕价差较大下利好棕榈油</w:t>
      </w:r>
      <w:r w:rsidRPr="00CD70A0">
        <w:rPr>
          <w:rFonts w:ascii="楷体" w:eastAsia="楷体" w:hAnsi="楷体" w:hint="eastAsia"/>
          <w:sz w:val="24"/>
          <w:szCs w:val="24"/>
        </w:rPr>
        <w:lastRenderedPageBreak/>
        <w:t>替代需求，近期下游成交较清淡。近期油厂开机回落，压榨下滑。豆油周度库存小幅回落，处于历史低位水平，但随着后续进口大豆大量供应，豆油供应存边际修复预期，有望累库。菜油在供应边际改善下，短期上方压力仍存。随着进口加籽到港量逐步增加，菜籽库存维持高位，1-2月累计进口菜籽106万吨，且近期菜籽到港预计仍维持偏高水平。油厂开机回升，叠加进口菜油增加，供应逐渐改善。需求方面，一级豆油价格与三级菜油呈现倒挂，后续或提振部分菜油替代需求，支撑价格反弹。短期基本面仍缺乏有效利好支撑，上方空间预计有限，建议短线操作</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5" w:name="_Toc132013484"/>
      <w:r>
        <w:rPr>
          <w:rFonts w:ascii="楷体" w:eastAsia="楷体" w:hAnsi="楷体" w:hint="eastAsia"/>
          <w:b/>
          <w:bCs/>
          <w:color w:val="000000" w:themeColor="text1"/>
        </w:rPr>
        <w:t>玉米与淀粉：</w:t>
      </w:r>
      <w:r w:rsidR="00CD70A0" w:rsidRPr="00CD70A0">
        <w:rPr>
          <w:rFonts w:ascii="楷体" w:eastAsia="楷体" w:hAnsi="楷体" w:hint="eastAsia"/>
          <w:b/>
        </w:rPr>
        <w:t>周五夜盘价差走扩</w:t>
      </w:r>
      <w:bookmarkEnd w:id="45"/>
    </w:p>
    <w:p w:rsidR="00CD70A0" w:rsidRPr="00CD70A0" w:rsidRDefault="00CD70A0" w:rsidP="00CD70A0">
      <w:pPr>
        <w:pStyle w:val="paragraph"/>
        <w:spacing w:before="60" w:after="60"/>
        <w:ind w:leftChars="300" w:left="630"/>
        <w:rPr>
          <w:rFonts w:ascii="楷体" w:eastAsia="楷体" w:hAnsi="楷体" w:hint="eastAsia"/>
        </w:rPr>
      </w:pPr>
      <w:r w:rsidRPr="00CD70A0">
        <w:rPr>
          <w:rFonts w:ascii="楷体" w:eastAsia="楷体" w:hAnsi="楷体" w:hint="eastAsia"/>
        </w:rPr>
        <w:t>对于玉米而言，近期市场关注的核心是国产玉米的性价比优势，通过比较可以看出，目前玉米期价贴近产区和北方港口平仓价，这是短期支撑所在，但显著高于玉米进口成本和国内小麦和陈化水稻，依然不具备性价比优势，因此，我们延续谨慎看空观点，接下来需要重点关注进口玉米与国内小麦价格的变动。综上所述，我们维持谨慎看空观点，建议持有前期空单（如有的话）。</w:t>
      </w:r>
    </w:p>
    <w:p w:rsidR="003F56A5" w:rsidRDefault="00CD70A0" w:rsidP="00CD70A0">
      <w:pPr>
        <w:pStyle w:val="paragraph"/>
        <w:spacing w:before="60" w:beforeAutospacing="0" w:after="60" w:afterAutospacing="0"/>
        <w:ind w:leftChars="300" w:left="630"/>
        <w:rPr>
          <w:rFonts w:ascii="楷体" w:eastAsia="楷体" w:hAnsi="楷体"/>
        </w:rPr>
      </w:pPr>
      <w:r w:rsidRPr="00CD70A0">
        <w:rPr>
          <w:rFonts w:ascii="楷体" w:eastAsia="楷体" w:hAnsi="楷体" w:hint="eastAsia"/>
        </w:rPr>
        <w:t>对于淀粉而言，近期淀粉-玉米价差有所走扩，主要源于两个方面的原因，其一是现货生产延续亏损状态，带动行业开机率持续小幅下滑；其二是华北小麦止跌企稳，带动华北-东北玉米价差走强。但原料端的风险依然存在，且当前行业库存表明供需依然宽松，在淀粉基差走弱、盘面生产利润改善的情况下，后期价差或仍有反复</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6" w:name="_Toc132013485"/>
      <w:r>
        <w:rPr>
          <w:rFonts w:ascii="楷体" w:eastAsia="楷体" w:hAnsi="楷体" w:hint="eastAsia"/>
          <w:b/>
          <w:bCs/>
          <w:color w:val="000000" w:themeColor="text1"/>
        </w:rPr>
        <w:t>畜禽养殖：</w:t>
      </w:r>
      <w:r w:rsidR="00CD70A0" w:rsidRPr="00CD70A0">
        <w:rPr>
          <w:rFonts w:ascii="楷体" w:eastAsia="楷体" w:hAnsi="楷体" w:hint="eastAsia"/>
          <w:b/>
          <w:bCs/>
          <w:color w:val="000000" w:themeColor="text1"/>
        </w:rPr>
        <w:t>现货周末稳中调整</w:t>
      </w:r>
      <w:bookmarkEnd w:id="46"/>
    </w:p>
    <w:p w:rsidR="00CD70A0" w:rsidRPr="00CD70A0" w:rsidRDefault="00CD70A0" w:rsidP="00CD70A0">
      <w:pPr>
        <w:pStyle w:val="paragraph"/>
        <w:spacing w:before="60" w:after="60"/>
        <w:ind w:leftChars="300" w:left="630"/>
        <w:rPr>
          <w:rFonts w:ascii="楷体" w:eastAsia="楷体" w:hAnsi="楷体" w:hint="eastAsia"/>
        </w:rPr>
      </w:pPr>
      <w:r w:rsidRPr="00CD70A0">
        <w:rPr>
          <w:rFonts w:ascii="楷体" w:eastAsia="楷体" w:hAnsi="楷体" w:hint="eastAsia"/>
        </w:rPr>
        <w:t>对于生猪而言，2月下旬以来现货表现不及我们之前预期，在我们看来，主要原因有二，一方面低估了节前堆积的供应量，另一方面则源于节后非瘟疫情对供应的阶段性影响。对于需求层面，考虑到生猪餐饮食堂消费占比较大，随着新冠疫情防控政策的放开，社会流动性提高，消费有望恢复至常年水平，除去宏观经济数据外，从节后鸡蛋和白羽鸡价格和利润处于历史同期高位水平可以得到印证。考虑到节前积累的供应仍有待消化，生猪现货缺乏上涨动力，与此同时，生猪养殖已经深度亏损，继续下跌将触发国家储备收购，期价继续下跌空间亦有限。在这种情况下，暂维持中性观点，后期或再度转向看多，建议投资者暂以观望为宜，待现货再度上涨后择机入场做多。</w:t>
      </w:r>
    </w:p>
    <w:p w:rsidR="003F56A5" w:rsidRDefault="00CD70A0" w:rsidP="00CD70A0">
      <w:pPr>
        <w:pStyle w:val="paragraph"/>
        <w:spacing w:before="60" w:beforeAutospacing="0" w:after="60" w:afterAutospacing="0"/>
        <w:ind w:leftChars="300" w:left="630"/>
        <w:rPr>
          <w:rFonts w:ascii="楷体" w:eastAsia="楷体" w:hAnsi="楷体"/>
        </w:rPr>
      </w:pPr>
      <w:r w:rsidRPr="00CD70A0">
        <w:rPr>
          <w:rFonts w:ascii="楷体" w:eastAsia="楷体" w:hAnsi="楷体" w:hint="eastAsia"/>
        </w:rPr>
        <w:t>对于鸡蛋而言，在前期报告中我们指出，今年鸡蛋延续2020年以来的供需两弱格局，节前期现货表现弱势更多源于需求受到疫情的扰动，后期需要特别留意需求端的变化，因一旦需求恢复或者改善，那么蛋鸡养殖需要一波产能恢复的过程，这一过程往往伴随着鸡蛋现货价格上涨，及其对应的蛋鸡养殖利润的提升。目前现货市场表现符合我们之前预期，而期价表现弱势更多源于远期供需改善的担忧，远月期价大幅下跌，5-9价差处于历史同期最高水平，进而压制近月合约。在这种情况下，我们</w:t>
      </w:r>
      <w:r w:rsidRPr="00CD70A0">
        <w:rPr>
          <w:rFonts w:ascii="楷体" w:eastAsia="楷体" w:hAnsi="楷体" w:hint="eastAsia"/>
        </w:rPr>
        <w:lastRenderedPageBreak/>
        <w:t>倾向于认为当前市场矛盾主要集中在近月合约上，考虑到2305合约基差处于历史高位，而现货季节性和供需仍支持现货阶段性强势，后期基差修复更多通过期价上涨来实现，据此维持谨慎看多观点，建议持有2305合约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7" w:name="_Toc132013486"/>
      <w:r>
        <w:rPr>
          <w:rFonts w:ascii="楷体" w:eastAsia="楷体" w:hAnsi="楷体" w:hint="eastAsia"/>
          <w:b/>
          <w:sz w:val="24"/>
          <w:szCs w:val="24"/>
        </w:rPr>
        <w:t>郑棉：</w:t>
      </w:r>
      <w:r w:rsidR="00AC52CB" w:rsidRPr="00AC52CB">
        <w:rPr>
          <w:rFonts w:ascii="楷体" w:eastAsia="楷体" w:hAnsi="楷体" w:hint="eastAsia"/>
          <w:b/>
          <w:sz w:val="24"/>
          <w:szCs w:val="24"/>
        </w:rPr>
        <w:t>郑棉震荡整理。远月多单止盈，等待回落后的重新加多或卖出看跌期权机会</w:t>
      </w:r>
      <w:bookmarkEnd w:id="47"/>
    </w:p>
    <w:p w:rsidR="003F56A5" w:rsidRDefault="00AC52CB" w:rsidP="008F2A6E">
      <w:pPr>
        <w:ind w:leftChars="300" w:left="630"/>
        <w:rPr>
          <w:rFonts w:ascii="楷体" w:eastAsia="楷体" w:hAnsi="楷体"/>
          <w:sz w:val="24"/>
          <w:szCs w:val="24"/>
        </w:rPr>
      </w:pPr>
      <w:r w:rsidRPr="00AC52CB">
        <w:rPr>
          <w:rFonts w:ascii="楷体" w:eastAsia="楷体" w:hAnsi="楷体" w:hint="eastAsia"/>
          <w:sz w:val="24"/>
          <w:szCs w:val="24"/>
        </w:rPr>
        <w:t>出口数据显著回落，美棉或将再次试探80整数关口。据美国农业部（USDA），3.24-3.30日一周美国2022/23年度陆地棉净签约36401吨（含签约38918吨，取消前期签约2517吨），较前一周减少43%，较近四周平均减少31%。装运陆地棉56722吨，较前一周减少27%，较近四周平均减少15%。当周中国对本年度陆地棉净签约量14628吨（含新签约14628吨），较前一周减少24%；装运10229吨，较前一周减少33%。周五夜盘，郑棉2305合约震荡整理，期现基差在收敛过程中。但现货供应依然充裕，中下游的开机率也有降低预期，短期近月棉价难以出现趋势性大涨</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8" w:name="_Toc71212556"/>
      <w:bookmarkStart w:id="49" w:name="_Toc19667"/>
      <w:bookmarkStart w:id="50" w:name="_Toc98426751"/>
      <w:bookmarkStart w:id="51" w:name="_Toc12779"/>
      <w:bookmarkStart w:id="52" w:name="_Toc72481108"/>
      <w:r>
        <w:rPr>
          <w:rFonts w:ascii="Times New Roman" w:eastAsia="楷体" w:hAnsi="Times New Roman"/>
          <w:b/>
          <w:color w:val="411D05"/>
          <w:sz w:val="30"/>
          <w:szCs w:val="30"/>
        </w:rPr>
        <w:lastRenderedPageBreak/>
        <w:t>免责声明</w:t>
      </w:r>
      <w:bookmarkEnd w:id="48"/>
      <w:bookmarkEnd w:id="49"/>
      <w:bookmarkEnd w:id="50"/>
      <w:bookmarkEnd w:id="51"/>
      <w:bookmarkEnd w:id="52"/>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1D2" w:rsidRDefault="00E771D2">
      <w:r>
        <w:separator/>
      </w:r>
    </w:p>
  </w:endnote>
  <w:endnote w:type="continuationSeparator" w:id="0">
    <w:p w:rsidR="00E771D2" w:rsidRDefault="00E7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525B6B4F" wp14:editId="1830917D">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CD70A0">
                            <w:rPr>
                              <w:rFonts w:ascii="Times New Roman" w:eastAsia="楷体" w:hAnsi="Times New Roman" w:cs="Times New Roman"/>
                              <w:b/>
                              <w:noProof/>
                              <w:color w:val="833C0B"/>
                              <w:sz w:val="21"/>
                              <w:lang w:bidi="ar"/>
                            </w:rPr>
                            <w:t>2</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CD70A0">
                      <w:rPr>
                        <w:rFonts w:ascii="Times New Roman" w:eastAsia="楷体" w:hAnsi="Times New Roman" w:cs="Times New Roman"/>
                        <w:b/>
                        <w:noProof/>
                        <w:color w:val="833C0B"/>
                        <w:sz w:val="21"/>
                        <w:lang w:bidi="ar"/>
                      </w:rPr>
                      <w:t>2</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1D2" w:rsidRDefault="00E771D2">
      <w:r>
        <w:separator/>
      </w:r>
    </w:p>
  </w:footnote>
  <w:footnote w:type="continuationSeparator" w:id="0">
    <w:p w:rsidR="00E771D2" w:rsidRDefault="00E771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4F767B0F" wp14:editId="0F5BDDDF">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1A4A2F72" wp14:editId="2B0AE362">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AC52CB">
      <w:rPr>
        <w:rFonts w:ascii="Times New Roman" w:eastAsia="楷体" w:hAnsi="Times New Roman" w:hint="eastAsia"/>
        <w:b/>
        <w:bCs/>
        <w:noProof/>
        <w:color w:val="833C0B"/>
        <w:sz w:val="21"/>
      </w:rPr>
      <w:t>2023</w:t>
    </w:r>
    <w:r w:rsidR="00AC52CB">
      <w:rPr>
        <w:rFonts w:ascii="Times New Roman" w:eastAsia="楷体" w:hAnsi="Times New Roman" w:hint="eastAsia"/>
        <w:b/>
        <w:bCs/>
        <w:noProof/>
        <w:color w:val="833C0B"/>
        <w:sz w:val="21"/>
      </w:rPr>
      <w:t>年</w:t>
    </w:r>
    <w:r w:rsidR="00AC52CB">
      <w:rPr>
        <w:rFonts w:ascii="Times New Roman" w:eastAsia="楷体" w:hAnsi="Times New Roman" w:hint="eastAsia"/>
        <w:b/>
        <w:bCs/>
        <w:noProof/>
        <w:color w:val="833C0B"/>
        <w:sz w:val="21"/>
      </w:rPr>
      <w:t>4</w:t>
    </w:r>
    <w:r w:rsidR="00AC52CB">
      <w:rPr>
        <w:rFonts w:ascii="Times New Roman" w:eastAsia="楷体" w:hAnsi="Times New Roman" w:hint="eastAsia"/>
        <w:b/>
        <w:bCs/>
        <w:noProof/>
        <w:color w:val="833C0B"/>
        <w:sz w:val="21"/>
      </w:rPr>
      <w:t>月</w:t>
    </w:r>
    <w:r w:rsidR="00AC52CB">
      <w:rPr>
        <w:rFonts w:ascii="Times New Roman" w:eastAsia="楷体" w:hAnsi="Times New Roman" w:hint="eastAsia"/>
        <w:b/>
        <w:bCs/>
        <w:noProof/>
        <w:color w:val="833C0B"/>
        <w:sz w:val="21"/>
      </w:rPr>
      <w:t>10</w:t>
    </w:r>
    <w:r w:rsidR="00AC52CB">
      <w:rPr>
        <w:rFonts w:ascii="Times New Roman" w:eastAsia="楷体" w:hAnsi="Times New Roman" w:hint="eastAsia"/>
        <w:b/>
        <w:bCs/>
        <w:noProof/>
        <w:color w:val="833C0B"/>
        <w:sz w:val="21"/>
      </w:rPr>
      <w:t>日星期一</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286B"/>
    <w:rsid w:val="0005726F"/>
    <w:rsid w:val="00076420"/>
    <w:rsid w:val="000820C6"/>
    <w:rsid w:val="00096258"/>
    <w:rsid w:val="000A413E"/>
    <w:rsid w:val="000B0648"/>
    <w:rsid w:val="000D36DC"/>
    <w:rsid w:val="000D42E2"/>
    <w:rsid w:val="000D7CF0"/>
    <w:rsid w:val="000E0C15"/>
    <w:rsid w:val="000E4EEB"/>
    <w:rsid w:val="00120B1F"/>
    <w:rsid w:val="00147668"/>
    <w:rsid w:val="00147B03"/>
    <w:rsid w:val="0015047B"/>
    <w:rsid w:val="001942CB"/>
    <w:rsid w:val="001A3E49"/>
    <w:rsid w:val="001B179D"/>
    <w:rsid w:val="001B1904"/>
    <w:rsid w:val="001B2D4C"/>
    <w:rsid w:val="001B6394"/>
    <w:rsid w:val="001C77D0"/>
    <w:rsid w:val="001D40EA"/>
    <w:rsid w:val="001F5438"/>
    <w:rsid w:val="002074A1"/>
    <w:rsid w:val="00216C1E"/>
    <w:rsid w:val="00226406"/>
    <w:rsid w:val="00235529"/>
    <w:rsid w:val="00244CA3"/>
    <w:rsid w:val="00282262"/>
    <w:rsid w:val="00285297"/>
    <w:rsid w:val="002A0670"/>
    <w:rsid w:val="002A6C89"/>
    <w:rsid w:val="002B2257"/>
    <w:rsid w:val="002B32AE"/>
    <w:rsid w:val="002F075C"/>
    <w:rsid w:val="002F545E"/>
    <w:rsid w:val="002F6AD1"/>
    <w:rsid w:val="002F7810"/>
    <w:rsid w:val="00323550"/>
    <w:rsid w:val="00332F22"/>
    <w:rsid w:val="0033644D"/>
    <w:rsid w:val="003416C2"/>
    <w:rsid w:val="00341727"/>
    <w:rsid w:val="003471F4"/>
    <w:rsid w:val="00357545"/>
    <w:rsid w:val="00375F0B"/>
    <w:rsid w:val="00376AF1"/>
    <w:rsid w:val="003953FD"/>
    <w:rsid w:val="003A1F3C"/>
    <w:rsid w:val="003A3DB4"/>
    <w:rsid w:val="003C5F91"/>
    <w:rsid w:val="003D3A9E"/>
    <w:rsid w:val="003F2424"/>
    <w:rsid w:val="003F56A5"/>
    <w:rsid w:val="004201F5"/>
    <w:rsid w:val="004230AC"/>
    <w:rsid w:val="00426AB5"/>
    <w:rsid w:val="00440FBE"/>
    <w:rsid w:val="004427D1"/>
    <w:rsid w:val="004567BD"/>
    <w:rsid w:val="00461147"/>
    <w:rsid w:val="00485A3F"/>
    <w:rsid w:val="00487F77"/>
    <w:rsid w:val="004977A9"/>
    <w:rsid w:val="004A3F85"/>
    <w:rsid w:val="004A65B5"/>
    <w:rsid w:val="004E58A5"/>
    <w:rsid w:val="005145ED"/>
    <w:rsid w:val="00535DC9"/>
    <w:rsid w:val="00541F3F"/>
    <w:rsid w:val="00547DD7"/>
    <w:rsid w:val="005523A5"/>
    <w:rsid w:val="00576234"/>
    <w:rsid w:val="005818A8"/>
    <w:rsid w:val="0058734B"/>
    <w:rsid w:val="00591B89"/>
    <w:rsid w:val="00593B03"/>
    <w:rsid w:val="00593F40"/>
    <w:rsid w:val="005B5BDF"/>
    <w:rsid w:val="005C05F7"/>
    <w:rsid w:val="005C05FA"/>
    <w:rsid w:val="005E1CE0"/>
    <w:rsid w:val="005F45A8"/>
    <w:rsid w:val="00610C41"/>
    <w:rsid w:val="0061390B"/>
    <w:rsid w:val="00615F78"/>
    <w:rsid w:val="00637F19"/>
    <w:rsid w:val="00641752"/>
    <w:rsid w:val="00657B01"/>
    <w:rsid w:val="00661BB3"/>
    <w:rsid w:val="00666DE4"/>
    <w:rsid w:val="006B4A5D"/>
    <w:rsid w:val="006D21ED"/>
    <w:rsid w:val="00710028"/>
    <w:rsid w:val="007103A5"/>
    <w:rsid w:val="0072164F"/>
    <w:rsid w:val="007253E7"/>
    <w:rsid w:val="0072736C"/>
    <w:rsid w:val="007315D8"/>
    <w:rsid w:val="00743CFD"/>
    <w:rsid w:val="007664C1"/>
    <w:rsid w:val="00785519"/>
    <w:rsid w:val="0079299D"/>
    <w:rsid w:val="00792D31"/>
    <w:rsid w:val="007952E9"/>
    <w:rsid w:val="007A410D"/>
    <w:rsid w:val="007A66FE"/>
    <w:rsid w:val="007D29EC"/>
    <w:rsid w:val="007D4BBD"/>
    <w:rsid w:val="007F1327"/>
    <w:rsid w:val="007F140C"/>
    <w:rsid w:val="007F186E"/>
    <w:rsid w:val="0080612D"/>
    <w:rsid w:val="00806354"/>
    <w:rsid w:val="0080692E"/>
    <w:rsid w:val="00806F4A"/>
    <w:rsid w:val="00815011"/>
    <w:rsid w:val="00815817"/>
    <w:rsid w:val="00822591"/>
    <w:rsid w:val="0083605E"/>
    <w:rsid w:val="00840F4E"/>
    <w:rsid w:val="00867CA5"/>
    <w:rsid w:val="00873ECE"/>
    <w:rsid w:val="008740D4"/>
    <w:rsid w:val="0087785E"/>
    <w:rsid w:val="008A11C6"/>
    <w:rsid w:val="008A1D22"/>
    <w:rsid w:val="008B13D2"/>
    <w:rsid w:val="008B361D"/>
    <w:rsid w:val="008C1554"/>
    <w:rsid w:val="008E2B15"/>
    <w:rsid w:val="008E33F3"/>
    <w:rsid w:val="008E3B84"/>
    <w:rsid w:val="008F229B"/>
    <w:rsid w:val="008F2A6E"/>
    <w:rsid w:val="00906E0C"/>
    <w:rsid w:val="00907943"/>
    <w:rsid w:val="00916E97"/>
    <w:rsid w:val="009316EC"/>
    <w:rsid w:val="009317CD"/>
    <w:rsid w:val="00934728"/>
    <w:rsid w:val="009644D9"/>
    <w:rsid w:val="0097131C"/>
    <w:rsid w:val="009870E4"/>
    <w:rsid w:val="009A12FA"/>
    <w:rsid w:val="009B534D"/>
    <w:rsid w:val="009B591A"/>
    <w:rsid w:val="009C3E56"/>
    <w:rsid w:val="009C483C"/>
    <w:rsid w:val="009D4A74"/>
    <w:rsid w:val="009D5253"/>
    <w:rsid w:val="009D64FE"/>
    <w:rsid w:val="009E0994"/>
    <w:rsid w:val="009E4452"/>
    <w:rsid w:val="009E7578"/>
    <w:rsid w:val="009F5C7B"/>
    <w:rsid w:val="00A031CE"/>
    <w:rsid w:val="00A11A0D"/>
    <w:rsid w:val="00A22080"/>
    <w:rsid w:val="00A42079"/>
    <w:rsid w:val="00A63022"/>
    <w:rsid w:val="00A71A7E"/>
    <w:rsid w:val="00A776D7"/>
    <w:rsid w:val="00A96E37"/>
    <w:rsid w:val="00A97444"/>
    <w:rsid w:val="00AA29E5"/>
    <w:rsid w:val="00AB0678"/>
    <w:rsid w:val="00AC52CB"/>
    <w:rsid w:val="00AC7ECD"/>
    <w:rsid w:val="00AD009F"/>
    <w:rsid w:val="00B10135"/>
    <w:rsid w:val="00B133D0"/>
    <w:rsid w:val="00B15418"/>
    <w:rsid w:val="00B1737C"/>
    <w:rsid w:val="00B1758C"/>
    <w:rsid w:val="00B17639"/>
    <w:rsid w:val="00B443CE"/>
    <w:rsid w:val="00B4555A"/>
    <w:rsid w:val="00B53C56"/>
    <w:rsid w:val="00B606EF"/>
    <w:rsid w:val="00B618F8"/>
    <w:rsid w:val="00B72E2D"/>
    <w:rsid w:val="00B805BD"/>
    <w:rsid w:val="00BA4663"/>
    <w:rsid w:val="00BA696B"/>
    <w:rsid w:val="00BC71D6"/>
    <w:rsid w:val="00BD4C85"/>
    <w:rsid w:val="00BE456E"/>
    <w:rsid w:val="00BF3137"/>
    <w:rsid w:val="00C02ECE"/>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B0962"/>
    <w:rsid w:val="00CB1F18"/>
    <w:rsid w:val="00CB2FD2"/>
    <w:rsid w:val="00CB3015"/>
    <w:rsid w:val="00CC3E40"/>
    <w:rsid w:val="00CC3FFA"/>
    <w:rsid w:val="00CD5884"/>
    <w:rsid w:val="00CD5DE8"/>
    <w:rsid w:val="00CD70A0"/>
    <w:rsid w:val="00CE7903"/>
    <w:rsid w:val="00CF6C71"/>
    <w:rsid w:val="00CF7A9A"/>
    <w:rsid w:val="00D00D60"/>
    <w:rsid w:val="00D017E5"/>
    <w:rsid w:val="00D01A19"/>
    <w:rsid w:val="00D309C4"/>
    <w:rsid w:val="00D45E53"/>
    <w:rsid w:val="00D47039"/>
    <w:rsid w:val="00D63655"/>
    <w:rsid w:val="00D75630"/>
    <w:rsid w:val="00D842AA"/>
    <w:rsid w:val="00D86D76"/>
    <w:rsid w:val="00D87130"/>
    <w:rsid w:val="00D93E0B"/>
    <w:rsid w:val="00DE02C4"/>
    <w:rsid w:val="00DF270D"/>
    <w:rsid w:val="00DF3B28"/>
    <w:rsid w:val="00DF56EC"/>
    <w:rsid w:val="00E020F2"/>
    <w:rsid w:val="00E12059"/>
    <w:rsid w:val="00E25D21"/>
    <w:rsid w:val="00E31716"/>
    <w:rsid w:val="00E34551"/>
    <w:rsid w:val="00E40036"/>
    <w:rsid w:val="00E45000"/>
    <w:rsid w:val="00E451FD"/>
    <w:rsid w:val="00E556EC"/>
    <w:rsid w:val="00E55B22"/>
    <w:rsid w:val="00E64502"/>
    <w:rsid w:val="00E771D2"/>
    <w:rsid w:val="00E80EDB"/>
    <w:rsid w:val="00E847DF"/>
    <w:rsid w:val="00E90013"/>
    <w:rsid w:val="00E928BB"/>
    <w:rsid w:val="00EA28CA"/>
    <w:rsid w:val="00EB56F2"/>
    <w:rsid w:val="00ED06A6"/>
    <w:rsid w:val="00ED451D"/>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55D2C3-3C2B-446F-A6FF-F82F2F219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10</Pages>
  <Words>1636</Words>
  <Characters>9328</Characters>
  <Application>Microsoft Office Word</Application>
  <DocSecurity>0</DocSecurity>
  <Lines>77</Lines>
  <Paragraphs>21</Paragraphs>
  <ScaleCrop>false</ScaleCrop>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81</cp:revision>
  <cp:lastPrinted>2023-04-04T02:33:00Z</cp:lastPrinted>
  <dcterms:created xsi:type="dcterms:W3CDTF">2022-11-15T10:06:00Z</dcterms:created>
  <dcterms:modified xsi:type="dcterms:W3CDTF">2023-04-10T02:04:00Z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