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bookmarkStart w:id="0" w:name="_GoBack"/>
      <w:r>
        <w:rPr>
          <w:rFonts w:ascii="Times New Roman" w:eastAsia="楷体" w:hAnsi="Times New Roman" w:hint="eastAsia"/>
          <w:b/>
          <w:color w:val="823C0B"/>
          <w:sz w:val="30"/>
          <w:szCs w:val="30"/>
        </w:rPr>
        <w:t>评论品种一览</w:t>
      </w:r>
    </w:p>
    <w:bookmarkEnd w:id="0" w:displacedByCustomXml="next"/>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8A11C6"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1149913" w:history="1">
            <w:r w:rsidR="008A11C6" w:rsidRPr="00560BAB">
              <w:rPr>
                <w:rStyle w:val="a7"/>
                <w:rFonts w:ascii="Times New Roman" w:eastAsia="楷体" w:hAnsi="Times New Roman"/>
                <w:b/>
                <w:noProof/>
              </w:rPr>
              <w:t>[</w:t>
            </w:r>
            <w:r w:rsidR="008A11C6" w:rsidRPr="00560BAB">
              <w:rPr>
                <w:rStyle w:val="a7"/>
                <w:rFonts w:ascii="Times New Roman" w:eastAsia="楷体" w:hAnsi="Times New Roman"/>
                <w:b/>
                <w:noProof/>
              </w:rPr>
              <w:t>金融</w:t>
            </w:r>
            <w:r w:rsidR="008A11C6" w:rsidRPr="00560BAB">
              <w:rPr>
                <w:rStyle w:val="a7"/>
                <w:rFonts w:ascii="Times New Roman" w:eastAsia="楷体" w:hAnsi="Times New Roman"/>
                <w:b/>
                <w:noProof/>
              </w:rPr>
              <w:t>]</w:t>
            </w:r>
          </w:hyperlink>
        </w:p>
        <w:p w:rsidR="008A11C6" w:rsidRDefault="008A11C6">
          <w:pPr>
            <w:pStyle w:val="2"/>
            <w:tabs>
              <w:tab w:val="right" w:leader="dot" w:pos="8296"/>
            </w:tabs>
            <w:rPr>
              <w:rFonts w:eastAsiaTheme="minorEastAsia"/>
              <w:noProof/>
              <w:szCs w:val="22"/>
            </w:rPr>
          </w:pPr>
          <w:hyperlink w:anchor="_Toc131149914" w:history="1">
            <w:r w:rsidRPr="00560BAB">
              <w:rPr>
                <w:rStyle w:val="a7"/>
                <w:rFonts w:ascii="Times New Roman" w:eastAsia="楷体" w:hAnsi="Times New Roman"/>
                <w:b/>
                <w:noProof/>
              </w:rPr>
              <w:t>股指：市场波动加大，维持谨慎观点</w:t>
            </w:r>
          </w:hyperlink>
        </w:p>
        <w:p w:rsidR="008A11C6" w:rsidRDefault="008A11C6">
          <w:pPr>
            <w:pStyle w:val="11"/>
            <w:tabs>
              <w:tab w:val="right" w:leader="dot" w:pos="8296"/>
            </w:tabs>
            <w:rPr>
              <w:rFonts w:eastAsiaTheme="minorEastAsia"/>
              <w:noProof/>
              <w:szCs w:val="22"/>
            </w:rPr>
          </w:pPr>
          <w:hyperlink w:anchor="_Toc131149915" w:history="1">
            <w:r w:rsidRPr="00560BAB">
              <w:rPr>
                <w:rStyle w:val="a7"/>
                <w:rFonts w:ascii="Times New Roman" w:eastAsia="楷体" w:hAnsi="Times New Roman"/>
                <w:b/>
                <w:noProof/>
              </w:rPr>
              <w:t>[</w:t>
            </w:r>
            <w:r w:rsidRPr="00560BAB">
              <w:rPr>
                <w:rStyle w:val="a7"/>
                <w:rFonts w:ascii="Times New Roman" w:eastAsia="楷体" w:hAnsi="Times New Roman"/>
                <w:b/>
                <w:noProof/>
              </w:rPr>
              <w:t>贵金属</w:t>
            </w:r>
            <w:r w:rsidRPr="00560BAB">
              <w:rPr>
                <w:rStyle w:val="a7"/>
                <w:rFonts w:ascii="Times New Roman" w:eastAsia="楷体" w:hAnsi="Times New Roman"/>
                <w:b/>
                <w:noProof/>
              </w:rPr>
              <w:t>]</w:t>
            </w:r>
          </w:hyperlink>
        </w:p>
        <w:p w:rsidR="008A11C6" w:rsidRDefault="008A11C6">
          <w:pPr>
            <w:pStyle w:val="2"/>
            <w:tabs>
              <w:tab w:val="right" w:leader="dot" w:pos="8296"/>
            </w:tabs>
            <w:rPr>
              <w:rFonts w:eastAsiaTheme="minorEastAsia"/>
              <w:noProof/>
              <w:szCs w:val="22"/>
            </w:rPr>
          </w:pPr>
          <w:hyperlink w:anchor="_Toc131149916" w:history="1">
            <w:r w:rsidRPr="00560BAB">
              <w:rPr>
                <w:rStyle w:val="a7"/>
                <w:rFonts w:ascii="Times New Roman" w:eastAsia="楷体" w:hAnsi="Times New Roman"/>
                <w:b/>
                <w:noProof/>
              </w:rPr>
              <w:t>贵金属：美国季度经济数据弱于预期，银价反弹</w:t>
            </w:r>
          </w:hyperlink>
        </w:p>
        <w:p w:rsidR="008A11C6" w:rsidRDefault="008A11C6">
          <w:pPr>
            <w:pStyle w:val="11"/>
            <w:tabs>
              <w:tab w:val="right" w:leader="dot" w:pos="8296"/>
            </w:tabs>
            <w:rPr>
              <w:rFonts w:eastAsiaTheme="minorEastAsia"/>
              <w:noProof/>
              <w:szCs w:val="22"/>
            </w:rPr>
          </w:pPr>
          <w:hyperlink w:anchor="_Toc131149917" w:history="1">
            <w:r w:rsidRPr="00560BAB">
              <w:rPr>
                <w:rStyle w:val="a7"/>
                <w:rFonts w:ascii="Times New Roman" w:eastAsia="楷体" w:hAnsi="Times New Roman"/>
                <w:b/>
                <w:noProof/>
              </w:rPr>
              <w:t>[</w:t>
            </w:r>
            <w:r w:rsidRPr="00560BAB">
              <w:rPr>
                <w:rStyle w:val="a7"/>
                <w:rFonts w:ascii="Times New Roman" w:eastAsia="楷体" w:hAnsi="Times New Roman"/>
                <w:b/>
                <w:noProof/>
              </w:rPr>
              <w:t>金属</w:t>
            </w:r>
            <w:r w:rsidRPr="00560BAB">
              <w:rPr>
                <w:rStyle w:val="a7"/>
                <w:rFonts w:ascii="Times New Roman" w:eastAsia="楷体" w:hAnsi="Times New Roman"/>
                <w:b/>
                <w:noProof/>
              </w:rPr>
              <w:t>]</w:t>
            </w:r>
          </w:hyperlink>
        </w:p>
        <w:p w:rsidR="008A11C6" w:rsidRDefault="008A11C6">
          <w:pPr>
            <w:pStyle w:val="2"/>
            <w:tabs>
              <w:tab w:val="right" w:leader="dot" w:pos="8296"/>
            </w:tabs>
            <w:rPr>
              <w:rFonts w:eastAsiaTheme="minorEastAsia"/>
              <w:noProof/>
              <w:szCs w:val="22"/>
            </w:rPr>
          </w:pPr>
          <w:hyperlink w:anchor="_Toc131149918" w:history="1">
            <w:r w:rsidRPr="00560BAB">
              <w:rPr>
                <w:rStyle w:val="a7"/>
                <w:rFonts w:ascii="楷体" w:eastAsia="楷体" w:hAnsi="楷体"/>
                <w:b/>
                <w:noProof/>
              </w:rPr>
              <w:t>螺纹钢：矛盾积累中，震荡为主</w:t>
            </w:r>
          </w:hyperlink>
        </w:p>
        <w:p w:rsidR="008A11C6" w:rsidRDefault="008A11C6">
          <w:pPr>
            <w:pStyle w:val="2"/>
            <w:tabs>
              <w:tab w:val="right" w:leader="dot" w:pos="8296"/>
            </w:tabs>
            <w:rPr>
              <w:rFonts w:eastAsiaTheme="minorEastAsia"/>
              <w:noProof/>
              <w:szCs w:val="22"/>
            </w:rPr>
          </w:pPr>
          <w:hyperlink w:anchor="_Toc131149919" w:history="1">
            <w:r w:rsidRPr="00560BAB">
              <w:rPr>
                <w:rStyle w:val="a7"/>
                <w:rFonts w:ascii="楷体" w:eastAsia="楷体" w:hAnsi="楷体"/>
                <w:b/>
                <w:noProof/>
              </w:rPr>
              <w:t>焦炭：成本支撑弱化，或试探前底支撑</w:t>
            </w:r>
          </w:hyperlink>
        </w:p>
        <w:p w:rsidR="008A11C6" w:rsidRDefault="008A11C6">
          <w:pPr>
            <w:pStyle w:val="2"/>
            <w:tabs>
              <w:tab w:val="right" w:leader="dot" w:pos="8296"/>
            </w:tabs>
            <w:rPr>
              <w:rFonts w:eastAsiaTheme="minorEastAsia"/>
              <w:noProof/>
              <w:szCs w:val="22"/>
            </w:rPr>
          </w:pPr>
          <w:hyperlink w:anchor="_Toc131149920" w:history="1">
            <w:r w:rsidRPr="00560BAB">
              <w:rPr>
                <w:rStyle w:val="a7"/>
                <w:rFonts w:ascii="楷体" w:eastAsia="楷体" w:hAnsi="楷体"/>
                <w:b/>
                <w:noProof/>
              </w:rPr>
              <w:t>焦煤：自身驱动不强，低估值下跟随成材波动</w:t>
            </w:r>
          </w:hyperlink>
        </w:p>
        <w:p w:rsidR="008A11C6" w:rsidRDefault="008A11C6">
          <w:pPr>
            <w:pStyle w:val="2"/>
            <w:tabs>
              <w:tab w:val="right" w:leader="dot" w:pos="8296"/>
            </w:tabs>
            <w:rPr>
              <w:rFonts w:eastAsiaTheme="minorEastAsia"/>
              <w:noProof/>
              <w:szCs w:val="22"/>
            </w:rPr>
          </w:pPr>
          <w:hyperlink w:anchor="_Toc131149921" w:history="1">
            <w:r w:rsidRPr="00560BAB">
              <w:rPr>
                <w:rStyle w:val="a7"/>
                <w:rFonts w:ascii="楷体" w:eastAsia="楷体" w:hAnsi="楷体"/>
                <w:b/>
                <w:noProof/>
              </w:rPr>
              <w:t>铜：短期保持高位震荡</w:t>
            </w:r>
          </w:hyperlink>
        </w:p>
        <w:p w:rsidR="008A11C6" w:rsidRDefault="008A11C6">
          <w:pPr>
            <w:pStyle w:val="2"/>
            <w:tabs>
              <w:tab w:val="right" w:leader="dot" w:pos="8296"/>
            </w:tabs>
            <w:rPr>
              <w:rFonts w:eastAsiaTheme="minorEastAsia"/>
              <w:noProof/>
              <w:szCs w:val="22"/>
            </w:rPr>
          </w:pPr>
          <w:hyperlink w:anchor="_Toc131149922" w:history="1">
            <w:r w:rsidRPr="00560BAB">
              <w:rPr>
                <w:rStyle w:val="a7"/>
                <w:rFonts w:ascii="楷体" w:eastAsia="楷体" w:hAnsi="楷体"/>
                <w:b/>
                <w:noProof/>
              </w:rPr>
              <w:t>铝：铝价区间高位震荡，建议逢高可布局空</w:t>
            </w:r>
          </w:hyperlink>
        </w:p>
        <w:p w:rsidR="008A11C6" w:rsidRDefault="008A11C6">
          <w:pPr>
            <w:pStyle w:val="2"/>
            <w:tabs>
              <w:tab w:val="right" w:leader="dot" w:pos="8296"/>
            </w:tabs>
            <w:rPr>
              <w:rFonts w:eastAsiaTheme="minorEastAsia"/>
              <w:noProof/>
              <w:szCs w:val="22"/>
            </w:rPr>
          </w:pPr>
          <w:hyperlink w:anchor="_Toc131149923" w:history="1">
            <w:r w:rsidRPr="00560BAB">
              <w:rPr>
                <w:rStyle w:val="a7"/>
                <w:rFonts w:ascii="楷体" w:eastAsia="楷体" w:hAnsi="楷体"/>
                <w:b/>
                <w:noProof/>
              </w:rPr>
              <w:t>锌：短期负面情绪走弱，现实表现为跌后修复行情</w:t>
            </w:r>
          </w:hyperlink>
        </w:p>
        <w:p w:rsidR="008A11C6" w:rsidRDefault="008A11C6">
          <w:pPr>
            <w:pStyle w:val="2"/>
            <w:tabs>
              <w:tab w:val="right" w:leader="dot" w:pos="8296"/>
            </w:tabs>
            <w:rPr>
              <w:rFonts w:eastAsiaTheme="minorEastAsia"/>
              <w:noProof/>
              <w:szCs w:val="22"/>
            </w:rPr>
          </w:pPr>
          <w:hyperlink w:anchor="_Toc131149924" w:history="1">
            <w:r w:rsidRPr="00560BAB">
              <w:rPr>
                <w:rStyle w:val="a7"/>
                <w:rFonts w:ascii="楷体" w:eastAsia="楷体" w:hAnsi="楷体"/>
                <w:b/>
                <w:noProof/>
              </w:rPr>
              <w:t>镍：价格超跌后有修复驱动，待反弹后空单再介入</w:t>
            </w:r>
          </w:hyperlink>
        </w:p>
        <w:p w:rsidR="008A11C6" w:rsidRDefault="008A11C6">
          <w:pPr>
            <w:pStyle w:val="2"/>
            <w:tabs>
              <w:tab w:val="right" w:leader="dot" w:pos="8296"/>
            </w:tabs>
            <w:rPr>
              <w:rFonts w:eastAsiaTheme="minorEastAsia"/>
              <w:noProof/>
              <w:szCs w:val="22"/>
            </w:rPr>
          </w:pPr>
          <w:hyperlink w:anchor="_Toc131149925" w:history="1">
            <w:r w:rsidRPr="00560BAB">
              <w:rPr>
                <w:rStyle w:val="a7"/>
                <w:rFonts w:ascii="楷体" w:eastAsia="楷体" w:hAnsi="楷体"/>
                <w:b/>
                <w:noProof/>
              </w:rPr>
              <w:t>不锈钢：原料价格依旧偏弱，拖累不锈钢价</w:t>
            </w:r>
          </w:hyperlink>
        </w:p>
        <w:p w:rsidR="008A11C6" w:rsidRDefault="008A11C6">
          <w:pPr>
            <w:pStyle w:val="2"/>
            <w:tabs>
              <w:tab w:val="right" w:leader="dot" w:pos="8296"/>
            </w:tabs>
            <w:rPr>
              <w:rFonts w:eastAsiaTheme="minorEastAsia"/>
              <w:noProof/>
              <w:szCs w:val="22"/>
            </w:rPr>
          </w:pPr>
          <w:hyperlink w:anchor="_Toc131149926" w:history="1">
            <w:r w:rsidRPr="00560BAB">
              <w:rPr>
                <w:rStyle w:val="a7"/>
                <w:rFonts w:ascii="楷体" w:eastAsia="楷体" w:hAnsi="楷体"/>
                <w:b/>
                <w:noProof/>
              </w:rPr>
              <w:t>工业硅：有机硅减产计划提上日程，短期市场或弱稳运行</w:t>
            </w:r>
          </w:hyperlink>
        </w:p>
        <w:p w:rsidR="008A11C6" w:rsidRDefault="008A11C6">
          <w:pPr>
            <w:pStyle w:val="11"/>
            <w:tabs>
              <w:tab w:val="right" w:leader="dot" w:pos="8296"/>
            </w:tabs>
            <w:rPr>
              <w:rFonts w:eastAsiaTheme="minorEastAsia"/>
              <w:noProof/>
              <w:szCs w:val="22"/>
            </w:rPr>
          </w:pPr>
          <w:hyperlink w:anchor="_Toc131149927" w:history="1">
            <w:r w:rsidRPr="00560BAB">
              <w:rPr>
                <w:rStyle w:val="a7"/>
                <w:rFonts w:ascii="Times New Roman" w:eastAsia="楷体" w:hAnsi="Times New Roman"/>
                <w:b/>
                <w:noProof/>
              </w:rPr>
              <w:t>[</w:t>
            </w:r>
            <w:r w:rsidRPr="00560BAB">
              <w:rPr>
                <w:rStyle w:val="a7"/>
                <w:rFonts w:ascii="Times New Roman" w:eastAsia="楷体" w:hAnsi="Times New Roman"/>
                <w:b/>
                <w:noProof/>
              </w:rPr>
              <w:t>化工</w:t>
            </w:r>
            <w:r w:rsidRPr="00560BAB">
              <w:rPr>
                <w:rStyle w:val="a7"/>
                <w:rFonts w:ascii="Times New Roman" w:eastAsia="楷体" w:hAnsi="Times New Roman"/>
                <w:b/>
                <w:noProof/>
              </w:rPr>
              <w:t>]</w:t>
            </w:r>
          </w:hyperlink>
        </w:p>
        <w:p w:rsidR="008A11C6" w:rsidRDefault="008A11C6">
          <w:pPr>
            <w:pStyle w:val="2"/>
            <w:tabs>
              <w:tab w:val="right" w:leader="dot" w:pos="8296"/>
            </w:tabs>
            <w:rPr>
              <w:rFonts w:eastAsiaTheme="minorEastAsia"/>
              <w:noProof/>
              <w:szCs w:val="22"/>
            </w:rPr>
          </w:pPr>
          <w:hyperlink w:anchor="_Toc131149928" w:history="1">
            <w:r w:rsidRPr="00560BAB">
              <w:rPr>
                <w:rStyle w:val="a7"/>
                <w:rFonts w:ascii="Times New Roman" w:eastAsia="楷体" w:hAnsi="Times New Roman"/>
                <w:b/>
                <w:noProof/>
              </w:rPr>
              <w:t>天然橡胶</w:t>
            </w:r>
            <w:r w:rsidRPr="00560BAB">
              <w:rPr>
                <w:rStyle w:val="a7"/>
                <w:rFonts w:ascii="Times New Roman" w:eastAsia="楷体" w:hAnsi="Times New Roman"/>
                <w:b/>
                <w:noProof/>
              </w:rPr>
              <w:t>:</w:t>
            </w:r>
            <w:r w:rsidRPr="00560BAB">
              <w:rPr>
                <w:rStyle w:val="a7"/>
                <w:noProof/>
              </w:rPr>
              <w:t xml:space="preserve"> </w:t>
            </w:r>
            <w:r w:rsidRPr="00560BAB">
              <w:rPr>
                <w:rStyle w:val="a7"/>
                <w:rFonts w:ascii="Times New Roman" w:eastAsia="楷体" w:hAnsi="Times New Roman"/>
                <w:b/>
                <w:noProof/>
              </w:rPr>
              <w:t>国内显性库存压力较大</w:t>
            </w:r>
            <w:r w:rsidRPr="00560BAB">
              <w:rPr>
                <w:rStyle w:val="a7"/>
                <w:rFonts w:ascii="Times New Roman" w:eastAsia="楷体" w:hAnsi="Times New Roman"/>
                <w:b/>
                <w:noProof/>
              </w:rPr>
              <w:t xml:space="preserve"> </w:t>
            </w:r>
            <w:r w:rsidRPr="00560BAB">
              <w:rPr>
                <w:rStyle w:val="a7"/>
                <w:rFonts w:ascii="Times New Roman" w:eastAsia="楷体" w:hAnsi="Times New Roman"/>
                <w:b/>
                <w:noProof/>
              </w:rPr>
              <w:t>短期</w:t>
            </w:r>
            <w:r w:rsidRPr="00560BAB">
              <w:rPr>
                <w:rStyle w:val="a7"/>
                <w:rFonts w:ascii="Times New Roman" w:eastAsia="楷体" w:hAnsi="Times New Roman"/>
                <w:b/>
                <w:noProof/>
              </w:rPr>
              <w:t>RU</w:t>
            </w:r>
            <w:r w:rsidRPr="00560BAB">
              <w:rPr>
                <w:rStyle w:val="a7"/>
                <w:rFonts w:ascii="Times New Roman" w:eastAsia="楷体" w:hAnsi="Times New Roman"/>
                <w:b/>
                <w:noProof/>
              </w:rPr>
              <w:t>继续上涨稍显乏力</w:t>
            </w:r>
          </w:hyperlink>
        </w:p>
        <w:p w:rsidR="008A11C6" w:rsidRDefault="008A11C6">
          <w:pPr>
            <w:pStyle w:val="2"/>
            <w:tabs>
              <w:tab w:val="right" w:leader="dot" w:pos="8296"/>
            </w:tabs>
            <w:rPr>
              <w:rFonts w:eastAsiaTheme="minorEastAsia"/>
              <w:noProof/>
              <w:szCs w:val="22"/>
            </w:rPr>
          </w:pPr>
          <w:hyperlink w:anchor="_Toc131149929" w:history="1">
            <w:r w:rsidRPr="00560BAB">
              <w:rPr>
                <w:rStyle w:val="a7"/>
                <w:rFonts w:ascii="楷体" w:eastAsia="楷体" w:hAnsi="楷体"/>
                <w:b/>
                <w:noProof/>
              </w:rPr>
              <w:t>PTA：供需格局强势维持 谨慎追高</w:t>
            </w:r>
          </w:hyperlink>
        </w:p>
        <w:p w:rsidR="008A11C6" w:rsidRDefault="008A11C6">
          <w:pPr>
            <w:pStyle w:val="2"/>
            <w:tabs>
              <w:tab w:val="right" w:leader="dot" w:pos="8296"/>
            </w:tabs>
            <w:rPr>
              <w:rFonts w:eastAsiaTheme="minorEastAsia"/>
              <w:noProof/>
              <w:szCs w:val="22"/>
            </w:rPr>
          </w:pPr>
          <w:hyperlink w:anchor="_Toc131149930" w:history="1">
            <w:r w:rsidRPr="00560BAB">
              <w:rPr>
                <w:rStyle w:val="a7"/>
                <w:rFonts w:ascii="楷体" w:eastAsia="楷体" w:hAnsi="楷体"/>
                <w:b/>
                <w:noProof/>
              </w:rPr>
              <w:t>PVC：春检在即供需改善 关注V低多机会</w:t>
            </w:r>
          </w:hyperlink>
        </w:p>
        <w:p w:rsidR="008A11C6" w:rsidRDefault="008A11C6">
          <w:pPr>
            <w:pStyle w:val="2"/>
            <w:tabs>
              <w:tab w:val="right" w:leader="dot" w:pos="8296"/>
            </w:tabs>
            <w:rPr>
              <w:rFonts w:eastAsiaTheme="minorEastAsia"/>
              <w:noProof/>
              <w:szCs w:val="22"/>
            </w:rPr>
          </w:pPr>
          <w:hyperlink w:anchor="_Toc131149931" w:history="1">
            <w:r w:rsidRPr="00560BAB">
              <w:rPr>
                <w:rStyle w:val="a7"/>
                <w:rFonts w:ascii="楷体" w:eastAsia="楷体" w:hAnsi="楷体"/>
                <w:b/>
                <w:noProof/>
              </w:rPr>
              <w:t>聚烯烃：基本面变化不大下，聚烯烃难有明显起色</w:t>
            </w:r>
          </w:hyperlink>
        </w:p>
        <w:p w:rsidR="008A11C6" w:rsidRDefault="008A11C6">
          <w:pPr>
            <w:pStyle w:val="2"/>
            <w:tabs>
              <w:tab w:val="right" w:leader="dot" w:pos="8296"/>
            </w:tabs>
            <w:rPr>
              <w:rFonts w:eastAsiaTheme="minorEastAsia"/>
              <w:noProof/>
              <w:szCs w:val="22"/>
            </w:rPr>
          </w:pPr>
          <w:hyperlink w:anchor="_Toc131149932" w:history="1">
            <w:r w:rsidRPr="00560BAB">
              <w:rPr>
                <w:rStyle w:val="a7"/>
                <w:rFonts w:ascii="楷体" w:eastAsia="楷体" w:hAnsi="楷体"/>
                <w:b/>
                <w:noProof/>
              </w:rPr>
              <w:t>MEG：05维持4000-4200区间操作</w:t>
            </w:r>
          </w:hyperlink>
        </w:p>
        <w:p w:rsidR="008A11C6" w:rsidRDefault="008A11C6">
          <w:pPr>
            <w:pStyle w:val="11"/>
            <w:tabs>
              <w:tab w:val="right" w:leader="dot" w:pos="8296"/>
            </w:tabs>
            <w:rPr>
              <w:rFonts w:eastAsiaTheme="minorEastAsia"/>
              <w:noProof/>
              <w:szCs w:val="22"/>
            </w:rPr>
          </w:pPr>
          <w:hyperlink w:anchor="_Toc131149933" w:history="1">
            <w:r w:rsidRPr="00560BAB">
              <w:rPr>
                <w:rStyle w:val="a7"/>
                <w:rFonts w:ascii="Times New Roman" w:eastAsia="楷体" w:hAnsi="Times New Roman"/>
                <w:b/>
                <w:noProof/>
              </w:rPr>
              <w:t>[</w:t>
            </w:r>
            <w:r w:rsidRPr="00560BAB">
              <w:rPr>
                <w:rStyle w:val="a7"/>
                <w:rFonts w:ascii="Times New Roman" w:eastAsia="楷体" w:hAnsi="Times New Roman"/>
                <w:b/>
                <w:noProof/>
              </w:rPr>
              <w:t>农产品</w:t>
            </w:r>
            <w:r w:rsidRPr="00560BAB">
              <w:rPr>
                <w:rStyle w:val="a7"/>
                <w:rFonts w:ascii="Times New Roman" w:eastAsia="楷体" w:hAnsi="Times New Roman"/>
                <w:b/>
                <w:noProof/>
              </w:rPr>
              <w:t>]</w:t>
            </w:r>
          </w:hyperlink>
        </w:p>
        <w:p w:rsidR="008A11C6" w:rsidRDefault="008A11C6">
          <w:pPr>
            <w:pStyle w:val="2"/>
            <w:tabs>
              <w:tab w:val="right" w:leader="dot" w:pos="8296"/>
            </w:tabs>
            <w:rPr>
              <w:rFonts w:eastAsiaTheme="minorEastAsia"/>
              <w:noProof/>
              <w:szCs w:val="22"/>
            </w:rPr>
          </w:pPr>
          <w:hyperlink w:anchor="_Toc131149934" w:history="1">
            <w:r w:rsidRPr="00560BAB">
              <w:rPr>
                <w:rStyle w:val="a7"/>
                <w:rFonts w:ascii="楷体" w:eastAsia="楷体" w:hAnsi="楷体"/>
                <w:b/>
                <w:noProof/>
              </w:rPr>
              <w:t>豆粕/菜粕：短期震荡整理，但偏空趋势未变</w:t>
            </w:r>
          </w:hyperlink>
        </w:p>
        <w:p w:rsidR="008A11C6" w:rsidRDefault="008A11C6">
          <w:pPr>
            <w:pStyle w:val="2"/>
            <w:tabs>
              <w:tab w:val="right" w:leader="dot" w:pos="8296"/>
            </w:tabs>
            <w:rPr>
              <w:rFonts w:eastAsiaTheme="minorEastAsia"/>
              <w:noProof/>
              <w:szCs w:val="22"/>
            </w:rPr>
          </w:pPr>
          <w:hyperlink w:anchor="_Toc131149935" w:history="1">
            <w:r w:rsidRPr="00560BAB">
              <w:rPr>
                <w:rStyle w:val="a7"/>
                <w:rFonts w:ascii="楷体" w:eastAsia="楷体" w:hAnsi="楷体"/>
                <w:b/>
                <w:noProof/>
              </w:rPr>
              <w:t>油脂：短期反弹，呈现近强远弱</w:t>
            </w:r>
          </w:hyperlink>
        </w:p>
        <w:p w:rsidR="008A11C6" w:rsidRDefault="008A11C6">
          <w:pPr>
            <w:pStyle w:val="2"/>
            <w:tabs>
              <w:tab w:val="right" w:leader="dot" w:pos="8296"/>
            </w:tabs>
            <w:rPr>
              <w:rFonts w:eastAsiaTheme="minorEastAsia"/>
              <w:noProof/>
              <w:szCs w:val="22"/>
            </w:rPr>
          </w:pPr>
          <w:hyperlink w:anchor="_Toc131149936" w:history="1">
            <w:r w:rsidRPr="00560BAB">
              <w:rPr>
                <w:rStyle w:val="a7"/>
                <w:rFonts w:ascii="楷体" w:eastAsia="楷体" w:hAnsi="楷体"/>
                <w:b/>
                <w:bCs/>
                <w:noProof/>
              </w:rPr>
              <w:t>玉米与淀粉：</w:t>
            </w:r>
            <w:r w:rsidRPr="00560BAB">
              <w:rPr>
                <w:rStyle w:val="a7"/>
                <w:rFonts w:ascii="楷体" w:eastAsia="楷体" w:hAnsi="楷体"/>
                <w:b/>
                <w:noProof/>
              </w:rPr>
              <w:t>淀粉-玉米价差大幅收窄</w:t>
            </w:r>
          </w:hyperlink>
        </w:p>
        <w:p w:rsidR="008A11C6" w:rsidRDefault="008A11C6">
          <w:pPr>
            <w:pStyle w:val="2"/>
            <w:tabs>
              <w:tab w:val="right" w:leader="dot" w:pos="8296"/>
            </w:tabs>
            <w:rPr>
              <w:rFonts w:eastAsiaTheme="minorEastAsia"/>
              <w:noProof/>
              <w:szCs w:val="22"/>
            </w:rPr>
          </w:pPr>
          <w:hyperlink w:anchor="_Toc131149937" w:history="1">
            <w:r w:rsidRPr="00560BAB">
              <w:rPr>
                <w:rStyle w:val="a7"/>
                <w:rFonts w:ascii="楷体" w:eastAsia="楷体" w:hAnsi="楷体"/>
                <w:b/>
                <w:bCs/>
                <w:noProof/>
              </w:rPr>
              <w:t>畜禽养殖：期价震荡分化</w:t>
            </w:r>
          </w:hyperlink>
        </w:p>
        <w:p w:rsidR="008A11C6" w:rsidRDefault="008A11C6">
          <w:pPr>
            <w:pStyle w:val="2"/>
            <w:tabs>
              <w:tab w:val="right" w:leader="dot" w:pos="8296"/>
            </w:tabs>
            <w:rPr>
              <w:rFonts w:eastAsiaTheme="minorEastAsia"/>
              <w:noProof/>
              <w:szCs w:val="22"/>
            </w:rPr>
          </w:pPr>
          <w:hyperlink w:anchor="_Toc131149938" w:history="1">
            <w:r w:rsidRPr="00560BAB">
              <w:rPr>
                <w:rStyle w:val="a7"/>
                <w:rFonts w:ascii="楷体" w:eastAsia="楷体" w:hAnsi="楷体"/>
                <w:b/>
                <w:noProof/>
              </w:rPr>
              <w:t>郑棉：郑棉震荡整理。宽跨式期权卖权持有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114991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1149914"/>
      <w:bookmarkEnd w:id="3"/>
      <w:r>
        <w:rPr>
          <w:rFonts w:ascii="Times New Roman" w:eastAsia="楷体" w:hAnsi="Times New Roman" w:hint="eastAsia"/>
          <w:b/>
          <w:color w:val="000000" w:themeColor="text1"/>
          <w:sz w:val="24"/>
          <w:szCs w:val="24"/>
        </w:rPr>
        <w:t>股指：</w:t>
      </w:r>
      <w:bookmarkEnd w:id="5"/>
      <w:bookmarkEnd w:id="6"/>
      <w:r w:rsidR="008A11C6" w:rsidRPr="008A11C6">
        <w:rPr>
          <w:rFonts w:ascii="Times New Roman" w:eastAsia="楷体" w:hAnsi="Times New Roman" w:hint="eastAsia"/>
          <w:b/>
          <w:color w:val="000000" w:themeColor="text1"/>
          <w:sz w:val="24"/>
          <w:szCs w:val="24"/>
        </w:rPr>
        <w:t>市场波动加大，维持谨慎观点</w:t>
      </w:r>
      <w:bookmarkEnd w:id="7"/>
    </w:p>
    <w:p w:rsidR="003F56A5" w:rsidRDefault="008A11C6">
      <w:pPr>
        <w:ind w:leftChars="300" w:left="630"/>
        <w:rPr>
          <w:rFonts w:ascii="Times New Roman" w:eastAsia="楷体" w:hAnsi="Times New Roman"/>
          <w:color w:val="000000" w:themeColor="text1"/>
          <w:sz w:val="24"/>
          <w:szCs w:val="24"/>
        </w:rPr>
      </w:pPr>
      <w:r w:rsidRPr="008A11C6">
        <w:rPr>
          <w:rFonts w:ascii="Times New Roman" w:eastAsia="楷体" w:hAnsi="Times New Roman" w:hint="eastAsia"/>
          <w:color w:val="000000" w:themeColor="text1"/>
          <w:sz w:val="24"/>
          <w:szCs w:val="24"/>
        </w:rPr>
        <w:t>昨日沪指</w:t>
      </w:r>
      <w:r w:rsidRPr="008A11C6">
        <w:rPr>
          <w:rFonts w:ascii="Times New Roman" w:eastAsia="楷体" w:hAnsi="Times New Roman" w:hint="eastAsia"/>
          <w:color w:val="000000" w:themeColor="text1"/>
          <w:sz w:val="24"/>
          <w:szCs w:val="24"/>
        </w:rPr>
        <w:t>V</w:t>
      </w:r>
      <w:r w:rsidRPr="008A11C6">
        <w:rPr>
          <w:rFonts w:ascii="Times New Roman" w:eastAsia="楷体" w:hAnsi="Times New Roman" w:hint="eastAsia"/>
          <w:color w:val="000000" w:themeColor="text1"/>
          <w:sz w:val="24"/>
          <w:szCs w:val="24"/>
        </w:rPr>
        <w:t>型反弹，缩量收涨。但我们维持谨慎观点，随着海外逻辑及事件型交易逐渐弱化，反弹驱动力可持续性较差，资金难有向上合力。操作上不宜追高，若急跌可低位布局</w:t>
      </w:r>
      <w:r w:rsidRPr="008A11C6">
        <w:rPr>
          <w:rFonts w:ascii="Times New Roman" w:eastAsia="楷体" w:hAnsi="Times New Roman" w:hint="eastAsia"/>
          <w:color w:val="000000" w:themeColor="text1"/>
          <w:sz w:val="24"/>
          <w:szCs w:val="24"/>
        </w:rPr>
        <w:t>IH</w:t>
      </w:r>
      <w:r w:rsidRPr="008A11C6">
        <w:rPr>
          <w:rFonts w:ascii="Times New Roman" w:eastAsia="楷体" w:hAnsi="Times New Roman" w:hint="eastAsia"/>
          <w:color w:val="000000" w:themeColor="text1"/>
          <w:sz w:val="24"/>
          <w:szCs w:val="24"/>
        </w:rPr>
        <w:t>等待验期到来</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114991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1149916"/>
      <w:r>
        <w:rPr>
          <w:rFonts w:ascii="Times New Roman" w:eastAsia="楷体" w:hAnsi="Times New Roman" w:hint="eastAsia"/>
          <w:b/>
          <w:color w:val="000000" w:themeColor="text1"/>
          <w:sz w:val="24"/>
          <w:szCs w:val="24"/>
        </w:rPr>
        <w:t>贵金属：</w:t>
      </w:r>
      <w:r w:rsidR="008A11C6" w:rsidRPr="008A11C6">
        <w:rPr>
          <w:rFonts w:ascii="Times New Roman" w:eastAsia="楷体" w:hAnsi="Times New Roman" w:hint="eastAsia"/>
          <w:b/>
          <w:color w:val="000000" w:themeColor="text1"/>
          <w:sz w:val="24"/>
          <w:szCs w:val="24"/>
        </w:rPr>
        <w:t>美国季度经济数据弱于预期，银价反弹</w:t>
      </w:r>
      <w:bookmarkEnd w:id="9"/>
    </w:p>
    <w:p w:rsidR="003F56A5" w:rsidRDefault="008A11C6">
      <w:pPr>
        <w:ind w:leftChars="300" w:left="630"/>
        <w:rPr>
          <w:rFonts w:ascii="Times New Roman" w:eastAsia="楷体" w:hAnsi="Times New Roman"/>
          <w:sz w:val="24"/>
          <w:szCs w:val="24"/>
        </w:rPr>
      </w:pPr>
      <w:r w:rsidRPr="008A11C6">
        <w:rPr>
          <w:rFonts w:ascii="Times New Roman" w:eastAsia="楷体" w:hAnsi="Times New Roman" w:hint="eastAsia"/>
          <w:color w:val="000000" w:themeColor="text1"/>
          <w:sz w:val="24"/>
          <w:szCs w:val="24"/>
        </w:rPr>
        <w:t>昨夜</w:t>
      </w:r>
      <w:r w:rsidRPr="008A11C6">
        <w:rPr>
          <w:rFonts w:ascii="Times New Roman" w:eastAsia="楷体" w:hAnsi="Times New Roman" w:hint="eastAsia"/>
          <w:color w:val="000000" w:themeColor="text1"/>
          <w:sz w:val="24"/>
          <w:szCs w:val="24"/>
        </w:rPr>
        <w:t>COMEX</w:t>
      </w:r>
      <w:r w:rsidRPr="008A11C6">
        <w:rPr>
          <w:rFonts w:ascii="Times New Roman" w:eastAsia="楷体" w:hAnsi="Times New Roman" w:hint="eastAsia"/>
          <w:color w:val="000000" w:themeColor="text1"/>
          <w:sz w:val="24"/>
          <w:szCs w:val="24"/>
        </w:rPr>
        <w:t>金价向上反弹试探</w:t>
      </w:r>
      <w:r w:rsidRPr="008A11C6">
        <w:rPr>
          <w:rFonts w:ascii="Times New Roman" w:eastAsia="楷体" w:hAnsi="Times New Roman" w:hint="eastAsia"/>
          <w:color w:val="000000" w:themeColor="text1"/>
          <w:sz w:val="24"/>
          <w:szCs w:val="24"/>
        </w:rPr>
        <w:t>2000</w:t>
      </w:r>
      <w:r w:rsidRPr="008A11C6">
        <w:rPr>
          <w:rFonts w:ascii="Times New Roman" w:eastAsia="楷体" w:hAnsi="Times New Roman" w:hint="eastAsia"/>
          <w:color w:val="000000" w:themeColor="text1"/>
          <w:sz w:val="24"/>
          <w:szCs w:val="24"/>
        </w:rPr>
        <w:t>整数关口压力，沪银一度突破</w:t>
      </w:r>
      <w:r w:rsidRPr="008A11C6">
        <w:rPr>
          <w:rFonts w:ascii="Times New Roman" w:eastAsia="楷体" w:hAnsi="Times New Roman" w:hint="eastAsia"/>
          <w:color w:val="000000" w:themeColor="text1"/>
          <w:sz w:val="24"/>
          <w:szCs w:val="24"/>
        </w:rPr>
        <w:t>24</w:t>
      </w:r>
      <w:r w:rsidRPr="008A11C6">
        <w:rPr>
          <w:rFonts w:ascii="Times New Roman" w:eastAsia="楷体" w:hAnsi="Times New Roman" w:hint="eastAsia"/>
          <w:color w:val="000000" w:themeColor="text1"/>
          <w:sz w:val="24"/>
          <w:szCs w:val="24"/>
        </w:rPr>
        <w:t>美元</w:t>
      </w:r>
      <w:r w:rsidRPr="008A11C6">
        <w:rPr>
          <w:rFonts w:ascii="Times New Roman" w:eastAsia="楷体" w:hAnsi="Times New Roman" w:hint="eastAsia"/>
          <w:color w:val="000000" w:themeColor="text1"/>
          <w:sz w:val="24"/>
          <w:szCs w:val="24"/>
        </w:rPr>
        <w:t>/</w:t>
      </w:r>
      <w:r w:rsidRPr="008A11C6">
        <w:rPr>
          <w:rFonts w:ascii="Times New Roman" w:eastAsia="楷体" w:hAnsi="Times New Roman" w:hint="eastAsia"/>
          <w:color w:val="000000" w:themeColor="text1"/>
          <w:sz w:val="24"/>
          <w:szCs w:val="24"/>
        </w:rPr>
        <w:t>盎司一线，沪金、沪银跟随外盘走势上涨。美国季度经济数据最终修正值表现略弱于预期，美国去年第四季度实际</w:t>
      </w:r>
      <w:r w:rsidRPr="008A11C6">
        <w:rPr>
          <w:rFonts w:ascii="Times New Roman" w:eastAsia="楷体" w:hAnsi="Times New Roman" w:hint="eastAsia"/>
          <w:color w:val="000000" w:themeColor="text1"/>
          <w:sz w:val="24"/>
          <w:szCs w:val="24"/>
        </w:rPr>
        <w:t>GDP</w:t>
      </w:r>
      <w:r w:rsidRPr="008A11C6">
        <w:rPr>
          <w:rFonts w:ascii="Times New Roman" w:eastAsia="楷体" w:hAnsi="Times New Roman" w:hint="eastAsia"/>
          <w:color w:val="000000" w:themeColor="text1"/>
          <w:sz w:val="24"/>
          <w:szCs w:val="24"/>
        </w:rPr>
        <w:t>年化季率终值升</w:t>
      </w:r>
      <w:r w:rsidRPr="008A11C6">
        <w:rPr>
          <w:rFonts w:ascii="Times New Roman" w:eastAsia="楷体" w:hAnsi="Times New Roman" w:hint="eastAsia"/>
          <w:color w:val="000000" w:themeColor="text1"/>
          <w:sz w:val="24"/>
          <w:szCs w:val="24"/>
        </w:rPr>
        <w:t>2.6%</w:t>
      </w:r>
      <w:r w:rsidRPr="008A11C6">
        <w:rPr>
          <w:rFonts w:ascii="Times New Roman" w:eastAsia="楷体" w:hAnsi="Times New Roman" w:hint="eastAsia"/>
          <w:color w:val="000000" w:themeColor="text1"/>
          <w:sz w:val="24"/>
          <w:szCs w:val="24"/>
        </w:rPr>
        <w:t>，实际个人消费支出终值环比升</w:t>
      </w:r>
      <w:r w:rsidRPr="008A11C6">
        <w:rPr>
          <w:rFonts w:ascii="Times New Roman" w:eastAsia="楷体" w:hAnsi="Times New Roman" w:hint="eastAsia"/>
          <w:color w:val="000000" w:themeColor="text1"/>
          <w:sz w:val="24"/>
          <w:szCs w:val="24"/>
        </w:rPr>
        <w:t>1%</w:t>
      </w:r>
      <w:r w:rsidRPr="008A11C6">
        <w:rPr>
          <w:rFonts w:ascii="Times New Roman" w:eastAsia="楷体" w:hAnsi="Times New Roman" w:hint="eastAsia"/>
          <w:color w:val="000000" w:themeColor="text1"/>
          <w:sz w:val="24"/>
          <w:szCs w:val="24"/>
        </w:rPr>
        <w:t>，略低于预期；四季度核心</w:t>
      </w:r>
      <w:r w:rsidRPr="008A11C6">
        <w:rPr>
          <w:rFonts w:ascii="Times New Roman" w:eastAsia="楷体" w:hAnsi="Times New Roman" w:hint="eastAsia"/>
          <w:color w:val="000000" w:themeColor="text1"/>
          <w:sz w:val="24"/>
          <w:szCs w:val="24"/>
        </w:rPr>
        <w:t>PCE</w:t>
      </w:r>
      <w:r w:rsidRPr="008A11C6">
        <w:rPr>
          <w:rFonts w:ascii="Times New Roman" w:eastAsia="楷体" w:hAnsi="Times New Roman" w:hint="eastAsia"/>
          <w:color w:val="000000" w:themeColor="text1"/>
          <w:sz w:val="24"/>
          <w:szCs w:val="24"/>
        </w:rPr>
        <w:t>年化季率录得</w:t>
      </w:r>
      <w:r w:rsidRPr="008A11C6">
        <w:rPr>
          <w:rFonts w:ascii="Times New Roman" w:eastAsia="楷体" w:hAnsi="Times New Roman" w:hint="eastAsia"/>
          <w:color w:val="000000" w:themeColor="text1"/>
          <w:sz w:val="24"/>
          <w:szCs w:val="24"/>
        </w:rPr>
        <w:t>4.4%</w:t>
      </w:r>
      <w:r w:rsidRPr="008A11C6">
        <w:rPr>
          <w:rFonts w:ascii="Times New Roman" w:eastAsia="楷体" w:hAnsi="Times New Roman" w:hint="eastAsia"/>
          <w:color w:val="000000" w:themeColor="text1"/>
          <w:sz w:val="24"/>
          <w:szCs w:val="24"/>
        </w:rPr>
        <w:t>，略高于预期。美联储卡什卡利称，美联储不会改变</w:t>
      </w:r>
      <w:r w:rsidRPr="008A11C6">
        <w:rPr>
          <w:rFonts w:ascii="Times New Roman" w:eastAsia="楷体" w:hAnsi="Times New Roman" w:hint="eastAsia"/>
          <w:color w:val="000000" w:themeColor="text1"/>
          <w:sz w:val="24"/>
          <w:szCs w:val="24"/>
        </w:rPr>
        <w:t>2%</w:t>
      </w:r>
      <w:r w:rsidRPr="008A11C6">
        <w:rPr>
          <w:rFonts w:ascii="Times New Roman" w:eastAsia="楷体" w:hAnsi="Times New Roman" w:hint="eastAsia"/>
          <w:color w:val="000000" w:themeColor="text1"/>
          <w:sz w:val="24"/>
          <w:szCs w:val="24"/>
        </w:rPr>
        <w:t>的通胀目标。美联储科林斯称，美国银行体系稳健，美联储需进一步加息以抑制通胀。二月我国央行黄金储备增加</w:t>
      </w:r>
      <w:r w:rsidRPr="008A11C6">
        <w:rPr>
          <w:rFonts w:ascii="Times New Roman" w:eastAsia="楷体" w:hAnsi="Times New Roman" w:hint="eastAsia"/>
          <w:color w:val="000000" w:themeColor="text1"/>
          <w:sz w:val="24"/>
          <w:szCs w:val="24"/>
        </w:rPr>
        <w:t>24.8</w:t>
      </w:r>
      <w:r w:rsidRPr="008A11C6">
        <w:rPr>
          <w:rFonts w:ascii="Times New Roman" w:eastAsia="楷体" w:hAnsi="Times New Roman" w:hint="eastAsia"/>
          <w:color w:val="000000" w:themeColor="text1"/>
          <w:sz w:val="24"/>
          <w:szCs w:val="24"/>
        </w:rPr>
        <w:t>吨，连续</w:t>
      </w:r>
      <w:r w:rsidRPr="008A11C6">
        <w:rPr>
          <w:rFonts w:ascii="Times New Roman" w:eastAsia="楷体" w:hAnsi="Times New Roman" w:hint="eastAsia"/>
          <w:color w:val="000000" w:themeColor="text1"/>
          <w:sz w:val="24"/>
          <w:szCs w:val="24"/>
        </w:rPr>
        <w:t>4</w:t>
      </w:r>
      <w:r w:rsidRPr="008A11C6">
        <w:rPr>
          <w:rFonts w:ascii="Times New Roman" w:eastAsia="楷体" w:hAnsi="Times New Roman" w:hint="eastAsia"/>
          <w:color w:val="000000" w:themeColor="text1"/>
          <w:sz w:val="24"/>
          <w:szCs w:val="24"/>
        </w:rPr>
        <w:t>个月增持黄金。海外降息预期下贵金属后续逐步转向围绕衰退逻辑进行交易，思路建议以偏多为主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114991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1149918"/>
      <w:r>
        <w:rPr>
          <w:rFonts w:ascii="楷体" w:eastAsia="楷体" w:hAnsi="楷体" w:hint="eastAsia"/>
          <w:b/>
          <w:color w:val="000000" w:themeColor="text1"/>
          <w:sz w:val="24"/>
          <w:szCs w:val="24"/>
        </w:rPr>
        <w:t>螺纹钢：</w:t>
      </w:r>
      <w:bookmarkEnd w:id="15"/>
      <w:bookmarkEnd w:id="16"/>
      <w:r w:rsidR="008A11C6" w:rsidRPr="008A11C6">
        <w:rPr>
          <w:rFonts w:ascii="楷体" w:eastAsia="楷体" w:hAnsi="楷体" w:hint="eastAsia"/>
          <w:b/>
          <w:color w:val="000000" w:themeColor="text1"/>
          <w:sz w:val="24"/>
          <w:szCs w:val="24"/>
        </w:rPr>
        <w:t>矛盾积累中，震荡为主</w:t>
      </w:r>
      <w:bookmarkEnd w:id="17"/>
    </w:p>
    <w:p w:rsidR="003F56A5" w:rsidRDefault="008A11C6">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本周表需一般，原料强势支撑价格，铁矿石受经济日报点名下情绪或有所博动，震荡运行（4100,4200）。一是确认需求复苏的高度，是否需要在4月通过减产去库：二是等待原料供应修复，成本支撑逐渐弱化，但估值调整后在低库存、高日耗下矛盾较为中性，核心仍是成材</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1149919"/>
      <w:r>
        <w:rPr>
          <w:rFonts w:ascii="楷体" w:eastAsia="楷体" w:hAnsi="楷体" w:hint="eastAsia"/>
          <w:b/>
          <w:color w:val="000000" w:themeColor="text1"/>
          <w:sz w:val="24"/>
          <w:szCs w:val="24"/>
        </w:rPr>
        <w:t>焦炭：</w:t>
      </w:r>
      <w:bookmarkEnd w:id="18"/>
      <w:bookmarkEnd w:id="19"/>
      <w:r w:rsidR="008A11C6" w:rsidRPr="008A11C6">
        <w:rPr>
          <w:rFonts w:ascii="楷体" w:eastAsia="楷体" w:hAnsi="楷体" w:hint="eastAsia"/>
          <w:b/>
          <w:color w:val="000000" w:themeColor="text1"/>
          <w:sz w:val="24"/>
          <w:szCs w:val="24"/>
        </w:rPr>
        <w:t>成本支撑弱化，或试探前底支撑</w:t>
      </w:r>
      <w:bookmarkEnd w:id="20"/>
    </w:p>
    <w:p w:rsidR="003F56A5" w:rsidRDefault="008A11C6">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下游铁水较高，供需两旺下焦炭有所去库，下游利润压制价格，成本有所弱化，盘面或试探支撑，等待现货指引方向，震荡区间（2650，2720）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1149920"/>
      <w:r>
        <w:rPr>
          <w:rFonts w:ascii="楷体" w:eastAsia="楷体" w:hAnsi="楷体" w:hint="eastAsia"/>
          <w:b/>
          <w:color w:val="000000" w:themeColor="text1"/>
          <w:sz w:val="24"/>
          <w:szCs w:val="24"/>
        </w:rPr>
        <w:t>焦煤：</w:t>
      </w:r>
      <w:r w:rsidR="008A11C6" w:rsidRPr="008A11C6">
        <w:rPr>
          <w:rFonts w:ascii="楷体" w:eastAsia="楷体" w:hAnsi="楷体" w:hint="eastAsia"/>
          <w:b/>
          <w:sz w:val="24"/>
          <w:szCs w:val="24"/>
        </w:rPr>
        <w:t>自身驱动不强，低估值下跟随成材波动</w:t>
      </w:r>
      <w:bookmarkEnd w:id="21"/>
    </w:p>
    <w:p w:rsidR="003F56A5" w:rsidRDefault="008A11C6">
      <w:pPr>
        <w:ind w:leftChars="300" w:left="630"/>
        <w:rPr>
          <w:rFonts w:ascii="楷体" w:eastAsia="楷体" w:hAnsi="楷体"/>
          <w:bCs/>
          <w:sz w:val="24"/>
          <w:szCs w:val="24"/>
        </w:rPr>
      </w:pPr>
      <w:r w:rsidRPr="008A11C6">
        <w:rPr>
          <w:rFonts w:ascii="楷体" w:eastAsia="楷体" w:hAnsi="楷体" w:hint="eastAsia"/>
          <w:sz w:val="24"/>
          <w:szCs w:val="24"/>
        </w:rPr>
        <w:t>将进入供需双增下，长协价格或有所调整，价格中枢有所下移，现货及估值从高位回落，短暂企稳。短期震荡区间（1800,1850）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1149921"/>
      <w:r>
        <w:rPr>
          <w:rFonts w:ascii="楷体" w:eastAsia="楷体" w:hAnsi="楷体" w:hint="eastAsia"/>
          <w:b/>
          <w:color w:val="000000" w:themeColor="text1"/>
          <w:sz w:val="24"/>
          <w:szCs w:val="24"/>
        </w:rPr>
        <w:t>铜：</w:t>
      </w:r>
      <w:bookmarkEnd w:id="22"/>
      <w:bookmarkEnd w:id="23"/>
      <w:r w:rsidR="008A11C6" w:rsidRPr="008A11C6">
        <w:rPr>
          <w:rFonts w:ascii="楷体" w:eastAsia="楷体" w:hAnsi="楷体" w:hint="eastAsia"/>
          <w:b/>
          <w:color w:val="000000" w:themeColor="text1"/>
          <w:sz w:val="24"/>
          <w:szCs w:val="24"/>
        </w:rPr>
        <w:t>短期保持高位震荡</w:t>
      </w:r>
      <w:bookmarkEnd w:id="24"/>
    </w:p>
    <w:p w:rsidR="008A11C6" w:rsidRPr="008A11C6" w:rsidRDefault="008A11C6" w:rsidP="008A11C6">
      <w:pPr>
        <w:ind w:leftChars="300" w:left="630"/>
        <w:rPr>
          <w:rFonts w:ascii="楷体" w:eastAsia="楷体" w:hAnsi="楷体" w:hint="eastAsia"/>
          <w:color w:val="000000" w:themeColor="text1"/>
          <w:sz w:val="24"/>
          <w:szCs w:val="24"/>
        </w:rPr>
      </w:pPr>
      <w:r w:rsidRPr="008A11C6">
        <w:rPr>
          <w:rFonts w:ascii="楷体" w:eastAsia="楷体" w:hAnsi="楷体" w:hint="eastAsia"/>
          <w:color w:val="000000" w:themeColor="text1"/>
          <w:sz w:val="24"/>
          <w:szCs w:val="24"/>
        </w:rPr>
        <w:t>(1)宏观：美国四季度GDP终值2.6%，核心PCE再度上修至4.4%，高于预期，2022全年GDP为2.1%；美国上周首次申请失业救济人数超预期回升，三周内首次增长。</w:t>
      </w:r>
    </w:p>
    <w:p w:rsidR="008A11C6" w:rsidRPr="008A11C6" w:rsidRDefault="008A11C6" w:rsidP="008A11C6">
      <w:pPr>
        <w:ind w:leftChars="300" w:left="630"/>
        <w:rPr>
          <w:rFonts w:ascii="楷体" w:eastAsia="楷体" w:hAnsi="楷体" w:hint="eastAsia"/>
          <w:color w:val="000000" w:themeColor="text1"/>
          <w:sz w:val="24"/>
          <w:szCs w:val="24"/>
        </w:rPr>
      </w:pPr>
      <w:r w:rsidRPr="008A11C6">
        <w:rPr>
          <w:rFonts w:ascii="楷体" w:eastAsia="楷体" w:hAnsi="楷体" w:hint="eastAsia"/>
          <w:color w:val="000000" w:themeColor="text1"/>
          <w:sz w:val="24"/>
          <w:szCs w:val="24"/>
        </w:rPr>
        <w:t>(2)产业：2023年3月30日，CSPT召开季度会议，敲定2023年第二季度</w:t>
      </w:r>
      <w:r w:rsidRPr="008A11C6">
        <w:rPr>
          <w:rFonts w:ascii="楷体" w:eastAsia="楷体" w:hAnsi="楷体" w:hint="eastAsia"/>
          <w:color w:val="000000" w:themeColor="text1"/>
          <w:sz w:val="24"/>
          <w:szCs w:val="24"/>
        </w:rPr>
        <w:lastRenderedPageBreak/>
        <w:t>铜精矿现货TC地板价为90美元/干吨。2023年第一季度CSPT现货TC指导价为93美元/干吨。</w:t>
      </w:r>
    </w:p>
    <w:p w:rsidR="008A11C6" w:rsidRPr="008A11C6" w:rsidRDefault="008A11C6" w:rsidP="008A11C6">
      <w:pPr>
        <w:ind w:leftChars="300" w:left="630"/>
        <w:rPr>
          <w:rFonts w:ascii="楷体" w:eastAsia="楷体" w:hAnsi="楷体" w:hint="eastAsia"/>
          <w:color w:val="000000" w:themeColor="text1"/>
          <w:sz w:val="24"/>
          <w:szCs w:val="24"/>
        </w:rPr>
      </w:pPr>
      <w:r w:rsidRPr="008A11C6">
        <w:rPr>
          <w:rFonts w:ascii="楷体" w:eastAsia="楷体" w:hAnsi="楷体" w:hint="eastAsia"/>
          <w:color w:val="000000" w:themeColor="text1"/>
          <w:sz w:val="24"/>
          <w:szCs w:val="24"/>
        </w:rPr>
        <w:t>(3)库存：3月30日，SHFE仓单库存72058吨，减708吨。LME仓单库存69525吨，增1450吨。</w:t>
      </w:r>
    </w:p>
    <w:p w:rsidR="008A11C6" w:rsidRPr="008A11C6" w:rsidRDefault="008A11C6" w:rsidP="008A11C6">
      <w:pPr>
        <w:ind w:leftChars="300" w:left="630"/>
        <w:rPr>
          <w:rFonts w:ascii="楷体" w:eastAsia="楷体" w:hAnsi="楷体" w:hint="eastAsia"/>
          <w:color w:val="000000" w:themeColor="text1"/>
          <w:sz w:val="24"/>
          <w:szCs w:val="24"/>
        </w:rPr>
      </w:pPr>
      <w:r w:rsidRPr="008A11C6">
        <w:rPr>
          <w:rFonts w:ascii="楷体" w:eastAsia="楷体" w:hAnsi="楷体" w:hint="eastAsia"/>
          <w:color w:val="000000" w:themeColor="text1"/>
          <w:sz w:val="24"/>
          <w:szCs w:val="24"/>
        </w:rPr>
        <w:t>(4)精废价差：3月30日，Mysteel精废价差2250，收窄30。目前价差在合理价差1396之上。</w:t>
      </w:r>
    </w:p>
    <w:p w:rsidR="008A11C6" w:rsidRPr="008A11C6" w:rsidRDefault="008A11C6" w:rsidP="008A11C6">
      <w:pPr>
        <w:ind w:leftChars="300" w:left="630"/>
        <w:rPr>
          <w:rFonts w:ascii="楷体" w:eastAsia="楷体" w:hAnsi="楷体"/>
          <w:color w:val="000000" w:themeColor="text1"/>
          <w:sz w:val="24"/>
          <w:szCs w:val="24"/>
        </w:rPr>
      </w:pPr>
    </w:p>
    <w:p w:rsidR="003F56A5" w:rsidRDefault="008A11C6" w:rsidP="008A11C6">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综述：美联储加息接近尾声，市场预期其年底可能降息，美元指数延续弱势，但市场对于欧美银行危机的担忧并未完全消失，风险偏好仍偏谨慎。从基本面来看，进入国内传统的消费旺季，伴随消费的逐渐复苏需求有望提高，目前沪铜月差呈现BACK结构， 库存持续去化，基本面对于铜价支撑变强，短期价格或延续区间震荡偏强运行，价格参考68000-71000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1149922"/>
      <w:r>
        <w:rPr>
          <w:rFonts w:ascii="楷体" w:eastAsia="楷体" w:hAnsi="楷体" w:hint="eastAsia"/>
          <w:b/>
          <w:color w:val="000000" w:themeColor="text1"/>
          <w:sz w:val="24"/>
          <w:szCs w:val="24"/>
        </w:rPr>
        <w:t>铝：</w:t>
      </w:r>
      <w:bookmarkEnd w:id="25"/>
      <w:bookmarkEnd w:id="26"/>
      <w:r w:rsidR="008A11C6" w:rsidRPr="008A11C6">
        <w:rPr>
          <w:rFonts w:ascii="楷体" w:eastAsia="楷体" w:hAnsi="楷体" w:hint="eastAsia"/>
          <w:b/>
          <w:color w:val="000000" w:themeColor="text1"/>
          <w:sz w:val="24"/>
          <w:szCs w:val="24"/>
        </w:rPr>
        <w:t>铝价区间高位震荡，建议逢高可布局空</w:t>
      </w:r>
      <w:bookmarkEnd w:id="27"/>
    </w:p>
    <w:p w:rsidR="003F56A5" w:rsidRDefault="008A11C6" w:rsidP="00CF7A9A">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鲍威尔透露今年或再加息一次，联储加息接近尾声，巴西与中国交易采用本币结算，增强国内市场信心。基本面来看，供应端有海外电价走弱冶炼厂复产，国内电解铝产量下降，前期西南减产影响向外传导，进入3月末尾，西南预期逐步进入丰水逐步增产复产，供应走增对铝价上方形成压力，但云南干旱现状仍未缓解，短期价格仍有支撑，海内外库存拐入去库，国内社会库存快速去库，旺季需求表现坚挺，短期价格运行在18200-18800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1149923"/>
      <w:r>
        <w:rPr>
          <w:rFonts w:ascii="楷体" w:eastAsia="楷体" w:hAnsi="楷体" w:hint="eastAsia"/>
          <w:b/>
          <w:color w:val="000000" w:themeColor="text1"/>
          <w:sz w:val="24"/>
          <w:szCs w:val="24"/>
        </w:rPr>
        <w:t>锌：</w:t>
      </w:r>
      <w:r w:rsidR="00840F4E" w:rsidRPr="00840F4E">
        <w:rPr>
          <w:rFonts w:ascii="楷体" w:eastAsia="楷体" w:hAnsi="楷体" w:hint="eastAsia"/>
          <w:b/>
          <w:color w:val="000000" w:themeColor="text1"/>
          <w:sz w:val="24"/>
          <w:szCs w:val="24"/>
        </w:rPr>
        <w:t>短期负面情绪走弱，现实表现为跌后修复行情</w:t>
      </w:r>
      <w:bookmarkEnd w:id="28"/>
    </w:p>
    <w:p w:rsidR="003F56A5" w:rsidRDefault="00840F4E" w:rsidP="000B0648">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联储加息落地符合市场预期，全球流动性风险仍存但市场恐慌情绪降温。供应端来看，海外冶炼厂复产预期增强，高冶炼利润驱动国内锌厂增产，矿端进口收紧，国产矿供应受限，库存季节性累库高度不及预期，社库库存去库但增速放缓，整体低库结构维持。旺季之下刚性需求仍存，价格多空扰动近期表现跌后修复，建议逢高做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1149924"/>
      <w:r>
        <w:rPr>
          <w:rFonts w:ascii="楷体" w:eastAsia="楷体" w:hAnsi="楷体" w:hint="eastAsia"/>
          <w:b/>
          <w:color w:val="000000" w:themeColor="text1"/>
          <w:sz w:val="24"/>
          <w:szCs w:val="24"/>
        </w:rPr>
        <w:t>镍：</w:t>
      </w:r>
      <w:r w:rsidR="008F229B" w:rsidRPr="008F229B">
        <w:rPr>
          <w:rFonts w:ascii="楷体" w:eastAsia="楷体" w:hAnsi="楷体" w:hint="eastAsia"/>
          <w:b/>
          <w:color w:val="000000" w:themeColor="text1"/>
          <w:sz w:val="24"/>
          <w:szCs w:val="24"/>
        </w:rPr>
        <w:t>价格超跌后有修复驱动，待反弹后空单再介入</w:t>
      </w:r>
      <w:bookmarkEnd w:id="29"/>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宏观风险短期可控，对价格影响偏中性。纯镍供需仍在逐步向过剩推进，中期价格弱势或延续。短期低库存及刚性需求补库支撑，价格超跌后有修复驱动。操作上，建议等待反弹后再做空。上方压力位参考18.6万一线</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1149925"/>
      <w:r>
        <w:rPr>
          <w:rFonts w:ascii="楷体" w:eastAsia="楷体" w:hAnsi="楷体" w:hint="eastAsia"/>
          <w:b/>
          <w:color w:val="000000" w:themeColor="text1"/>
          <w:sz w:val="24"/>
          <w:szCs w:val="24"/>
        </w:rPr>
        <w:t>不锈钢：</w:t>
      </w:r>
      <w:r w:rsidR="008A11C6" w:rsidRPr="008A11C6">
        <w:rPr>
          <w:rFonts w:ascii="楷体" w:eastAsia="楷体" w:hAnsi="楷体" w:hint="eastAsia"/>
          <w:b/>
          <w:color w:val="000000" w:themeColor="text1"/>
          <w:sz w:val="24"/>
          <w:szCs w:val="24"/>
        </w:rPr>
        <w:t>原料价格依旧偏弱，拖累不锈钢价</w:t>
      </w:r>
      <w:bookmarkEnd w:id="30"/>
    </w:p>
    <w:p w:rsidR="003F56A5" w:rsidRDefault="008A11C6">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不锈钢厂利润亏损，库存压力较大，频繁出现有检修减产消息，实际产量或不及排产。原料端镍铁、铬铁价格依旧偏弱，不锈钢成本支撑失效。上周300系库存环比明显下降，但依旧处于历史高位，短期向上驱动有限，预计价格偏弱运行。当前价格操作空间不大，中线等待原料企稳后做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1149926"/>
      <w:r>
        <w:rPr>
          <w:rFonts w:ascii="楷体" w:eastAsia="楷体" w:hAnsi="楷体" w:hint="eastAsia"/>
          <w:b/>
          <w:color w:val="000000" w:themeColor="text1"/>
          <w:sz w:val="24"/>
          <w:szCs w:val="24"/>
        </w:rPr>
        <w:t>工业硅：</w:t>
      </w:r>
      <w:r w:rsidR="008A11C6" w:rsidRPr="008A11C6">
        <w:rPr>
          <w:rFonts w:ascii="楷体" w:eastAsia="楷体" w:hAnsi="楷体" w:hint="eastAsia"/>
          <w:b/>
          <w:sz w:val="24"/>
          <w:szCs w:val="24"/>
        </w:rPr>
        <w:t>有机硅减产计划提上日程，短期市场或弱稳运行</w:t>
      </w:r>
      <w:bookmarkEnd w:id="31"/>
    </w:p>
    <w:p w:rsidR="003F56A5" w:rsidRDefault="008A11C6" w:rsidP="007103A5">
      <w:pPr>
        <w:ind w:leftChars="300" w:left="630"/>
        <w:rPr>
          <w:rFonts w:ascii="楷体" w:eastAsia="楷体" w:hAnsi="楷体"/>
          <w:sz w:val="24"/>
          <w:szCs w:val="24"/>
        </w:rPr>
      </w:pPr>
      <w:r w:rsidRPr="008A11C6">
        <w:rPr>
          <w:rFonts w:ascii="楷体" w:eastAsia="楷体" w:hAnsi="楷体" w:hint="eastAsia"/>
          <w:sz w:val="24"/>
          <w:szCs w:val="24"/>
        </w:rPr>
        <w:t>3月30日，Si2308主力合约整体呈震荡走势，收盘价15730元/吨，较上一收盘价涨跌幅-0.13%。目前下游需求整体偏弱，有机硅市场继续一路下跌，部分单体厂装置开始轮换检修，后续仍有较多减产计划提上日程，对</w:t>
      </w:r>
      <w:r w:rsidRPr="008A11C6">
        <w:rPr>
          <w:rFonts w:ascii="楷体" w:eastAsia="楷体" w:hAnsi="楷体" w:hint="eastAsia"/>
          <w:sz w:val="24"/>
          <w:szCs w:val="24"/>
        </w:rPr>
        <w:lastRenderedPageBreak/>
        <w:t>工业硅需求或有减少，预计短期市场弱稳运行，建议以逢高试空为主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11499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114992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8A11C6" w:rsidRPr="008A11C6">
        <w:rPr>
          <w:rFonts w:ascii="Times New Roman" w:eastAsia="楷体" w:hAnsi="Times New Roman" w:hint="eastAsia"/>
          <w:b/>
          <w:color w:val="000000" w:themeColor="text1"/>
          <w:sz w:val="24"/>
          <w:szCs w:val="24"/>
        </w:rPr>
        <w:t>国内显性库存压力较大</w:t>
      </w:r>
      <w:r w:rsidR="008A11C6" w:rsidRPr="008A11C6">
        <w:rPr>
          <w:rFonts w:ascii="Times New Roman" w:eastAsia="楷体" w:hAnsi="Times New Roman" w:hint="eastAsia"/>
          <w:b/>
          <w:color w:val="000000" w:themeColor="text1"/>
          <w:sz w:val="24"/>
          <w:szCs w:val="24"/>
        </w:rPr>
        <w:t xml:space="preserve"> </w:t>
      </w:r>
      <w:r w:rsidR="008A11C6" w:rsidRPr="008A11C6">
        <w:rPr>
          <w:rFonts w:ascii="Times New Roman" w:eastAsia="楷体" w:hAnsi="Times New Roman" w:hint="eastAsia"/>
          <w:b/>
          <w:color w:val="000000" w:themeColor="text1"/>
          <w:sz w:val="24"/>
          <w:szCs w:val="24"/>
        </w:rPr>
        <w:t>短期</w:t>
      </w:r>
      <w:r w:rsidR="008A11C6" w:rsidRPr="008A11C6">
        <w:rPr>
          <w:rFonts w:ascii="Times New Roman" w:eastAsia="楷体" w:hAnsi="Times New Roman" w:hint="eastAsia"/>
          <w:b/>
          <w:color w:val="000000" w:themeColor="text1"/>
          <w:sz w:val="24"/>
          <w:szCs w:val="24"/>
        </w:rPr>
        <w:t>RU</w:t>
      </w:r>
      <w:r w:rsidR="008A11C6" w:rsidRPr="008A11C6">
        <w:rPr>
          <w:rFonts w:ascii="Times New Roman" w:eastAsia="楷体" w:hAnsi="Times New Roman" w:hint="eastAsia"/>
          <w:b/>
          <w:color w:val="000000" w:themeColor="text1"/>
          <w:sz w:val="24"/>
          <w:szCs w:val="24"/>
        </w:rPr>
        <w:t>继续上涨稍显乏力</w:t>
      </w:r>
      <w:bookmarkEnd w:id="34"/>
    </w:p>
    <w:p w:rsidR="003F56A5" w:rsidRDefault="008A11C6">
      <w:pPr>
        <w:ind w:leftChars="300" w:left="630"/>
        <w:rPr>
          <w:rFonts w:ascii="楷体" w:eastAsia="楷体" w:hAnsi="楷体"/>
          <w:sz w:val="24"/>
          <w:szCs w:val="24"/>
        </w:rPr>
      </w:pPr>
      <w:r w:rsidRPr="008A11C6">
        <w:rPr>
          <w:rFonts w:ascii="楷体" w:eastAsia="楷体" w:hAnsi="楷体" w:hint="eastAsia"/>
          <w:sz w:val="24"/>
          <w:szCs w:val="24"/>
        </w:rPr>
        <w:t>点评：近期橡胶窄幅震荡。目前制约橡胶上行的主要因素，与青岛港口库存高位持续累库的问题没有得到抑制有关。尽管橡胶下游轮胎企业开工尚处高位，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停产期，原料端整体产出收缩，近期原料价格小幅上行，对胶价支撑尚可。下游轮胎方面，国内乘用车轮胎替换需求来临，目前部分畅销型号缺货现象仍未缓解，排产将保持高位运行状态。但进入4月份，随着渠道订单逐步到位，工厂出货节奏将有所放缓。预计短期内企业产能利用率将继续高位运行，但继续提升空间有限。终端汽车方面，2月车市景气度有所提升。近期湖北等地发布政企联合汽车“价格战”，叠加前期疫情抑制的终端消费需求还在持续释放中，预计3月汽车市场延续增长态势，短期对橡胶有足够支撑；重卡销量方面，2月预计为7.72万辆，同环比提升明显，主销车型为运输类，基建和工程用车有待发力，在国内宏观经济氛围转好，商品运输需求增加、基建开工提升下，重卡仍有上行空间。综合来看，后续橡胶能否飞跃取决于新能源汽车补贴退坡以及燃油汽车购置税减半即将结束后汽车消费的表现，以及基建和地产端对商用车的提振效果。只有等天胶港口库存出现明显下滑，才能印证橡胶实际需求的转好。从RU目前基本面来看，目前天胶在成本支撑下底部较为坚实，终端汽车、重卡产销景气度有所回升，同时下游轮胎厂在订单存缺口下对原料的补货预期仍存。此外，制造业PMI再创新高后商品公路货运行业亦出现转好迹象，利好橡胶主要下游如重卡轮胎替换和重型卡车的销量。因此投资者不应过分看空橡胶。预计短期天然橡胶市场在港口持续累库问题未得到解决而继续上涨稍显乏力，运行震荡偏强预期。中长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114992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A11C6" w:rsidRPr="008A11C6">
        <w:rPr>
          <w:rFonts w:ascii="楷体" w:eastAsia="楷体" w:hAnsi="楷体" w:hint="eastAsia"/>
          <w:b/>
          <w:color w:val="000000" w:themeColor="text1"/>
          <w:sz w:val="24"/>
          <w:szCs w:val="24"/>
        </w:rPr>
        <w:t>供需格局强势维持 谨慎追高</w:t>
      </w:r>
      <w:bookmarkEnd w:id="35"/>
      <w:r>
        <w:rPr>
          <w:rFonts w:ascii="楷体" w:eastAsia="楷体" w:hAnsi="楷体" w:hint="eastAsia"/>
          <w:b/>
          <w:color w:val="000000" w:themeColor="text1"/>
          <w:sz w:val="24"/>
          <w:szCs w:val="24"/>
        </w:rPr>
        <w:t xml:space="preserve"> </w:t>
      </w:r>
    </w:p>
    <w:p w:rsidR="003F56A5" w:rsidRDefault="008A11C6" w:rsidP="008E3B84">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供给方面，虹港250万吨重启，仪征64万吨，英力士125万吨，亚东75万吨停车检修，海南逸盛，东营威联降负，新材料负荷小幅提升，至周四PTA负荷调整至79.8%附近（-0.3%）附近。PTA加工费方面已经修复至500元/吨附近，短期内PTA生产企业仍可根据盘面利润调整供应过剩的现实。库存方面，本周PTA社会库存量约在274.58万吨，环比-1.00万吨。需求方面，本周聚酯整套装置变动不多，但江阴一短纤工厂减产600吨开始执行，此外其他局部装置负荷有所调整。截至本周四，初步核算国内大陆地区聚酯负荷在90.4%，聚酯开工高位维持。预估3月底之前仍可维持高开工，但随着新订单减少，4月份后负荷逐步会有下行压力。从聚酯终端需</w:t>
      </w:r>
      <w:r w:rsidRPr="008A11C6">
        <w:rPr>
          <w:rFonts w:ascii="楷体" w:eastAsia="楷体" w:hAnsi="楷体" w:hint="eastAsia"/>
          <w:color w:val="000000" w:themeColor="text1"/>
          <w:sz w:val="24"/>
          <w:szCs w:val="24"/>
        </w:rPr>
        <w:lastRenderedPageBreak/>
        <w:t>求来看，本周江浙终端开工率局部下降，织造新单氛围继续走弱。但近期终端补库节奏仍在，对聚酯需求支撑仍存。展望后市，二季度PX装置检修较多，4、5月份调油需求又起，二季度PX供应仍偏紧，成本端支撑仍存。短期内原料端和供应端的紧缺还将持续，且聚酯终端减产负反馈暂未出现，至少在4月前TA供需暂无累库压力，供需强势的格局或仍将持续。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1149930"/>
      <w:r>
        <w:rPr>
          <w:rFonts w:ascii="楷体" w:eastAsia="楷体" w:hAnsi="楷体" w:hint="eastAsia"/>
          <w:b/>
          <w:color w:val="000000" w:themeColor="text1"/>
          <w:sz w:val="24"/>
          <w:szCs w:val="24"/>
        </w:rPr>
        <w:t>PVC：</w:t>
      </w:r>
      <w:r w:rsidR="008A11C6" w:rsidRPr="008A11C6">
        <w:rPr>
          <w:rFonts w:ascii="楷体" w:eastAsia="楷体" w:hAnsi="楷体" w:hint="eastAsia"/>
          <w:b/>
          <w:color w:val="000000" w:themeColor="text1"/>
          <w:sz w:val="24"/>
          <w:szCs w:val="24"/>
        </w:rPr>
        <w:t>春检在即供需改善 关注V低多机会</w:t>
      </w:r>
      <w:bookmarkEnd w:id="36"/>
    </w:p>
    <w:p w:rsidR="003F56A5" w:rsidRDefault="008A11C6">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本周国内PVC行业开工负荷率继续下降，周内有三家新增检修企业，另外上周检修的企业多数顺延到本周。据卓创资讯数据显示，本周PVC整体开工负荷率75.83%，环比下降1.31%；其中电石法PVC开工负荷率73.02%，环比下降1.74%；乙烯法PVC开工负荷率85.42%，环比增加0.12%。华东及华南样本仓库总库存44.59万吨，较上一期减少1.83%。综合来看，PVC原料成本支撑增强，电石价格继续上涨。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1149931"/>
      <w:r>
        <w:rPr>
          <w:rFonts w:ascii="楷体" w:eastAsia="楷体" w:hAnsi="楷体" w:hint="eastAsia"/>
          <w:b/>
          <w:color w:val="000000" w:themeColor="text1"/>
          <w:sz w:val="24"/>
          <w:szCs w:val="24"/>
        </w:rPr>
        <w:t>聚烯烃：</w:t>
      </w:r>
      <w:r w:rsidR="008A11C6" w:rsidRPr="008A11C6">
        <w:rPr>
          <w:rFonts w:ascii="楷体" w:eastAsia="楷体" w:hAnsi="楷体" w:hint="eastAsia"/>
          <w:b/>
          <w:color w:val="000000" w:themeColor="text1"/>
          <w:sz w:val="24"/>
          <w:szCs w:val="24"/>
        </w:rPr>
        <w:t>基本面变化不大下，聚烯烃难有明显起色</w:t>
      </w:r>
      <w:bookmarkEnd w:id="37"/>
    </w:p>
    <w:p w:rsidR="003F56A5" w:rsidRDefault="008A11C6">
      <w:pPr>
        <w:ind w:leftChars="300" w:left="630"/>
        <w:rPr>
          <w:rFonts w:ascii="楷体" w:eastAsia="楷体" w:hAnsi="楷体"/>
          <w:bCs/>
          <w:sz w:val="24"/>
          <w:szCs w:val="24"/>
        </w:rPr>
      </w:pPr>
      <w:r w:rsidRPr="008A11C6">
        <w:rPr>
          <w:rFonts w:ascii="楷体" w:eastAsia="楷体" w:hAnsi="楷体" w:hint="eastAsia"/>
          <w:color w:val="000000" w:themeColor="text1"/>
          <w:sz w:val="24"/>
          <w:szCs w:val="24"/>
        </w:rPr>
        <w:t>近期聚烯烃窄幅整理为主。库存方面，上周五国内PE库存环比3月17日下降2.81%，其中主要生产环节PE库存环比下降6.48%，PE样本港口库存环比下降1.45%，样本贸易企业库存环比增加3.29%。上周五国内PP库存环比3月17日下降7.09%。其中主要生产环节PP库存、港口库存，贸易环节库存均有下降。短期聚烯烃去库节奏偏一般。成本方面，全球供应趋紧，美国原油库存持续下降，中国及美国经济前景好转提振需求预期，欧美原油期货创3月中旬以来新高，目前油制PE利润大约为-37.79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旬。综合来看，PE方面，原油成本端走势回暖，对聚乙烯支撑力度尚可；供应方面，近期国内生产装置检修减少，供应端压力小幅回升；需求方面，临近月末商家多已完成销售任务，市场交投氛围不强，终端逢低采购为主。预计今日聚乙烯价格窄幅震荡为主。PP方面，国际油价上涨，成本端支撑明显。高速扩能背景下，检修损失量低位，供应端持续承压。下游工厂开工不及往年，拿货以刚需为主，需求端仍偏弱，短期内聚丙烯市场延续供过于求格局，难有明显起色</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1149932"/>
      <w:r>
        <w:rPr>
          <w:rFonts w:ascii="楷体" w:eastAsia="楷体" w:hAnsi="楷体" w:hint="eastAsia"/>
          <w:b/>
          <w:color w:val="000000" w:themeColor="text1"/>
          <w:sz w:val="24"/>
          <w:szCs w:val="24"/>
        </w:rPr>
        <w:t>MEG：</w:t>
      </w:r>
      <w:r w:rsidR="008A11C6" w:rsidRPr="008A11C6">
        <w:rPr>
          <w:rFonts w:ascii="楷体" w:eastAsia="楷体" w:hAnsi="楷体" w:hint="eastAsia"/>
          <w:b/>
          <w:color w:val="000000" w:themeColor="text1"/>
          <w:sz w:val="24"/>
          <w:szCs w:val="24"/>
        </w:rPr>
        <w:t>05维持4000-4200区间操作</w:t>
      </w:r>
      <w:bookmarkEnd w:id="38"/>
    </w:p>
    <w:p w:rsidR="003F56A5" w:rsidRDefault="008A11C6" w:rsidP="00E45000">
      <w:pPr>
        <w:ind w:leftChars="300" w:left="630"/>
        <w:rPr>
          <w:rFonts w:ascii="楷体" w:eastAsia="楷体" w:hAnsi="楷体"/>
          <w:bCs/>
          <w:sz w:val="24"/>
          <w:szCs w:val="24"/>
        </w:rPr>
      </w:pPr>
      <w:r w:rsidRPr="008A11C6">
        <w:rPr>
          <w:rFonts w:ascii="楷体" w:eastAsia="楷体" w:hAnsi="楷体" w:hint="eastAsia"/>
          <w:color w:val="000000" w:themeColor="text1"/>
          <w:sz w:val="24"/>
          <w:szCs w:val="24"/>
        </w:rPr>
        <w:t>供需情况，3.27华东主港地区MEG港口库存约110.4万吨附近，环比上期增加0.1万吨。截至3月30日，中国大陆地区乙二醇整体开工负荷在60.43%（+0.75%），其中煤制乙二醇开工负荷在54.44%（+0.77%） 。进口方面来</w:t>
      </w:r>
      <w:r w:rsidRPr="008A11C6">
        <w:rPr>
          <w:rFonts w:ascii="楷体" w:eastAsia="楷体" w:hAnsi="楷体" w:hint="eastAsia"/>
          <w:color w:val="000000" w:themeColor="text1"/>
          <w:sz w:val="24"/>
          <w:szCs w:val="24"/>
        </w:rPr>
        <w:lastRenderedPageBreak/>
        <w:t>看，随着北美、中东乙二醇装置负荷的提升，后期进口量趋势增加，乙二醇进口供应压力增加。聚酯需求端来看，截止3.30初步核算国内大陆地区聚酯负荷在90.4%。本周江浙终端开工率局部下降，织造新单氛围不佳。江浙加弹综合开工率84%(-3%)，江浙织机综合开工率71%(-3%），江浙印染综合开工率81%（-1%），江浙终端工厂原料备货谨慎，华南终端开工率继续小幅下滑。综合来看，供应端关注4月份恒力石化、海南炼化停车检修进行情况，短期来看供应边际有缩量预期。05合约预估维持4000-4200区间走势，关注后期EG 09低位加多机会。仅供参考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114993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114993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8A11C6" w:rsidRPr="008A11C6">
        <w:rPr>
          <w:rFonts w:ascii="楷体" w:eastAsia="楷体" w:hAnsi="楷体" w:hint="eastAsia"/>
          <w:b/>
          <w:sz w:val="24"/>
          <w:szCs w:val="24"/>
        </w:rPr>
        <w:t>短期震荡整理，但偏空趋势未变</w:t>
      </w:r>
      <w:bookmarkEnd w:id="40"/>
    </w:p>
    <w:p w:rsidR="003F56A5" w:rsidRDefault="008A11C6">
      <w:pPr>
        <w:ind w:leftChars="300" w:left="630"/>
        <w:rPr>
          <w:rFonts w:ascii="楷体" w:eastAsia="楷体" w:hAnsi="楷体"/>
          <w:sz w:val="24"/>
          <w:szCs w:val="24"/>
        </w:rPr>
      </w:pPr>
      <w:r w:rsidRPr="008A11C6">
        <w:rPr>
          <w:rFonts w:ascii="楷体" w:eastAsia="楷体" w:hAnsi="楷体" w:hint="eastAsia"/>
          <w:sz w:val="24"/>
          <w:szCs w:val="24"/>
        </w:rPr>
        <w:t>本周五将公布种植意向报告，报告前夕市场资金较谨慎，市场平均预期种植面积为8824.2万英亩，高于去年8745万英亩，大豆季度库存预计下降，关注预期与实际数据差异。巴西大豆方面，收割及出口进度加快，而库容有限，农户销售意愿较强，后续供应压力预计会逐步释放，截止到3月23日，巴西各港口大豆对华排船计划总量为690.8万吨，较上一期增加11.3万吨。国内市场，近期进口大豆还未大量到港，在供应减少及下游需求偏弱下油厂开机维持低位，但4月份后进口大豆供应预计大幅增加，根据机构预估4月份预计到港960万吨，后续到港压力逐步凸显。下游养殖利润表现仍不佳，饲企和养殖企业等对豆粕饲用需求减弱，物理库存较低，提货较慢随用随采为主，现货价易跌难涨，带动基差持续走弱。菜粕供应端在进口菜籽持续增加下逐步修复，油厂开机及压榨明显回升。而需求方面在豆粕价格逐渐回落下菜粕替代需求逐渐减弱。在近期天气影响下，水产养殖尚未启动，关注后期华南水产需求情况。策略方面，关注巴西大豆到港节奏，随着巴西收割加快卖压也将逐步显现，整体趋势偏空，建议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1149935"/>
      <w:r>
        <w:rPr>
          <w:rFonts w:ascii="楷体" w:eastAsia="楷体" w:hAnsi="楷体" w:hint="eastAsia"/>
          <w:b/>
          <w:color w:val="000000" w:themeColor="text1"/>
          <w:sz w:val="24"/>
          <w:szCs w:val="24"/>
        </w:rPr>
        <w:t>油脂：</w:t>
      </w:r>
      <w:r w:rsidR="008A11C6" w:rsidRPr="008A11C6">
        <w:rPr>
          <w:rFonts w:ascii="楷体" w:eastAsia="楷体" w:hAnsi="楷体" w:hint="eastAsia"/>
          <w:b/>
          <w:sz w:val="24"/>
          <w:szCs w:val="24"/>
        </w:rPr>
        <w:t>短期反弹，呈现近强远弱</w:t>
      </w:r>
      <w:bookmarkEnd w:id="41"/>
    </w:p>
    <w:p w:rsidR="003F56A5" w:rsidRDefault="008A11C6" w:rsidP="00792D31">
      <w:pPr>
        <w:ind w:leftChars="300" w:left="630"/>
        <w:rPr>
          <w:rFonts w:ascii="楷体" w:eastAsia="楷体" w:hAnsi="楷体"/>
          <w:sz w:val="24"/>
          <w:szCs w:val="24"/>
        </w:rPr>
      </w:pPr>
      <w:r w:rsidRPr="008A11C6">
        <w:rPr>
          <w:rFonts w:ascii="楷体" w:eastAsia="楷体" w:hAnsi="楷体" w:hint="eastAsia"/>
          <w:sz w:val="24"/>
          <w:szCs w:val="24"/>
        </w:rPr>
        <w:t>在宏观情绪企稳下，近期油脂呈现阶段性反弹，市场回归基本面，但产业方面仍缺乏利好支撑。棕榈油方面，马棕3月份产量仍受降雨扰动，但四月后将进入增产周期；需求方面，受印尼出口收紧及斋月备货提振3月出口环比跳增。但随着开斋节临近备货预计进入尾声，但3月库存预估降至200万吨附近。据船运机构显示，3月1-25日期间马来西亚棕榈油出口量较上月同期增长11.4%到19.8%。国内棕榈油供应较充裕，库存在100万吨附近的高位，但在近期进口利润持续倒挂下，二季度进口需求预计下滑，远月尚未买船。在气温逐渐回暖下，餐饮需求预计逐渐好转，但棕榈油去库仍待观望。豆油，随着天气回暖，在豆棕价差利好棕榈油替代需求下，近期下游成交较清淡，且近期价格跌幅较大，市场持观望心态。近期油厂开机回落，压榨下滑。豆油周度库存小幅回落，处于历史低位水平，但随着后续进口大豆大量供应，豆油供应存边际修复预期，有望累库。菜油在供应边际改善及需求偏弱下，上方压力仍存。随着进口加籽到港量逐步增加，菜籽库存维持高位，1-2月累计进口菜籽106万吨，且近期菜籽到港</w:t>
      </w:r>
      <w:r w:rsidRPr="008A11C6">
        <w:rPr>
          <w:rFonts w:ascii="楷体" w:eastAsia="楷体" w:hAnsi="楷体" w:hint="eastAsia"/>
          <w:sz w:val="24"/>
          <w:szCs w:val="24"/>
        </w:rPr>
        <w:lastRenderedPageBreak/>
        <w:t>预计仍维持偏高水平。油厂开机回升，叠加进口菜油增加，菜油库存在需求疲软下逐步修复。短期基本面仍缺乏有效利好支撑，上方空间预计有限，建议短线操作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1149936"/>
      <w:r>
        <w:rPr>
          <w:rFonts w:ascii="楷体" w:eastAsia="楷体" w:hAnsi="楷体" w:hint="eastAsia"/>
          <w:b/>
          <w:bCs/>
          <w:color w:val="000000" w:themeColor="text1"/>
        </w:rPr>
        <w:t>玉米与淀粉：</w:t>
      </w:r>
      <w:r w:rsidR="008A11C6" w:rsidRPr="008A11C6">
        <w:rPr>
          <w:rFonts w:ascii="楷体" w:eastAsia="楷体" w:hAnsi="楷体" w:hint="eastAsia"/>
          <w:b/>
        </w:rPr>
        <w:t>淀粉-玉米价差大幅收窄</w:t>
      </w:r>
      <w:bookmarkEnd w:id="42"/>
    </w:p>
    <w:p w:rsidR="008A11C6" w:rsidRPr="008A11C6" w:rsidRDefault="008A11C6" w:rsidP="008A11C6">
      <w:pPr>
        <w:pStyle w:val="paragraph"/>
        <w:spacing w:before="60" w:after="60"/>
        <w:ind w:leftChars="300" w:left="630"/>
        <w:rPr>
          <w:rFonts w:ascii="楷体" w:eastAsia="楷体" w:hAnsi="楷体" w:hint="eastAsia"/>
        </w:rPr>
      </w:pPr>
      <w:r w:rsidRPr="008A11C6">
        <w:rPr>
          <w:rFonts w:ascii="楷体" w:eastAsia="楷体" w:hAnsi="楷体" w:hint="eastAsia"/>
        </w:rPr>
        <w:t>对于玉米而言，在前期报告中指出，随着北方港口库存的回升，深加工企业玉米库存的持续累积，倾向于认为玉米市场的风险正在积聚，接下来需要特别留意供应端的潜在冲击，包括小麦饲用替代和陈化水稻投放两个方面。近期玉米期价表现符合我们之前预期，主要源于小麦饲用替代的担忧，在这种情况下，短期重点关注小麦现货价格走势。综上所述，我们维持谨慎看空观点，建议持有前期空单（如有的话）。</w:t>
      </w:r>
    </w:p>
    <w:p w:rsidR="003F56A5" w:rsidRDefault="008A11C6" w:rsidP="008A11C6">
      <w:pPr>
        <w:pStyle w:val="paragraph"/>
        <w:spacing w:before="60" w:beforeAutospacing="0" w:after="60" w:afterAutospacing="0"/>
        <w:ind w:leftChars="300" w:left="630"/>
        <w:rPr>
          <w:rFonts w:ascii="楷体" w:eastAsia="楷体" w:hAnsi="楷体"/>
        </w:rPr>
      </w:pPr>
      <w:r w:rsidRPr="008A11C6">
        <w:rPr>
          <w:rFonts w:ascii="楷体" w:eastAsia="楷体" w:hAnsi="楷体" w:hint="eastAsia"/>
        </w:rPr>
        <w:t>对于淀粉而言，近期淀粉-玉米价差整体回落，主要源于成本端的风险，特别是华北产区玉米收购价受到小麦的冲击，另一个担忧则是价格下跌预期抑制短期需求。但考虑到副产品价格持续下跌，淀粉期现货生产持续亏损有望通过行业开机率抑制供应，而需求总体有望恢复，行业供需有望区域改善，这会抑制淀粉-玉米价差收窄的空间</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1149937"/>
      <w:r>
        <w:rPr>
          <w:rFonts w:ascii="楷体" w:eastAsia="楷体" w:hAnsi="楷体" w:hint="eastAsia"/>
          <w:b/>
          <w:bCs/>
          <w:color w:val="000000" w:themeColor="text1"/>
        </w:rPr>
        <w:t>畜禽养殖：</w:t>
      </w:r>
      <w:r w:rsidR="008A11C6" w:rsidRPr="008A11C6">
        <w:rPr>
          <w:rFonts w:ascii="楷体" w:eastAsia="楷体" w:hAnsi="楷体" w:hint="eastAsia"/>
          <w:b/>
          <w:bCs/>
          <w:color w:val="000000" w:themeColor="text1"/>
        </w:rPr>
        <w:t>期价震荡分化</w:t>
      </w:r>
      <w:bookmarkEnd w:id="43"/>
    </w:p>
    <w:p w:rsidR="008A11C6" w:rsidRPr="008A11C6" w:rsidRDefault="008A11C6" w:rsidP="008A11C6">
      <w:pPr>
        <w:pStyle w:val="paragraph"/>
        <w:spacing w:before="60" w:after="60"/>
        <w:ind w:leftChars="300" w:left="630"/>
        <w:rPr>
          <w:rFonts w:ascii="楷体" w:eastAsia="楷体" w:hAnsi="楷体" w:hint="eastAsia"/>
        </w:rPr>
      </w:pPr>
      <w:r w:rsidRPr="008A11C6">
        <w:rPr>
          <w:rFonts w:ascii="楷体" w:eastAsia="楷体" w:hAnsi="楷体" w:hint="eastAsia"/>
        </w:rPr>
        <w:t>对于生猪而言，生猪期现货价格节后在国家收储消息的带动下大幅反弹，随后由于现货缺乏持续上涨动力，市场预期逐步弱化，期价升水持续下降，期价再度下跌至前期低点一线。在这种情况下，需要反思现货弱势的原因，从供应层面来看，规模企业2月生猪出栏环比增加，出栏体重和宰后均重均显著高于去年同期，或表明节前集中供应仍有待释放；从需求端看，考虑到蛋禽和肉禽价格均处于历史同期高位，表明其需求端总体较疫情前有所恢复，与上述两者相比，可能区别在于节前生猪供应释放以熏腊制品方式延迟至节后消费，抑制了节后生猪的需求。也就是说，节后以来很可能还处在消化节前集中供应的阶段，当前不确定性在于这一阶段延续多长时间。对于期价而言，考虑到目前生猪养殖利润依然深度亏损，继续下跌将导致国家再次收储，这将抑制期价下方空间，所以我们更倾向于建议等待现货反弹带来的做多机会。参考去年来看，3月下旬是一个重要的观测时间点。我们暂持中性观点，建议投资者暂以观望为宜，等待现货反弹带来的做多机会。</w:t>
      </w:r>
    </w:p>
    <w:p w:rsidR="003F56A5" w:rsidRDefault="008A11C6" w:rsidP="008A11C6">
      <w:pPr>
        <w:pStyle w:val="paragraph"/>
        <w:spacing w:before="60" w:beforeAutospacing="0" w:after="60" w:afterAutospacing="0"/>
        <w:ind w:leftChars="300" w:left="630"/>
        <w:rPr>
          <w:rFonts w:ascii="楷体" w:eastAsia="楷体" w:hAnsi="楷体"/>
        </w:rPr>
      </w:pPr>
      <w:r w:rsidRPr="008A11C6">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w:t>
      </w:r>
      <w:r w:rsidRPr="008A11C6">
        <w:rPr>
          <w:rFonts w:ascii="楷体" w:eastAsia="楷体" w:hAnsi="楷体" w:hint="eastAsia"/>
        </w:rPr>
        <w:lastRenderedPageBreak/>
        <w:t>量环比大增，有望改善远期供需，带动远月-近月价差大幅收窄，5-9价差已处于历史同期高位。在这种情况下，我们维持谨慎看多观点，考虑到目前鸡蛋主力合约期价与主产区现货均价大幅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1149938"/>
      <w:r>
        <w:rPr>
          <w:rFonts w:ascii="楷体" w:eastAsia="楷体" w:hAnsi="楷体" w:hint="eastAsia"/>
          <w:b/>
          <w:sz w:val="24"/>
          <w:szCs w:val="24"/>
        </w:rPr>
        <w:t>郑棉：</w:t>
      </w:r>
      <w:r w:rsidR="008A11C6" w:rsidRPr="008A11C6">
        <w:rPr>
          <w:rFonts w:ascii="楷体" w:eastAsia="楷体" w:hAnsi="楷体" w:hint="eastAsia"/>
          <w:b/>
          <w:sz w:val="24"/>
          <w:szCs w:val="24"/>
        </w:rPr>
        <w:t>郑棉震荡整理。宽跨式期权卖权持有</w:t>
      </w:r>
      <w:bookmarkEnd w:id="44"/>
    </w:p>
    <w:p w:rsidR="003F56A5" w:rsidRDefault="008A11C6">
      <w:pPr>
        <w:ind w:leftChars="300" w:left="630"/>
        <w:rPr>
          <w:rFonts w:ascii="楷体" w:eastAsia="楷体" w:hAnsi="楷体"/>
          <w:sz w:val="24"/>
          <w:szCs w:val="24"/>
        </w:rPr>
      </w:pPr>
      <w:r w:rsidRPr="008A11C6">
        <w:rPr>
          <w:rFonts w:ascii="楷体" w:eastAsia="楷体" w:hAnsi="楷体" w:hint="eastAsia"/>
          <w:sz w:val="24"/>
          <w:szCs w:val="24"/>
        </w:rPr>
        <w:t>由于棉花的种植收益远低于其他农作物，且本年度棉花目标价格补贴未出，加上本年度新疆有部分棉花种地被要求转为种植粮食，种植面积和往年比起来减幅较大。后续天气因素也是市场关注的焦点，天气影响也以利好居多。棉价重心有望小幅上移，重回1.4-1.45元/吨区间。但因现货供应充沛，市场对后期订单的持续性也存疑，短期棉价难以出现趋势性大涨。美棉最新出口数据出炉，数据偏多。据美国农业部（USDA），3.17-3.23日一周美国2022/23年度陆地棉净签约63798吨（含签约64682吨，取消前期签约885吨），较前一周减少9%，较近四周平均增加37%。装运陆地棉77338吨，较前一周增加25%，较近四周平均增加31%</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8C" w:rsidRDefault="00F3728C">
      <w:r>
        <w:separator/>
      </w:r>
    </w:p>
  </w:endnote>
  <w:endnote w:type="continuationSeparator" w:id="0">
    <w:p w:rsidR="00F3728C" w:rsidRDefault="00F3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91282F7" wp14:editId="063728B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1013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1013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8C" w:rsidRDefault="00F3728C">
      <w:r>
        <w:separator/>
      </w:r>
    </w:p>
  </w:footnote>
  <w:footnote w:type="continuationSeparator" w:id="0">
    <w:p w:rsidR="00F3728C" w:rsidRDefault="00F37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2BD0B63A" wp14:editId="00EB972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D225B90" wp14:editId="7A1F5DA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10135">
      <w:rPr>
        <w:rFonts w:ascii="Times New Roman" w:eastAsia="楷体" w:hAnsi="Times New Roman" w:hint="eastAsia"/>
        <w:b/>
        <w:bCs/>
        <w:noProof/>
        <w:color w:val="833C0B"/>
        <w:sz w:val="21"/>
      </w:rPr>
      <w:t>2023</w:t>
    </w:r>
    <w:r w:rsidR="00B10135">
      <w:rPr>
        <w:rFonts w:ascii="Times New Roman" w:eastAsia="楷体" w:hAnsi="Times New Roman" w:hint="eastAsia"/>
        <w:b/>
        <w:bCs/>
        <w:noProof/>
        <w:color w:val="833C0B"/>
        <w:sz w:val="21"/>
      </w:rPr>
      <w:t>年</w:t>
    </w:r>
    <w:r w:rsidR="00B10135">
      <w:rPr>
        <w:rFonts w:ascii="Times New Roman" w:eastAsia="楷体" w:hAnsi="Times New Roman" w:hint="eastAsia"/>
        <w:b/>
        <w:bCs/>
        <w:noProof/>
        <w:color w:val="833C0B"/>
        <w:sz w:val="21"/>
      </w:rPr>
      <w:t>3</w:t>
    </w:r>
    <w:r w:rsidR="00B10135">
      <w:rPr>
        <w:rFonts w:ascii="Times New Roman" w:eastAsia="楷体" w:hAnsi="Times New Roman" w:hint="eastAsia"/>
        <w:b/>
        <w:bCs/>
        <w:noProof/>
        <w:color w:val="833C0B"/>
        <w:sz w:val="21"/>
      </w:rPr>
      <w:t>月</w:t>
    </w:r>
    <w:r w:rsidR="00B10135">
      <w:rPr>
        <w:rFonts w:ascii="Times New Roman" w:eastAsia="楷体" w:hAnsi="Times New Roman" w:hint="eastAsia"/>
        <w:b/>
        <w:bCs/>
        <w:noProof/>
        <w:color w:val="833C0B"/>
        <w:sz w:val="21"/>
      </w:rPr>
      <w:t>31</w:t>
    </w:r>
    <w:r w:rsidR="00B10135">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0E4EEB"/>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44CA3"/>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40F4E"/>
    <w:rsid w:val="00867CA5"/>
    <w:rsid w:val="00873ECE"/>
    <w:rsid w:val="008740D4"/>
    <w:rsid w:val="0087785E"/>
    <w:rsid w:val="008A11C6"/>
    <w:rsid w:val="008A1D22"/>
    <w:rsid w:val="008B361D"/>
    <w:rsid w:val="008C1554"/>
    <w:rsid w:val="008E2B15"/>
    <w:rsid w:val="008E33F3"/>
    <w:rsid w:val="008E3B84"/>
    <w:rsid w:val="008F229B"/>
    <w:rsid w:val="00906E0C"/>
    <w:rsid w:val="00907943"/>
    <w:rsid w:val="00916E97"/>
    <w:rsid w:val="009316EC"/>
    <w:rsid w:val="009317CD"/>
    <w:rsid w:val="00934728"/>
    <w:rsid w:val="009644D9"/>
    <w:rsid w:val="0097131C"/>
    <w:rsid w:val="009870E4"/>
    <w:rsid w:val="009A12FA"/>
    <w:rsid w:val="009B534D"/>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2031B"/>
    <w:rsid w:val="00C2080D"/>
    <w:rsid w:val="00C228D6"/>
    <w:rsid w:val="00C240C3"/>
    <w:rsid w:val="00C25562"/>
    <w:rsid w:val="00C43DDB"/>
    <w:rsid w:val="00C575E9"/>
    <w:rsid w:val="00C62202"/>
    <w:rsid w:val="00C6240E"/>
    <w:rsid w:val="00C66C6C"/>
    <w:rsid w:val="00C70FDD"/>
    <w:rsid w:val="00C82E4D"/>
    <w:rsid w:val="00C91234"/>
    <w:rsid w:val="00CB1F18"/>
    <w:rsid w:val="00CB2FD2"/>
    <w:rsid w:val="00CB3015"/>
    <w:rsid w:val="00CC3E40"/>
    <w:rsid w:val="00CC3FFA"/>
    <w:rsid w:val="00CD5884"/>
    <w:rsid w:val="00CD5DE8"/>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B22"/>
    <w:rsid w:val="00E64502"/>
    <w:rsid w:val="00E80EDB"/>
    <w:rsid w:val="00E847DF"/>
    <w:rsid w:val="00E928BB"/>
    <w:rsid w:val="00EA28CA"/>
    <w:rsid w:val="00EB56F2"/>
    <w:rsid w:val="00ED451D"/>
    <w:rsid w:val="00F07C02"/>
    <w:rsid w:val="00F157C6"/>
    <w:rsid w:val="00F234BF"/>
    <w:rsid w:val="00F268B3"/>
    <w:rsid w:val="00F31CCA"/>
    <w:rsid w:val="00F3728C"/>
    <w:rsid w:val="00F43E0E"/>
    <w:rsid w:val="00F473F0"/>
    <w:rsid w:val="00F622ED"/>
    <w:rsid w:val="00F65EEA"/>
    <w:rsid w:val="00F776D3"/>
    <w:rsid w:val="00F95209"/>
    <w:rsid w:val="00FB3956"/>
    <w:rsid w:val="00FC0F8B"/>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D1865-8F9F-461D-9E85-D66BA0BE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9</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72</cp:revision>
  <cp:lastPrinted>2023-03-31T02:11:00Z</cp:lastPrinted>
  <dcterms:created xsi:type="dcterms:W3CDTF">2022-11-15T10:06:00Z</dcterms:created>
  <dcterms:modified xsi:type="dcterms:W3CDTF">2023-03-31T02:11:00Z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