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B534D"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0546186" w:history="1">
            <w:r w:rsidR="009B534D" w:rsidRPr="00214756">
              <w:rPr>
                <w:rStyle w:val="a7"/>
                <w:rFonts w:ascii="Times New Roman" w:eastAsia="楷体" w:hAnsi="Times New Roman"/>
                <w:b/>
                <w:noProof/>
              </w:rPr>
              <w:t>[</w:t>
            </w:r>
            <w:r w:rsidR="009B534D" w:rsidRPr="00214756">
              <w:rPr>
                <w:rStyle w:val="a7"/>
                <w:rFonts w:ascii="Times New Roman" w:eastAsia="楷体" w:hAnsi="Times New Roman"/>
                <w:b/>
                <w:noProof/>
              </w:rPr>
              <w:t>金融</w:t>
            </w:r>
            <w:r w:rsidR="009B534D" w:rsidRPr="00214756">
              <w:rPr>
                <w:rStyle w:val="a7"/>
                <w:rFonts w:ascii="Times New Roman" w:eastAsia="楷体" w:hAnsi="Times New Roman"/>
                <w:b/>
                <w:noProof/>
              </w:rPr>
              <w:t>]</w:t>
            </w:r>
          </w:hyperlink>
          <w:bookmarkStart w:id="0" w:name="_GoBack"/>
          <w:bookmarkEnd w:id="0"/>
        </w:p>
        <w:p w:rsidR="009B534D" w:rsidRDefault="009B534D">
          <w:pPr>
            <w:pStyle w:val="2"/>
            <w:tabs>
              <w:tab w:val="right" w:leader="dot" w:pos="8296"/>
            </w:tabs>
            <w:rPr>
              <w:rFonts w:eastAsiaTheme="minorEastAsia"/>
              <w:noProof/>
              <w:szCs w:val="22"/>
            </w:rPr>
          </w:pPr>
          <w:hyperlink w:anchor="_Toc130546187" w:history="1">
            <w:r w:rsidRPr="00214756">
              <w:rPr>
                <w:rStyle w:val="a7"/>
                <w:rFonts w:ascii="Times New Roman" w:eastAsia="楷体" w:hAnsi="Times New Roman"/>
                <w:b/>
                <w:noProof/>
              </w:rPr>
              <w:t>股指：</w:t>
            </w:r>
            <w:r w:rsidRPr="00214756">
              <w:rPr>
                <w:rStyle w:val="a7"/>
                <w:rFonts w:ascii="Times New Roman" w:eastAsia="楷体" w:hAnsi="Times New Roman"/>
                <w:b/>
                <w:noProof/>
              </w:rPr>
              <w:t>IH</w:t>
            </w:r>
            <w:r w:rsidRPr="00214756">
              <w:rPr>
                <w:rStyle w:val="a7"/>
                <w:rFonts w:ascii="Times New Roman" w:eastAsia="楷体" w:hAnsi="Times New Roman"/>
                <w:b/>
                <w:noProof/>
              </w:rPr>
              <w:t>多单持有</w:t>
            </w:r>
          </w:hyperlink>
        </w:p>
        <w:p w:rsidR="009B534D" w:rsidRDefault="009B534D">
          <w:pPr>
            <w:pStyle w:val="11"/>
            <w:tabs>
              <w:tab w:val="right" w:leader="dot" w:pos="8296"/>
            </w:tabs>
            <w:rPr>
              <w:rFonts w:eastAsiaTheme="minorEastAsia"/>
              <w:noProof/>
              <w:szCs w:val="22"/>
            </w:rPr>
          </w:pPr>
          <w:hyperlink w:anchor="_Toc130546188" w:history="1">
            <w:r w:rsidRPr="00214756">
              <w:rPr>
                <w:rStyle w:val="a7"/>
                <w:rFonts w:ascii="Times New Roman" w:eastAsia="楷体" w:hAnsi="Times New Roman"/>
                <w:b/>
                <w:noProof/>
              </w:rPr>
              <w:t>[</w:t>
            </w:r>
            <w:r w:rsidRPr="00214756">
              <w:rPr>
                <w:rStyle w:val="a7"/>
                <w:rFonts w:ascii="Times New Roman" w:eastAsia="楷体" w:hAnsi="Times New Roman"/>
                <w:b/>
                <w:noProof/>
              </w:rPr>
              <w:t>贵金属</w:t>
            </w:r>
            <w:r w:rsidRPr="00214756">
              <w:rPr>
                <w:rStyle w:val="a7"/>
                <w:rFonts w:ascii="Times New Roman" w:eastAsia="楷体" w:hAnsi="Times New Roman"/>
                <w:b/>
                <w:noProof/>
              </w:rPr>
              <w:t>]</w:t>
            </w:r>
          </w:hyperlink>
        </w:p>
        <w:p w:rsidR="009B534D" w:rsidRDefault="009B534D">
          <w:pPr>
            <w:pStyle w:val="2"/>
            <w:tabs>
              <w:tab w:val="right" w:leader="dot" w:pos="8296"/>
            </w:tabs>
            <w:rPr>
              <w:rFonts w:eastAsiaTheme="minorEastAsia"/>
              <w:noProof/>
              <w:szCs w:val="22"/>
            </w:rPr>
          </w:pPr>
          <w:hyperlink w:anchor="_Toc130546189" w:history="1">
            <w:r w:rsidRPr="00214756">
              <w:rPr>
                <w:rStyle w:val="a7"/>
                <w:rFonts w:ascii="Times New Roman" w:eastAsia="楷体" w:hAnsi="Times New Roman"/>
                <w:b/>
                <w:noProof/>
              </w:rPr>
              <w:t>贵金属：美国初请失业金人数下滑，银价高位震荡</w:t>
            </w:r>
          </w:hyperlink>
        </w:p>
        <w:p w:rsidR="009B534D" w:rsidRDefault="009B534D">
          <w:pPr>
            <w:pStyle w:val="11"/>
            <w:tabs>
              <w:tab w:val="right" w:leader="dot" w:pos="8296"/>
            </w:tabs>
            <w:rPr>
              <w:rFonts w:eastAsiaTheme="minorEastAsia"/>
              <w:noProof/>
              <w:szCs w:val="22"/>
            </w:rPr>
          </w:pPr>
          <w:hyperlink w:anchor="_Toc130546190" w:history="1">
            <w:r w:rsidRPr="00214756">
              <w:rPr>
                <w:rStyle w:val="a7"/>
                <w:rFonts w:ascii="Times New Roman" w:eastAsia="楷体" w:hAnsi="Times New Roman"/>
                <w:b/>
                <w:noProof/>
              </w:rPr>
              <w:t>[</w:t>
            </w:r>
            <w:r w:rsidRPr="00214756">
              <w:rPr>
                <w:rStyle w:val="a7"/>
                <w:rFonts w:ascii="Times New Roman" w:eastAsia="楷体" w:hAnsi="Times New Roman"/>
                <w:b/>
                <w:noProof/>
              </w:rPr>
              <w:t>金属</w:t>
            </w:r>
            <w:r w:rsidRPr="00214756">
              <w:rPr>
                <w:rStyle w:val="a7"/>
                <w:rFonts w:ascii="Times New Roman" w:eastAsia="楷体" w:hAnsi="Times New Roman"/>
                <w:b/>
                <w:noProof/>
              </w:rPr>
              <w:t>]</w:t>
            </w:r>
          </w:hyperlink>
        </w:p>
        <w:p w:rsidR="009B534D" w:rsidRDefault="009B534D">
          <w:pPr>
            <w:pStyle w:val="2"/>
            <w:tabs>
              <w:tab w:val="right" w:leader="dot" w:pos="8296"/>
            </w:tabs>
            <w:rPr>
              <w:rFonts w:eastAsiaTheme="minorEastAsia"/>
              <w:noProof/>
              <w:szCs w:val="22"/>
            </w:rPr>
          </w:pPr>
          <w:hyperlink w:anchor="_Toc130546191" w:history="1">
            <w:r w:rsidRPr="00214756">
              <w:rPr>
                <w:rStyle w:val="a7"/>
                <w:rFonts w:ascii="楷体" w:eastAsia="楷体" w:hAnsi="楷体"/>
                <w:b/>
                <w:noProof/>
              </w:rPr>
              <w:t>螺纹钢：短暂企稳，等待现实跟进</w:t>
            </w:r>
          </w:hyperlink>
        </w:p>
        <w:p w:rsidR="009B534D" w:rsidRDefault="009B534D">
          <w:pPr>
            <w:pStyle w:val="2"/>
            <w:tabs>
              <w:tab w:val="right" w:leader="dot" w:pos="8296"/>
            </w:tabs>
            <w:rPr>
              <w:rFonts w:eastAsiaTheme="minorEastAsia"/>
              <w:noProof/>
              <w:szCs w:val="22"/>
            </w:rPr>
          </w:pPr>
          <w:hyperlink w:anchor="_Toc130546192" w:history="1">
            <w:r w:rsidRPr="00214756">
              <w:rPr>
                <w:rStyle w:val="a7"/>
                <w:rFonts w:ascii="楷体" w:eastAsia="楷体" w:hAnsi="楷体"/>
                <w:b/>
                <w:noProof/>
              </w:rPr>
              <w:t>焦炭：震荡等待成材确认方向</w:t>
            </w:r>
          </w:hyperlink>
        </w:p>
        <w:p w:rsidR="009B534D" w:rsidRDefault="009B534D">
          <w:pPr>
            <w:pStyle w:val="2"/>
            <w:tabs>
              <w:tab w:val="right" w:leader="dot" w:pos="8296"/>
            </w:tabs>
            <w:rPr>
              <w:rFonts w:eastAsiaTheme="minorEastAsia"/>
              <w:noProof/>
              <w:szCs w:val="22"/>
            </w:rPr>
          </w:pPr>
          <w:hyperlink w:anchor="_Toc130546193" w:history="1">
            <w:r w:rsidRPr="00214756">
              <w:rPr>
                <w:rStyle w:val="a7"/>
                <w:rFonts w:ascii="楷体" w:eastAsia="楷体" w:hAnsi="楷体"/>
                <w:b/>
                <w:noProof/>
              </w:rPr>
              <w:t>焦煤：偏弱运行，震荡等待新驱动</w:t>
            </w:r>
          </w:hyperlink>
        </w:p>
        <w:p w:rsidR="009B534D" w:rsidRDefault="009B534D">
          <w:pPr>
            <w:pStyle w:val="2"/>
            <w:tabs>
              <w:tab w:val="right" w:leader="dot" w:pos="8296"/>
            </w:tabs>
            <w:rPr>
              <w:rFonts w:eastAsiaTheme="minorEastAsia"/>
              <w:noProof/>
              <w:szCs w:val="22"/>
            </w:rPr>
          </w:pPr>
          <w:hyperlink w:anchor="_Toc130546194" w:history="1">
            <w:r w:rsidRPr="00214756">
              <w:rPr>
                <w:rStyle w:val="a7"/>
                <w:rFonts w:ascii="楷体" w:eastAsia="楷体" w:hAnsi="楷体"/>
                <w:b/>
                <w:noProof/>
              </w:rPr>
              <w:t>铜：重回高位震荡区间</w:t>
            </w:r>
          </w:hyperlink>
        </w:p>
        <w:p w:rsidR="009B534D" w:rsidRDefault="009B534D">
          <w:pPr>
            <w:pStyle w:val="2"/>
            <w:tabs>
              <w:tab w:val="right" w:leader="dot" w:pos="8296"/>
            </w:tabs>
            <w:rPr>
              <w:rFonts w:eastAsiaTheme="minorEastAsia"/>
              <w:noProof/>
              <w:szCs w:val="22"/>
            </w:rPr>
          </w:pPr>
          <w:hyperlink w:anchor="_Toc130546195" w:history="1">
            <w:r w:rsidRPr="00214756">
              <w:rPr>
                <w:rStyle w:val="a7"/>
                <w:rFonts w:ascii="楷体" w:eastAsia="楷体" w:hAnsi="楷体"/>
                <w:b/>
                <w:noProof/>
              </w:rPr>
              <w:t>铝：宏观情绪压力走缓，铝价仍有支撑</w:t>
            </w:r>
          </w:hyperlink>
        </w:p>
        <w:p w:rsidR="009B534D" w:rsidRDefault="009B534D">
          <w:pPr>
            <w:pStyle w:val="2"/>
            <w:tabs>
              <w:tab w:val="right" w:leader="dot" w:pos="8296"/>
            </w:tabs>
            <w:rPr>
              <w:rFonts w:eastAsiaTheme="minorEastAsia"/>
              <w:noProof/>
              <w:szCs w:val="22"/>
            </w:rPr>
          </w:pPr>
          <w:hyperlink w:anchor="_Toc130546196" w:history="1">
            <w:r w:rsidRPr="00214756">
              <w:rPr>
                <w:rStyle w:val="a7"/>
                <w:rFonts w:ascii="楷体" w:eastAsia="楷体" w:hAnsi="楷体"/>
                <w:b/>
                <w:noProof/>
              </w:rPr>
              <w:t>锌：供走强需弱现实，市场情绪缓解短期或有小幅反弹动作</w:t>
            </w:r>
          </w:hyperlink>
        </w:p>
        <w:p w:rsidR="009B534D" w:rsidRDefault="009B534D">
          <w:pPr>
            <w:pStyle w:val="2"/>
            <w:tabs>
              <w:tab w:val="right" w:leader="dot" w:pos="8296"/>
            </w:tabs>
            <w:rPr>
              <w:rFonts w:eastAsiaTheme="minorEastAsia"/>
              <w:noProof/>
              <w:szCs w:val="22"/>
            </w:rPr>
          </w:pPr>
          <w:hyperlink w:anchor="_Toc130546197" w:history="1">
            <w:r w:rsidRPr="00214756">
              <w:rPr>
                <w:rStyle w:val="a7"/>
                <w:rFonts w:ascii="楷体" w:eastAsia="楷体" w:hAnsi="楷体"/>
                <w:b/>
                <w:noProof/>
              </w:rPr>
              <w:t>镍：宏微观利空共振，镍价延续跌势</w:t>
            </w:r>
          </w:hyperlink>
        </w:p>
        <w:p w:rsidR="009B534D" w:rsidRDefault="009B534D">
          <w:pPr>
            <w:pStyle w:val="2"/>
            <w:tabs>
              <w:tab w:val="right" w:leader="dot" w:pos="8296"/>
            </w:tabs>
            <w:rPr>
              <w:rFonts w:eastAsiaTheme="minorEastAsia"/>
              <w:noProof/>
              <w:szCs w:val="22"/>
            </w:rPr>
          </w:pPr>
          <w:hyperlink w:anchor="_Toc130546198" w:history="1">
            <w:r w:rsidRPr="00214756">
              <w:rPr>
                <w:rStyle w:val="a7"/>
                <w:rFonts w:ascii="楷体" w:eastAsia="楷体" w:hAnsi="楷体"/>
                <w:b/>
                <w:noProof/>
              </w:rPr>
              <w:t>不锈钢：原料价格继续下移形成拖累，短期震荡为主</w:t>
            </w:r>
          </w:hyperlink>
        </w:p>
        <w:p w:rsidR="009B534D" w:rsidRDefault="009B534D">
          <w:pPr>
            <w:pStyle w:val="2"/>
            <w:tabs>
              <w:tab w:val="right" w:leader="dot" w:pos="8296"/>
            </w:tabs>
            <w:rPr>
              <w:rFonts w:eastAsiaTheme="minorEastAsia"/>
              <w:noProof/>
              <w:szCs w:val="22"/>
            </w:rPr>
          </w:pPr>
          <w:hyperlink w:anchor="_Toc130546199" w:history="1">
            <w:r w:rsidRPr="00214756">
              <w:rPr>
                <w:rStyle w:val="a7"/>
                <w:rFonts w:ascii="楷体" w:eastAsia="楷体" w:hAnsi="楷体"/>
                <w:b/>
                <w:noProof/>
              </w:rPr>
              <w:t>工业硅：需求仍旧偏弱，建议等待反弹继续把握做空机会</w:t>
            </w:r>
          </w:hyperlink>
        </w:p>
        <w:p w:rsidR="009B534D" w:rsidRDefault="009B534D">
          <w:pPr>
            <w:pStyle w:val="11"/>
            <w:tabs>
              <w:tab w:val="right" w:leader="dot" w:pos="8296"/>
            </w:tabs>
            <w:rPr>
              <w:rFonts w:eastAsiaTheme="minorEastAsia"/>
              <w:noProof/>
              <w:szCs w:val="22"/>
            </w:rPr>
          </w:pPr>
          <w:hyperlink w:anchor="_Toc130546200" w:history="1">
            <w:r w:rsidRPr="00214756">
              <w:rPr>
                <w:rStyle w:val="a7"/>
                <w:rFonts w:ascii="Times New Roman" w:eastAsia="楷体" w:hAnsi="Times New Roman"/>
                <w:b/>
                <w:noProof/>
              </w:rPr>
              <w:t>[</w:t>
            </w:r>
            <w:r w:rsidRPr="00214756">
              <w:rPr>
                <w:rStyle w:val="a7"/>
                <w:rFonts w:ascii="Times New Roman" w:eastAsia="楷体" w:hAnsi="Times New Roman"/>
                <w:b/>
                <w:noProof/>
              </w:rPr>
              <w:t>化工</w:t>
            </w:r>
            <w:r w:rsidRPr="00214756">
              <w:rPr>
                <w:rStyle w:val="a7"/>
                <w:rFonts w:ascii="Times New Roman" w:eastAsia="楷体" w:hAnsi="Times New Roman"/>
                <w:b/>
                <w:noProof/>
              </w:rPr>
              <w:t>]</w:t>
            </w:r>
          </w:hyperlink>
        </w:p>
        <w:p w:rsidR="009B534D" w:rsidRDefault="009B534D">
          <w:pPr>
            <w:pStyle w:val="2"/>
            <w:tabs>
              <w:tab w:val="right" w:leader="dot" w:pos="8296"/>
            </w:tabs>
            <w:rPr>
              <w:rFonts w:eastAsiaTheme="minorEastAsia"/>
              <w:noProof/>
              <w:szCs w:val="22"/>
            </w:rPr>
          </w:pPr>
          <w:hyperlink w:anchor="_Toc130546201" w:history="1">
            <w:r w:rsidRPr="00214756">
              <w:rPr>
                <w:rStyle w:val="a7"/>
                <w:rFonts w:ascii="Times New Roman" w:eastAsia="楷体" w:hAnsi="Times New Roman"/>
                <w:b/>
                <w:noProof/>
              </w:rPr>
              <w:t>天然橡胶</w:t>
            </w:r>
            <w:r w:rsidRPr="00214756">
              <w:rPr>
                <w:rStyle w:val="a7"/>
                <w:rFonts w:ascii="Times New Roman" w:eastAsia="楷体" w:hAnsi="Times New Roman"/>
                <w:b/>
                <w:noProof/>
              </w:rPr>
              <w:t>:</w:t>
            </w:r>
            <w:r w:rsidRPr="00214756">
              <w:rPr>
                <w:rStyle w:val="a7"/>
                <w:noProof/>
              </w:rPr>
              <w:t xml:space="preserve"> </w:t>
            </w:r>
            <w:r w:rsidRPr="00214756">
              <w:rPr>
                <w:rStyle w:val="a7"/>
                <w:rFonts w:ascii="Times New Roman" w:eastAsia="楷体" w:hAnsi="Times New Roman"/>
                <w:b/>
                <w:noProof/>
              </w:rPr>
              <w:t>RU</w:t>
            </w:r>
            <w:r w:rsidRPr="00214756">
              <w:rPr>
                <w:rStyle w:val="a7"/>
                <w:rFonts w:ascii="Times New Roman" w:eastAsia="楷体" w:hAnsi="Times New Roman"/>
                <w:b/>
                <w:noProof/>
              </w:rPr>
              <w:t>价格持稳</w:t>
            </w:r>
            <w:r w:rsidRPr="00214756">
              <w:rPr>
                <w:rStyle w:val="a7"/>
                <w:rFonts w:ascii="Times New Roman" w:eastAsia="楷体" w:hAnsi="Times New Roman"/>
                <w:b/>
                <w:noProof/>
              </w:rPr>
              <w:t xml:space="preserve"> </w:t>
            </w:r>
            <w:r w:rsidRPr="00214756">
              <w:rPr>
                <w:rStyle w:val="a7"/>
                <w:rFonts w:ascii="Times New Roman" w:eastAsia="楷体" w:hAnsi="Times New Roman"/>
                <w:b/>
                <w:noProof/>
              </w:rPr>
              <w:t>短期不排除触底反弹可能</w:t>
            </w:r>
          </w:hyperlink>
        </w:p>
        <w:p w:rsidR="009B534D" w:rsidRDefault="009B534D">
          <w:pPr>
            <w:pStyle w:val="2"/>
            <w:tabs>
              <w:tab w:val="right" w:leader="dot" w:pos="8296"/>
            </w:tabs>
            <w:rPr>
              <w:rFonts w:eastAsiaTheme="minorEastAsia"/>
              <w:noProof/>
              <w:szCs w:val="22"/>
            </w:rPr>
          </w:pPr>
          <w:hyperlink w:anchor="_Toc130546202" w:history="1">
            <w:r w:rsidRPr="00214756">
              <w:rPr>
                <w:rStyle w:val="a7"/>
                <w:rFonts w:ascii="楷体" w:eastAsia="楷体" w:hAnsi="楷体"/>
                <w:b/>
                <w:noProof/>
              </w:rPr>
              <w:t>PTA：维持去库 支撑仍存</w:t>
            </w:r>
          </w:hyperlink>
        </w:p>
        <w:p w:rsidR="009B534D" w:rsidRDefault="009B534D">
          <w:pPr>
            <w:pStyle w:val="2"/>
            <w:tabs>
              <w:tab w:val="right" w:leader="dot" w:pos="8296"/>
            </w:tabs>
            <w:rPr>
              <w:rFonts w:eastAsiaTheme="minorEastAsia"/>
              <w:noProof/>
              <w:szCs w:val="22"/>
            </w:rPr>
          </w:pPr>
          <w:hyperlink w:anchor="_Toc130546203" w:history="1">
            <w:r w:rsidRPr="00214756">
              <w:rPr>
                <w:rStyle w:val="a7"/>
                <w:rFonts w:ascii="楷体" w:eastAsia="楷体" w:hAnsi="楷体"/>
                <w:b/>
                <w:noProof/>
              </w:rPr>
              <w:t>PVC：成本端化工煤减产及消费回暖预期提振 关注V企稳后低多机会</w:t>
            </w:r>
          </w:hyperlink>
        </w:p>
        <w:p w:rsidR="009B534D" w:rsidRDefault="009B534D">
          <w:pPr>
            <w:pStyle w:val="2"/>
            <w:tabs>
              <w:tab w:val="right" w:leader="dot" w:pos="8296"/>
            </w:tabs>
            <w:rPr>
              <w:rFonts w:eastAsiaTheme="minorEastAsia"/>
              <w:noProof/>
              <w:szCs w:val="22"/>
            </w:rPr>
          </w:pPr>
          <w:hyperlink w:anchor="_Toc130546204" w:history="1">
            <w:r w:rsidRPr="00214756">
              <w:rPr>
                <w:rStyle w:val="a7"/>
                <w:rFonts w:ascii="楷体" w:eastAsia="楷体" w:hAnsi="楷体"/>
                <w:b/>
                <w:noProof/>
              </w:rPr>
              <w:t>聚烯烃：终端需求不及预期，聚烯烃延续窄幅波动为主</w:t>
            </w:r>
          </w:hyperlink>
        </w:p>
        <w:p w:rsidR="009B534D" w:rsidRDefault="009B534D">
          <w:pPr>
            <w:pStyle w:val="2"/>
            <w:tabs>
              <w:tab w:val="right" w:leader="dot" w:pos="8296"/>
            </w:tabs>
            <w:rPr>
              <w:rFonts w:eastAsiaTheme="minorEastAsia"/>
              <w:noProof/>
              <w:szCs w:val="22"/>
            </w:rPr>
          </w:pPr>
          <w:hyperlink w:anchor="_Toc130546205" w:history="1">
            <w:r w:rsidRPr="00214756">
              <w:rPr>
                <w:rStyle w:val="a7"/>
                <w:rFonts w:ascii="楷体" w:eastAsia="楷体" w:hAnsi="楷体"/>
                <w:b/>
                <w:noProof/>
              </w:rPr>
              <w:t>MEG：05弱势难改</w:t>
            </w:r>
          </w:hyperlink>
        </w:p>
        <w:p w:rsidR="009B534D" w:rsidRDefault="009B534D">
          <w:pPr>
            <w:pStyle w:val="11"/>
            <w:tabs>
              <w:tab w:val="right" w:leader="dot" w:pos="8296"/>
            </w:tabs>
            <w:rPr>
              <w:rFonts w:eastAsiaTheme="minorEastAsia"/>
              <w:noProof/>
              <w:szCs w:val="22"/>
            </w:rPr>
          </w:pPr>
          <w:hyperlink w:anchor="_Toc130546206" w:history="1">
            <w:r w:rsidRPr="00214756">
              <w:rPr>
                <w:rStyle w:val="a7"/>
                <w:rFonts w:ascii="Times New Roman" w:eastAsia="楷体" w:hAnsi="Times New Roman"/>
                <w:b/>
                <w:noProof/>
              </w:rPr>
              <w:t>[</w:t>
            </w:r>
            <w:r w:rsidRPr="00214756">
              <w:rPr>
                <w:rStyle w:val="a7"/>
                <w:rFonts w:ascii="Times New Roman" w:eastAsia="楷体" w:hAnsi="Times New Roman"/>
                <w:b/>
                <w:noProof/>
              </w:rPr>
              <w:t>农产品</w:t>
            </w:r>
            <w:r w:rsidRPr="00214756">
              <w:rPr>
                <w:rStyle w:val="a7"/>
                <w:rFonts w:ascii="Times New Roman" w:eastAsia="楷体" w:hAnsi="Times New Roman"/>
                <w:b/>
                <w:noProof/>
              </w:rPr>
              <w:t>]</w:t>
            </w:r>
          </w:hyperlink>
        </w:p>
        <w:p w:rsidR="009B534D" w:rsidRDefault="009B534D">
          <w:pPr>
            <w:pStyle w:val="2"/>
            <w:tabs>
              <w:tab w:val="right" w:leader="dot" w:pos="8296"/>
            </w:tabs>
            <w:rPr>
              <w:rFonts w:eastAsiaTheme="minorEastAsia"/>
              <w:noProof/>
              <w:szCs w:val="22"/>
            </w:rPr>
          </w:pPr>
          <w:hyperlink w:anchor="_Toc130546207" w:history="1">
            <w:r w:rsidRPr="00214756">
              <w:rPr>
                <w:rStyle w:val="a7"/>
                <w:rFonts w:ascii="楷体" w:eastAsia="楷体" w:hAnsi="楷体"/>
                <w:b/>
                <w:noProof/>
              </w:rPr>
              <w:t>豆粕/菜粕：阶段性供应压力，走势偏弱</w:t>
            </w:r>
          </w:hyperlink>
        </w:p>
        <w:p w:rsidR="009B534D" w:rsidRDefault="009B534D">
          <w:pPr>
            <w:pStyle w:val="2"/>
            <w:tabs>
              <w:tab w:val="right" w:leader="dot" w:pos="8296"/>
            </w:tabs>
            <w:rPr>
              <w:rFonts w:eastAsiaTheme="minorEastAsia"/>
              <w:noProof/>
              <w:szCs w:val="22"/>
            </w:rPr>
          </w:pPr>
          <w:hyperlink w:anchor="_Toc130546208" w:history="1">
            <w:r w:rsidRPr="00214756">
              <w:rPr>
                <w:rStyle w:val="a7"/>
                <w:rFonts w:ascii="楷体" w:eastAsia="楷体" w:hAnsi="楷体"/>
                <w:b/>
                <w:noProof/>
              </w:rPr>
              <w:t>油脂：延续偏弱走势</w:t>
            </w:r>
          </w:hyperlink>
        </w:p>
        <w:p w:rsidR="009B534D" w:rsidRDefault="009B534D">
          <w:pPr>
            <w:pStyle w:val="2"/>
            <w:tabs>
              <w:tab w:val="right" w:leader="dot" w:pos="8296"/>
            </w:tabs>
            <w:rPr>
              <w:rFonts w:eastAsiaTheme="minorEastAsia"/>
              <w:noProof/>
              <w:szCs w:val="22"/>
            </w:rPr>
          </w:pPr>
          <w:hyperlink w:anchor="_Toc130546209" w:history="1">
            <w:r w:rsidRPr="00214756">
              <w:rPr>
                <w:rStyle w:val="a7"/>
                <w:rFonts w:ascii="楷体" w:eastAsia="楷体" w:hAnsi="楷体"/>
                <w:b/>
                <w:bCs/>
                <w:noProof/>
              </w:rPr>
              <w:t>玉米与淀粉：</w:t>
            </w:r>
            <w:r w:rsidRPr="00214756">
              <w:rPr>
                <w:rStyle w:val="a7"/>
                <w:rFonts w:ascii="楷体" w:eastAsia="楷体" w:hAnsi="楷体"/>
                <w:b/>
                <w:noProof/>
              </w:rPr>
              <w:t>价差小幅反弹</w:t>
            </w:r>
          </w:hyperlink>
        </w:p>
        <w:p w:rsidR="009B534D" w:rsidRDefault="009B534D">
          <w:pPr>
            <w:pStyle w:val="2"/>
            <w:tabs>
              <w:tab w:val="right" w:leader="dot" w:pos="8296"/>
            </w:tabs>
            <w:rPr>
              <w:rFonts w:eastAsiaTheme="minorEastAsia"/>
              <w:noProof/>
              <w:szCs w:val="22"/>
            </w:rPr>
          </w:pPr>
          <w:hyperlink w:anchor="_Toc130546210" w:history="1">
            <w:r w:rsidRPr="00214756">
              <w:rPr>
                <w:rStyle w:val="a7"/>
                <w:rFonts w:ascii="楷体" w:eastAsia="楷体" w:hAnsi="楷体"/>
                <w:b/>
                <w:bCs/>
                <w:noProof/>
              </w:rPr>
              <w:t>畜禽养殖：期价震荡等待现货上涨</w:t>
            </w:r>
          </w:hyperlink>
        </w:p>
        <w:p w:rsidR="009B534D" w:rsidRDefault="009B534D">
          <w:pPr>
            <w:pStyle w:val="2"/>
            <w:tabs>
              <w:tab w:val="right" w:leader="dot" w:pos="8296"/>
            </w:tabs>
            <w:rPr>
              <w:rFonts w:eastAsiaTheme="minorEastAsia"/>
              <w:noProof/>
              <w:szCs w:val="22"/>
            </w:rPr>
          </w:pPr>
          <w:hyperlink w:anchor="_Toc130546211" w:history="1">
            <w:r w:rsidRPr="00214756">
              <w:rPr>
                <w:rStyle w:val="a7"/>
                <w:rFonts w:ascii="楷体" w:eastAsia="楷体" w:hAnsi="楷体"/>
                <w:b/>
                <w:noProof/>
              </w:rPr>
              <w:t>郑棉：郑棉围绕1.4万震荡。宽跨式期权卖权持有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054618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0546187"/>
      <w:bookmarkEnd w:id="3"/>
      <w:r>
        <w:rPr>
          <w:rFonts w:ascii="Times New Roman" w:eastAsia="楷体" w:hAnsi="Times New Roman" w:hint="eastAsia"/>
          <w:b/>
          <w:color w:val="000000" w:themeColor="text1"/>
          <w:sz w:val="24"/>
          <w:szCs w:val="24"/>
        </w:rPr>
        <w:t>股指：</w:t>
      </w:r>
      <w:bookmarkEnd w:id="5"/>
      <w:bookmarkEnd w:id="6"/>
      <w:r w:rsidR="009B534D" w:rsidRPr="009B534D">
        <w:rPr>
          <w:rFonts w:ascii="Times New Roman" w:eastAsia="楷体" w:hAnsi="Times New Roman" w:hint="eastAsia"/>
          <w:b/>
          <w:color w:val="000000" w:themeColor="text1"/>
          <w:sz w:val="24"/>
          <w:szCs w:val="24"/>
        </w:rPr>
        <w:t>IH</w:t>
      </w:r>
      <w:r w:rsidR="009B534D" w:rsidRPr="009B534D">
        <w:rPr>
          <w:rFonts w:ascii="Times New Roman" w:eastAsia="楷体" w:hAnsi="Times New Roman" w:hint="eastAsia"/>
          <w:b/>
          <w:color w:val="000000" w:themeColor="text1"/>
          <w:sz w:val="24"/>
          <w:szCs w:val="24"/>
        </w:rPr>
        <w:t>多单持有</w:t>
      </w:r>
      <w:bookmarkEnd w:id="7"/>
    </w:p>
    <w:p w:rsidR="003F56A5" w:rsidRDefault="009B534D">
      <w:pPr>
        <w:ind w:leftChars="300" w:left="630"/>
        <w:rPr>
          <w:rFonts w:ascii="Times New Roman" w:eastAsia="楷体" w:hAnsi="Times New Roman"/>
          <w:color w:val="000000" w:themeColor="text1"/>
          <w:sz w:val="24"/>
          <w:szCs w:val="24"/>
        </w:rPr>
      </w:pPr>
      <w:r w:rsidRPr="009B534D">
        <w:rPr>
          <w:rFonts w:ascii="Times New Roman" w:eastAsia="楷体" w:hAnsi="Times New Roman" w:hint="eastAsia"/>
          <w:color w:val="000000" w:themeColor="text1"/>
          <w:sz w:val="24"/>
          <w:szCs w:val="24"/>
        </w:rPr>
        <w:t>外围不确定性下降，银行风险暂时可控，短期风险偏好修复。美联储加息周期没有确认结束，但在衰退及金融风险双重压力下或已经临近尾端，后续市场交易逻辑或逐渐回归基本面验证。若“国内弱复苏</w:t>
      </w:r>
      <w:r w:rsidRPr="009B534D">
        <w:rPr>
          <w:rFonts w:ascii="Times New Roman" w:eastAsia="楷体" w:hAnsi="Times New Roman" w:hint="eastAsia"/>
          <w:color w:val="000000" w:themeColor="text1"/>
          <w:sz w:val="24"/>
          <w:szCs w:val="24"/>
        </w:rPr>
        <w:t>+</w:t>
      </w:r>
      <w:r w:rsidRPr="009B534D">
        <w:rPr>
          <w:rFonts w:ascii="Times New Roman" w:eastAsia="楷体" w:hAnsi="Times New Roman" w:hint="eastAsia"/>
          <w:color w:val="000000" w:themeColor="text1"/>
          <w:sz w:val="24"/>
          <w:szCs w:val="24"/>
        </w:rPr>
        <w:t>海外渐衰退</w:t>
      </w:r>
      <w:r w:rsidRPr="009B534D">
        <w:rPr>
          <w:rFonts w:ascii="Times New Roman" w:eastAsia="楷体" w:hAnsi="Times New Roman" w:hint="eastAsia"/>
          <w:color w:val="000000" w:themeColor="text1"/>
          <w:sz w:val="24"/>
          <w:szCs w:val="24"/>
        </w:rPr>
        <w:t>(</w:t>
      </w:r>
      <w:r w:rsidRPr="009B534D">
        <w:rPr>
          <w:rFonts w:ascii="Times New Roman" w:eastAsia="楷体" w:hAnsi="Times New Roman" w:hint="eastAsia"/>
          <w:color w:val="000000" w:themeColor="text1"/>
          <w:sz w:val="24"/>
          <w:szCs w:val="24"/>
        </w:rPr>
        <w:t>弱美元</w:t>
      </w:r>
      <w:r w:rsidRPr="009B534D">
        <w:rPr>
          <w:rFonts w:ascii="Times New Roman" w:eastAsia="楷体" w:hAnsi="Times New Roman" w:hint="eastAsia"/>
          <w:color w:val="000000" w:themeColor="text1"/>
          <w:sz w:val="24"/>
          <w:szCs w:val="24"/>
        </w:rPr>
        <w:t>)</w:t>
      </w:r>
      <w:r w:rsidRPr="009B534D">
        <w:rPr>
          <w:rFonts w:ascii="Times New Roman" w:eastAsia="楷体" w:hAnsi="Times New Roman" w:hint="eastAsia"/>
          <w:color w:val="000000" w:themeColor="text1"/>
          <w:sz w:val="24"/>
          <w:szCs w:val="24"/>
        </w:rPr>
        <w:t>”组合成立，顺周期成长或更优，地产链价值仍有空间，短期震荡或渐入布局良机，建议低多</w:t>
      </w:r>
      <w:r w:rsidRPr="009B534D">
        <w:rPr>
          <w:rFonts w:ascii="Times New Roman" w:eastAsia="楷体" w:hAnsi="Times New Roman" w:hint="eastAsia"/>
          <w:color w:val="000000" w:themeColor="text1"/>
          <w:sz w:val="24"/>
          <w:szCs w:val="24"/>
        </w:rPr>
        <w:t>IH</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054618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0546189"/>
      <w:r>
        <w:rPr>
          <w:rFonts w:ascii="Times New Roman" w:eastAsia="楷体" w:hAnsi="Times New Roman" w:hint="eastAsia"/>
          <w:b/>
          <w:color w:val="000000" w:themeColor="text1"/>
          <w:sz w:val="24"/>
          <w:szCs w:val="24"/>
        </w:rPr>
        <w:t>贵金属：</w:t>
      </w:r>
      <w:r w:rsidR="009B534D" w:rsidRPr="009B534D">
        <w:rPr>
          <w:rFonts w:ascii="Times New Roman" w:eastAsia="楷体" w:hAnsi="Times New Roman" w:hint="eastAsia"/>
          <w:b/>
          <w:color w:val="000000" w:themeColor="text1"/>
          <w:sz w:val="24"/>
          <w:szCs w:val="24"/>
        </w:rPr>
        <w:t>美国初请失业金人数下滑，银价高位震荡</w:t>
      </w:r>
      <w:bookmarkEnd w:id="9"/>
    </w:p>
    <w:p w:rsidR="003F56A5" w:rsidRDefault="009B534D">
      <w:pPr>
        <w:ind w:leftChars="300" w:left="630"/>
        <w:rPr>
          <w:rFonts w:ascii="Times New Roman" w:eastAsia="楷体" w:hAnsi="Times New Roman"/>
          <w:sz w:val="24"/>
          <w:szCs w:val="24"/>
        </w:rPr>
      </w:pPr>
      <w:r w:rsidRPr="009B534D">
        <w:rPr>
          <w:rFonts w:ascii="Times New Roman" w:eastAsia="楷体" w:hAnsi="Times New Roman" w:hint="eastAsia"/>
          <w:color w:val="000000" w:themeColor="text1"/>
          <w:sz w:val="24"/>
          <w:szCs w:val="24"/>
        </w:rPr>
        <w:t>美国最新当周初请失业金人数减少</w:t>
      </w:r>
      <w:r w:rsidRPr="009B534D">
        <w:rPr>
          <w:rFonts w:ascii="Times New Roman" w:eastAsia="楷体" w:hAnsi="Times New Roman" w:hint="eastAsia"/>
          <w:color w:val="000000" w:themeColor="text1"/>
          <w:sz w:val="24"/>
          <w:szCs w:val="24"/>
        </w:rPr>
        <w:t>1000</w:t>
      </w:r>
      <w:r w:rsidRPr="009B534D">
        <w:rPr>
          <w:rFonts w:ascii="Times New Roman" w:eastAsia="楷体" w:hAnsi="Times New Roman" w:hint="eastAsia"/>
          <w:color w:val="000000" w:themeColor="text1"/>
          <w:sz w:val="24"/>
          <w:szCs w:val="24"/>
        </w:rPr>
        <w:t>人至</w:t>
      </w:r>
      <w:r w:rsidRPr="009B534D">
        <w:rPr>
          <w:rFonts w:ascii="Times New Roman" w:eastAsia="楷体" w:hAnsi="Times New Roman" w:hint="eastAsia"/>
          <w:color w:val="000000" w:themeColor="text1"/>
          <w:sz w:val="24"/>
          <w:szCs w:val="24"/>
        </w:rPr>
        <w:t>19.1</w:t>
      </w:r>
      <w:r w:rsidRPr="009B534D">
        <w:rPr>
          <w:rFonts w:ascii="Times New Roman" w:eastAsia="楷体" w:hAnsi="Times New Roman" w:hint="eastAsia"/>
          <w:color w:val="000000" w:themeColor="text1"/>
          <w:sz w:val="24"/>
          <w:szCs w:val="24"/>
        </w:rPr>
        <w:t>万人，低于</w:t>
      </w:r>
      <w:r w:rsidRPr="009B534D">
        <w:rPr>
          <w:rFonts w:ascii="Times New Roman" w:eastAsia="楷体" w:hAnsi="Times New Roman" w:hint="eastAsia"/>
          <w:color w:val="000000" w:themeColor="text1"/>
          <w:sz w:val="24"/>
          <w:szCs w:val="24"/>
        </w:rPr>
        <w:t>19.7</w:t>
      </w:r>
      <w:r w:rsidRPr="009B534D">
        <w:rPr>
          <w:rFonts w:ascii="Times New Roman" w:eastAsia="楷体" w:hAnsi="Times New Roman" w:hint="eastAsia"/>
          <w:color w:val="000000" w:themeColor="text1"/>
          <w:sz w:val="24"/>
          <w:szCs w:val="24"/>
        </w:rPr>
        <w:t>万人的市场预期，显示美国就业市场仍维持紧张。美国财政部长耶伦继周三否认将联邦存款保险公司的保险范围扩大到所有存款后，昨日改口称必要时将对银行存款采取进一步行动。英国央行宣布加息</w:t>
      </w:r>
      <w:r w:rsidRPr="009B534D">
        <w:rPr>
          <w:rFonts w:ascii="Times New Roman" w:eastAsia="楷体" w:hAnsi="Times New Roman" w:hint="eastAsia"/>
          <w:color w:val="000000" w:themeColor="text1"/>
          <w:sz w:val="24"/>
          <w:szCs w:val="24"/>
        </w:rPr>
        <w:t>25bp</w:t>
      </w:r>
      <w:r w:rsidRPr="009B534D">
        <w:rPr>
          <w:rFonts w:ascii="Times New Roman" w:eastAsia="楷体" w:hAnsi="Times New Roman" w:hint="eastAsia"/>
          <w:color w:val="000000" w:themeColor="text1"/>
          <w:sz w:val="24"/>
          <w:szCs w:val="24"/>
        </w:rPr>
        <w:t>。瑞士央行宣布加息</w:t>
      </w:r>
      <w:r w:rsidRPr="009B534D">
        <w:rPr>
          <w:rFonts w:ascii="Times New Roman" w:eastAsia="楷体" w:hAnsi="Times New Roman" w:hint="eastAsia"/>
          <w:color w:val="000000" w:themeColor="text1"/>
          <w:sz w:val="24"/>
          <w:szCs w:val="24"/>
        </w:rPr>
        <w:t>50bp</w:t>
      </w:r>
      <w:r w:rsidRPr="009B534D">
        <w:rPr>
          <w:rFonts w:ascii="Times New Roman" w:eastAsia="楷体" w:hAnsi="Times New Roman" w:hint="eastAsia"/>
          <w:color w:val="000000" w:themeColor="text1"/>
          <w:sz w:val="24"/>
          <w:szCs w:val="24"/>
        </w:rPr>
        <w:t>以对抗通胀。尽管美联储给出偏鹰表态，海外市场仍对年内降息的预期有所定价，联邦利率期货价格反推得到的利率预测显示，市场定价年内联储或降息</w:t>
      </w:r>
      <w:r w:rsidRPr="009B534D">
        <w:rPr>
          <w:rFonts w:ascii="Times New Roman" w:eastAsia="楷体" w:hAnsi="Times New Roman" w:hint="eastAsia"/>
          <w:color w:val="000000" w:themeColor="text1"/>
          <w:sz w:val="24"/>
          <w:szCs w:val="24"/>
        </w:rPr>
        <w:t>75-100bp</w:t>
      </w:r>
      <w:r w:rsidRPr="009B534D">
        <w:rPr>
          <w:rFonts w:ascii="Times New Roman" w:eastAsia="楷体" w:hAnsi="Times New Roman" w:hint="eastAsia"/>
          <w:color w:val="000000" w:themeColor="text1"/>
          <w:sz w:val="24"/>
          <w:szCs w:val="24"/>
        </w:rPr>
        <w:t>。对未来美联储货币政策的鸽派预期及风险情绪提振贵金属价格表现，外盘</w:t>
      </w:r>
      <w:r w:rsidRPr="009B534D">
        <w:rPr>
          <w:rFonts w:ascii="Times New Roman" w:eastAsia="楷体" w:hAnsi="Times New Roman" w:hint="eastAsia"/>
          <w:color w:val="000000" w:themeColor="text1"/>
          <w:sz w:val="24"/>
          <w:szCs w:val="24"/>
        </w:rPr>
        <w:t>COMEX</w:t>
      </w:r>
      <w:r w:rsidRPr="009B534D">
        <w:rPr>
          <w:rFonts w:ascii="Times New Roman" w:eastAsia="楷体" w:hAnsi="Times New Roman" w:hint="eastAsia"/>
          <w:color w:val="000000" w:themeColor="text1"/>
          <w:sz w:val="24"/>
          <w:szCs w:val="24"/>
        </w:rPr>
        <w:t>金价升至</w:t>
      </w:r>
      <w:r w:rsidRPr="009B534D">
        <w:rPr>
          <w:rFonts w:ascii="Times New Roman" w:eastAsia="楷体" w:hAnsi="Times New Roman" w:hint="eastAsia"/>
          <w:color w:val="000000" w:themeColor="text1"/>
          <w:sz w:val="24"/>
          <w:szCs w:val="24"/>
        </w:rPr>
        <w:t>1995</w:t>
      </w:r>
      <w:r w:rsidRPr="009B534D">
        <w:rPr>
          <w:rFonts w:ascii="Times New Roman" w:eastAsia="楷体" w:hAnsi="Times New Roman" w:hint="eastAsia"/>
          <w:color w:val="000000" w:themeColor="text1"/>
          <w:sz w:val="24"/>
          <w:szCs w:val="24"/>
        </w:rPr>
        <w:t>美元</w:t>
      </w:r>
      <w:r w:rsidRPr="009B534D">
        <w:rPr>
          <w:rFonts w:ascii="Times New Roman" w:eastAsia="楷体" w:hAnsi="Times New Roman" w:hint="eastAsia"/>
          <w:color w:val="000000" w:themeColor="text1"/>
          <w:sz w:val="24"/>
          <w:szCs w:val="24"/>
        </w:rPr>
        <w:t>/</w:t>
      </w:r>
      <w:r w:rsidRPr="009B534D">
        <w:rPr>
          <w:rFonts w:ascii="Times New Roman" w:eastAsia="楷体" w:hAnsi="Times New Roman" w:hint="eastAsia"/>
          <w:color w:val="000000" w:themeColor="text1"/>
          <w:sz w:val="24"/>
          <w:szCs w:val="24"/>
        </w:rPr>
        <w:t>盎司；</w:t>
      </w:r>
      <w:r w:rsidRPr="009B534D">
        <w:rPr>
          <w:rFonts w:ascii="Times New Roman" w:eastAsia="楷体" w:hAnsi="Times New Roman" w:hint="eastAsia"/>
          <w:color w:val="000000" w:themeColor="text1"/>
          <w:sz w:val="24"/>
          <w:szCs w:val="24"/>
        </w:rPr>
        <w:t>COMEX</w:t>
      </w:r>
      <w:r w:rsidRPr="009B534D">
        <w:rPr>
          <w:rFonts w:ascii="Times New Roman" w:eastAsia="楷体" w:hAnsi="Times New Roman" w:hint="eastAsia"/>
          <w:color w:val="000000" w:themeColor="text1"/>
          <w:sz w:val="24"/>
          <w:szCs w:val="24"/>
        </w:rPr>
        <w:t>银价于</w:t>
      </w:r>
      <w:r w:rsidRPr="009B534D">
        <w:rPr>
          <w:rFonts w:ascii="Times New Roman" w:eastAsia="楷体" w:hAnsi="Times New Roman" w:hint="eastAsia"/>
          <w:color w:val="000000" w:themeColor="text1"/>
          <w:sz w:val="24"/>
          <w:szCs w:val="24"/>
        </w:rPr>
        <w:t>23.2</w:t>
      </w:r>
      <w:r w:rsidRPr="009B534D">
        <w:rPr>
          <w:rFonts w:ascii="Times New Roman" w:eastAsia="楷体" w:hAnsi="Times New Roman" w:hint="eastAsia"/>
          <w:color w:val="000000" w:themeColor="text1"/>
          <w:sz w:val="24"/>
          <w:szCs w:val="24"/>
        </w:rPr>
        <w:t>美元</w:t>
      </w:r>
      <w:r w:rsidRPr="009B534D">
        <w:rPr>
          <w:rFonts w:ascii="Times New Roman" w:eastAsia="楷体" w:hAnsi="Times New Roman" w:hint="eastAsia"/>
          <w:color w:val="000000" w:themeColor="text1"/>
          <w:sz w:val="24"/>
          <w:szCs w:val="24"/>
        </w:rPr>
        <w:t>/</w:t>
      </w:r>
      <w:r w:rsidRPr="009B534D">
        <w:rPr>
          <w:rFonts w:ascii="Times New Roman" w:eastAsia="楷体" w:hAnsi="Times New Roman" w:hint="eastAsia"/>
          <w:color w:val="000000" w:themeColor="text1"/>
          <w:sz w:val="24"/>
          <w:szCs w:val="24"/>
        </w:rPr>
        <w:t>盎司一线高位震荡，上方面临</w:t>
      </w:r>
      <w:r w:rsidRPr="009B534D">
        <w:rPr>
          <w:rFonts w:ascii="Times New Roman" w:eastAsia="楷体" w:hAnsi="Times New Roman" w:hint="eastAsia"/>
          <w:color w:val="000000" w:themeColor="text1"/>
          <w:sz w:val="24"/>
          <w:szCs w:val="24"/>
        </w:rPr>
        <w:t>750</w:t>
      </w:r>
      <w:r w:rsidRPr="009B534D">
        <w:rPr>
          <w:rFonts w:ascii="Times New Roman" w:eastAsia="楷体" w:hAnsi="Times New Roman" w:hint="eastAsia"/>
          <w:color w:val="000000" w:themeColor="text1"/>
          <w:sz w:val="24"/>
          <w:szCs w:val="24"/>
        </w:rPr>
        <w:t>日均线压力。沪金、沪银跟随外盘走势上涨。降息预期逐步明晰，美元走弱、避险情绪仍共同提振贵金属价格表现，建议沪金、沪银此前多单继续持有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054619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0546191"/>
      <w:r>
        <w:rPr>
          <w:rFonts w:ascii="楷体" w:eastAsia="楷体" w:hAnsi="楷体" w:hint="eastAsia"/>
          <w:b/>
          <w:color w:val="000000" w:themeColor="text1"/>
          <w:sz w:val="24"/>
          <w:szCs w:val="24"/>
        </w:rPr>
        <w:t>螺纹钢：</w:t>
      </w:r>
      <w:bookmarkEnd w:id="15"/>
      <w:bookmarkEnd w:id="16"/>
      <w:r w:rsidR="009B534D" w:rsidRPr="009B534D">
        <w:rPr>
          <w:rFonts w:ascii="楷体" w:eastAsia="楷体" w:hAnsi="楷体" w:hint="eastAsia"/>
          <w:b/>
          <w:color w:val="000000" w:themeColor="text1"/>
          <w:sz w:val="24"/>
          <w:szCs w:val="24"/>
        </w:rPr>
        <w:t>短暂企稳，等待现实跟进</w:t>
      </w:r>
      <w:bookmarkEnd w:id="17"/>
    </w:p>
    <w:p w:rsidR="003F56A5" w:rsidRDefault="009B534D">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本周螺纹钢的需求受到多因素扰动，致使大幅度不及预期，市场给出负反馈预期的估值水平，但仍需后续需求数据确认，短期震荡运行，参考区间（4070,4130）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0546192"/>
      <w:r>
        <w:rPr>
          <w:rFonts w:ascii="楷体" w:eastAsia="楷体" w:hAnsi="楷体" w:hint="eastAsia"/>
          <w:b/>
          <w:color w:val="000000" w:themeColor="text1"/>
          <w:sz w:val="24"/>
          <w:szCs w:val="24"/>
        </w:rPr>
        <w:t>焦炭：</w:t>
      </w:r>
      <w:bookmarkEnd w:id="18"/>
      <w:bookmarkEnd w:id="19"/>
      <w:r w:rsidR="009B534D" w:rsidRPr="009B534D">
        <w:rPr>
          <w:rFonts w:ascii="楷体" w:eastAsia="楷体" w:hAnsi="楷体" w:hint="eastAsia"/>
          <w:b/>
          <w:color w:val="000000" w:themeColor="text1"/>
          <w:sz w:val="24"/>
          <w:szCs w:val="24"/>
        </w:rPr>
        <w:t>震荡等待成材确认方向</w:t>
      </w:r>
      <w:bookmarkEnd w:id="20"/>
    </w:p>
    <w:p w:rsidR="003F56A5" w:rsidRDefault="009B534D">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下游需求上行阶段，暂无负反馈压力，但钢厂库存管理下，焦炭去库速度较慢，上涨驱动不足。目前现货情绪较差，短期盘面领跌1轮下等待现货，预计区间（2700,2750）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0546193"/>
      <w:r>
        <w:rPr>
          <w:rFonts w:ascii="楷体" w:eastAsia="楷体" w:hAnsi="楷体" w:hint="eastAsia"/>
          <w:b/>
          <w:color w:val="000000" w:themeColor="text1"/>
          <w:sz w:val="24"/>
          <w:szCs w:val="24"/>
        </w:rPr>
        <w:t>焦煤：</w:t>
      </w:r>
      <w:r w:rsidR="009B534D" w:rsidRPr="009B534D">
        <w:rPr>
          <w:rFonts w:ascii="楷体" w:eastAsia="楷体" w:hAnsi="楷体" w:hint="eastAsia"/>
          <w:b/>
          <w:sz w:val="24"/>
          <w:szCs w:val="24"/>
        </w:rPr>
        <w:t>偏弱运行，震荡等待新驱动</w:t>
      </w:r>
      <w:bookmarkEnd w:id="21"/>
    </w:p>
    <w:p w:rsidR="003F56A5" w:rsidRDefault="009B534D">
      <w:pPr>
        <w:ind w:leftChars="300" w:left="630"/>
        <w:rPr>
          <w:rFonts w:ascii="楷体" w:eastAsia="楷体" w:hAnsi="楷体"/>
          <w:bCs/>
          <w:sz w:val="24"/>
          <w:szCs w:val="24"/>
        </w:rPr>
      </w:pPr>
      <w:r w:rsidRPr="009B534D">
        <w:rPr>
          <w:rFonts w:ascii="楷体" w:eastAsia="楷体" w:hAnsi="楷体" w:hint="eastAsia"/>
          <w:sz w:val="24"/>
          <w:szCs w:val="24"/>
        </w:rPr>
        <w:t>焦煤将进入供需双增下，现货及估值从高位回落，短暂企稳。建议短期观望为主，若焦煤基差继续扩大，可以适当逢低布局基差回归行情，建议做多焦煤5-9正套，短期震荡区间（1800,1860）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0546194"/>
      <w:r>
        <w:rPr>
          <w:rFonts w:ascii="楷体" w:eastAsia="楷体" w:hAnsi="楷体" w:hint="eastAsia"/>
          <w:b/>
          <w:color w:val="000000" w:themeColor="text1"/>
          <w:sz w:val="24"/>
          <w:szCs w:val="24"/>
        </w:rPr>
        <w:lastRenderedPageBreak/>
        <w:t>铜：</w:t>
      </w:r>
      <w:bookmarkEnd w:id="22"/>
      <w:bookmarkEnd w:id="23"/>
      <w:r w:rsidR="009B534D" w:rsidRPr="009B534D">
        <w:rPr>
          <w:rFonts w:ascii="楷体" w:eastAsia="楷体" w:hAnsi="楷体" w:hint="eastAsia"/>
          <w:b/>
          <w:color w:val="000000" w:themeColor="text1"/>
          <w:sz w:val="24"/>
          <w:szCs w:val="24"/>
        </w:rPr>
        <w:t>重回高位震荡区间</w:t>
      </w:r>
      <w:bookmarkEnd w:id="24"/>
    </w:p>
    <w:p w:rsidR="009B534D" w:rsidRPr="009B534D" w:rsidRDefault="009B534D" w:rsidP="009B534D">
      <w:pPr>
        <w:ind w:leftChars="300" w:left="630"/>
        <w:rPr>
          <w:rFonts w:ascii="楷体" w:eastAsia="楷体" w:hAnsi="楷体" w:hint="eastAsia"/>
          <w:color w:val="000000" w:themeColor="text1"/>
          <w:sz w:val="24"/>
          <w:szCs w:val="24"/>
        </w:rPr>
      </w:pPr>
      <w:r w:rsidRPr="009B534D">
        <w:rPr>
          <w:rFonts w:ascii="楷体" w:eastAsia="楷体" w:hAnsi="楷体" w:hint="eastAsia"/>
          <w:color w:val="000000" w:themeColor="text1"/>
          <w:sz w:val="24"/>
          <w:szCs w:val="24"/>
        </w:rPr>
        <w:t>(1)库存：3月23日，SHFE仓单库存87610吨，减2104吨。LME仓单库存73475吨，减1125吨。</w:t>
      </w:r>
    </w:p>
    <w:p w:rsidR="009B534D" w:rsidRPr="009B534D" w:rsidRDefault="009B534D" w:rsidP="009B534D">
      <w:pPr>
        <w:ind w:leftChars="300" w:left="630"/>
        <w:rPr>
          <w:rFonts w:ascii="楷体" w:eastAsia="楷体" w:hAnsi="楷体" w:hint="eastAsia"/>
          <w:color w:val="000000" w:themeColor="text1"/>
          <w:sz w:val="24"/>
          <w:szCs w:val="24"/>
        </w:rPr>
      </w:pPr>
      <w:r w:rsidRPr="009B534D">
        <w:rPr>
          <w:rFonts w:ascii="楷体" w:eastAsia="楷体" w:hAnsi="楷体" w:hint="eastAsia"/>
          <w:color w:val="000000" w:themeColor="text1"/>
          <w:sz w:val="24"/>
          <w:szCs w:val="24"/>
        </w:rPr>
        <w:t>(2)精废价差：3月23日，Mysteel精废价差2144，扩大62。目前价差在合理价差1385之上。</w:t>
      </w:r>
    </w:p>
    <w:p w:rsidR="009B534D" w:rsidRPr="009B534D" w:rsidRDefault="009B534D" w:rsidP="009B534D">
      <w:pPr>
        <w:ind w:leftChars="300" w:left="630"/>
        <w:rPr>
          <w:rFonts w:ascii="楷体" w:eastAsia="楷体" w:hAnsi="楷体"/>
          <w:color w:val="000000" w:themeColor="text1"/>
          <w:sz w:val="24"/>
          <w:szCs w:val="24"/>
        </w:rPr>
      </w:pPr>
    </w:p>
    <w:p w:rsidR="003F56A5" w:rsidRDefault="009B534D" w:rsidP="009B534D">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综述：美联储3月加息幅度及偏温和的表述使得美元指数延续跌势，提振铜价。在当前未出现更多风险事件情况下，短期宏观负面影响减弱，铜价重心或回归基本面，随着传统季节旺季的来临，铜消费的乐观预期也在持续增强，近期消费持续好转通过库存走低得以体现，对短期价格运行形成一定驱动，价格波动参考67500-70000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0546195"/>
      <w:r>
        <w:rPr>
          <w:rFonts w:ascii="楷体" w:eastAsia="楷体" w:hAnsi="楷体" w:hint="eastAsia"/>
          <w:b/>
          <w:color w:val="000000" w:themeColor="text1"/>
          <w:sz w:val="24"/>
          <w:szCs w:val="24"/>
        </w:rPr>
        <w:t>铝：</w:t>
      </w:r>
      <w:bookmarkEnd w:id="25"/>
      <w:bookmarkEnd w:id="26"/>
      <w:r w:rsidR="009B534D" w:rsidRPr="009B534D">
        <w:rPr>
          <w:rFonts w:ascii="楷体" w:eastAsia="楷体" w:hAnsi="楷体" w:hint="eastAsia"/>
          <w:b/>
          <w:color w:val="000000" w:themeColor="text1"/>
          <w:sz w:val="24"/>
          <w:szCs w:val="24"/>
        </w:rPr>
        <w:t>宏观情绪压力走缓，铝价仍有支撑</w:t>
      </w:r>
      <w:bookmarkEnd w:id="27"/>
    </w:p>
    <w:p w:rsidR="003F56A5" w:rsidRDefault="009B534D">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联储如期加息25基点，符合市场预期，市场情绪走稳。国内供应端电解铝川渝、贵州地区运行产能小幅修复，中游企业建材类、工业材类订单较好，冶炼利润走升企业开工积极，下游需求消费逐步好转，社库拐入去库周期，基本面因子偏多。铝价仍有较强支撑，短期或有小幅修复性反弹</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0546196"/>
      <w:r>
        <w:rPr>
          <w:rFonts w:ascii="楷体" w:eastAsia="楷体" w:hAnsi="楷体" w:hint="eastAsia"/>
          <w:b/>
          <w:color w:val="000000" w:themeColor="text1"/>
          <w:sz w:val="24"/>
          <w:szCs w:val="24"/>
        </w:rPr>
        <w:t>锌：</w:t>
      </w:r>
      <w:r w:rsidR="009B534D" w:rsidRPr="009B534D">
        <w:rPr>
          <w:rFonts w:ascii="楷体" w:eastAsia="楷体" w:hAnsi="楷体" w:hint="eastAsia"/>
          <w:b/>
          <w:color w:val="000000" w:themeColor="text1"/>
          <w:sz w:val="24"/>
          <w:szCs w:val="24"/>
        </w:rPr>
        <w:t>供走强需弱现实，市场情绪缓解短期或有小幅反弹动作</w:t>
      </w:r>
      <w:bookmarkEnd w:id="28"/>
    </w:p>
    <w:p w:rsidR="003F56A5" w:rsidRDefault="009B534D" w:rsidP="000B0648">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海外央行联合持续释放流动性，市场悲观情绪缓解，联储FOMC将宣布3月加息25基点，符合市场预期。供应端来看，海外冶炼厂复产预期增强，矿端进口收紧，国产矿供应受限，海外库存走增，国内库存减库，中游加工开工积极，下游开工上行，实际需求表现平淡，短期价格多空交织扰动为主，短期价格或有情绪性小幅反弹</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0546197"/>
      <w:r>
        <w:rPr>
          <w:rFonts w:ascii="楷体" w:eastAsia="楷体" w:hAnsi="楷体" w:hint="eastAsia"/>
          <w:b/>
          <w:color w:val="000000" w:themeColor="text1"/>
          <w:sz w:val="24"/>
          <w:szCs w:val="24"/>
        </w:rPr>
        <w:t>镍：</w:t>
      </w:r>
      <w:r w:rsidR="00D86D76" w:rsidRPr="00D86D76">
        <w:rPr>
          <w:rFonts w:ascii="楷体" w:eastAsia="楷体" w:hAnsi="楷体" w:hint="eastAsia"/>
          <w:b/>
          <w:color w:val="000000" w:themeColor="text1"/>
          <w:sz w:val="24"/>
          <w:szCs w:val="24"/>
        </w:rPr>
        <w:t>宏微观利空共振，镍价延续跌势</w:t>
      </w:r>
      <w:bookmarkEnd w:id="29"/>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海外银行破产事件风险外溢继续发酵，整体市场情绪偏悲观，同时伴随纯镍产量提升，镍供应过剩预期进一步强化，宏微观形成一定共振驱动价格持续下跌，中期行情依旧偏空，但短期利空情绪集中释放后不排除反弹。操作上，当前价位不建议继续追空，前期高位空单止盈，待反弹后空单再介入</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0546198"/>
      <w:r>
        <w:rPr>
          <w:rFonts w:ascii="楷体" w:eastAsia="楷体" w:hAnsi="楷体" w:hint="eastAsia"/>
          <w:b/>
          <w:color w:val="000000" w:themeColor="text1"/>
          <w:sz w:val="24"/>
          <w:szCs w:val="24"/>
        </w:rPr>
        <w:t>不锈钢：</w:t>
      </w:r>
      <w:r w:rsidR="00D86D76" w:rsidRPr="00D86D76">
        <w:rPr>
          <w:rFonts w:ascii="楷体" w:eastAsia="楷体" w:hAnsi="楷体" w:hint="eastAsia"/>
          <w:b/>
          <w:color w:val="000000" w:themeColor="text1"/>
          <w:sz w:val="24"/>
          <w:szCs w:val="24"/>
        </w:rPr>
        <w:t>原料价格继续下移形成拖累，短期震荡为主</w:t>
      </w:r>
      <w:bookmarkEnd w:id="30"/>
    </w:p>
    <w:p w:rsidR="003F56A5" w:rsidRDefault="00D86D76">
      <w:pPr>
        <w:ind w:leftChars="300" w:left="630"/>
        <w:rPr>
          <w:rFonts w:ascii="楷体" w:eastAsia="楷体" w:hAnsi="楷体"/>
          <w:color w:val="000000" w:themeColor="text1"/>
          <w:sz w:val="24"/>
          <w:szCs w:val="24"/>
        </w:rPr>
      </w:pPr>
      <w:r w:rsidRPr="00D86D76">
        <w:rPr>
          <w:rFonts w:ascii="楷体" w:eastAsia="楷体" w:hAnsi="楷体" w:hint="eastAsia"/>
          <w:color w:val="000000" w:themeColor="text1"/>
          <w:sz w:val="24"/>
          <w:szCs w:val="24"/>
        </w:rPr>
        <w:t>当前不锈钢市场仍处于低估值但弱驱动状态，伴随钢厂陆续减产，阶段性供需有望改善，但原料价格仍处在下调中对不锈钢价格继续形成拖累，短期需要等待更多信号指引，预计震荡为主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30546199"/>
      <w:r>
        <w:rPr>
          <w:rFonts w:ascii="楷体" w:eastAsia="楷体" w:hAnsi="楷体" w:hint="eastAsia"/>
          <w:b/>
          <w:color w:val="000000" w:themeColor="text1"/>
          <w:sz w:val="24"/>
          <w:szCs w:val="24"/>
        </w:rPr>
        <w:t>工业硅：</w:t>
      </w:r>
      <w:r w:rsidR="009B534D" w:rsidRPr="009B534D">
        <w:rPr>
          <w:rFonts w:ascii="楷体" w:eastAsia="楷体" w:hAnsi="楷体" w:hint="eastAsia"/>
          <w:b/>
          <w:sz w:val="24"/>
          <w:szCs w:val="24"/>
        </w:rPr>
        <w:t>需求仍旧偏弱，建议等待反弹继续把握做空机会</w:t>
      </w:r>
      <w:bookmarkEnd w:id="31"/>
    </w:p>
    <w:p w:rsidR="003F56A5" w:rsidRDefault="009B534D" w:rsidP="007103A5">
      <w:pPr>
        <w:ind w:leftChars="300" w:left="630"/>
        <w:rPr>
          <w:rFonts w:ascii="楷体" w:eastAsia="楷体" w:hAnsi="楷体"/>
          <w:sz w:val="24"/>
          <w:szCs w:val="24"/>
        </w:rPr>
      </w:pPr>
      <w:r w:rsidRPr="009B534D">
        <w:rPr>
          <w:rFonts w:ascii="楷体" w:eastAsia="楷体" w:hAnsi="楷体" w:hint="eastAsia"/>
          <w:sz w:val="24"/>
          <w:szCs w:val="24"/>
        </w:rPr>
        <w:t>3月23日，Si2308主力合约整体反弹乏力，收跌15895元/吨，较上一收盘价涨跌幅-0.44%。根据SMM数据，2022年1-12月工业硅产量合计350万吨，同比增幅20%，全年供应过剩量超30万吨，2023年1-2月份产量合计55.48万吨，预计一季度产量达86.98万吨，同比增加12万吨增幅16%。整体来看，供应增速超市场预期。但近期市场持续下行，已跌破西南地区成本线，短期市场或有所反弹，在需求仍旧偏弱背景下，建议待反弹后，</w:t>
      </w:r>
      <w:r w:rsidRPr="009B534D">
        <w:rPr>
          <w:rFonts w:ascii="楷体" w:eastAsia="楷体" w:hAnsi="楷体" w:hint="eastAsia"/>
          <w:sz w:val="24"/>
          <w:szCs w:val="24"/>
        </w:rPr>
        <w:lastRenderedPageBreak/>
        <w:t>可继续把握做空机会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3054620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3054620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535DC9" w:rsidRPr="00535DC9">
        <w:rPr>
          <w:rFonts w:ascii="Times New Roman" w:eastAsia="楷体" w:hAnsi="Times New Roman" w:hint="eastAsia"/>
          <w:b/>
          <w:color w:val="000000" w:themeColor="text1"/>
          <w:sz w:val="24"/>
          <w:szCs w:val="24"/>
        </w:rPr>
        <w:t>RU</w:t>
      </w:r>
      <w:r w:rsidR="00535DC9" w:rsidRPr="00535DC9">
        <w:rPr>
          <w:rFonts w:ascii="Times New Roman" w:eastAsia="楷体" w:hAnsi="Times New Roman" w:hint="eastAsia"/>
          <w:b/>
          <w:color w:val="000000" w:themeColor="text1"/>
          <w:sz w:val="24"/>
          <w:szCs w:val="24"/>
        </w:rPr>
        <w:t>价格持稳</w:t>
      </w:r>
      <w:r w:rsidR="00535DC9" w:rsidRPr="00535DC9">
        <w:rPr>
          <w:rFonts w:ascii="Times New Roman" w:eastAsia="楷体" w:hAnsi="Times New Roman" w:hint="eastAsia"/>
          <w:b/>
          <w:color w:val="000000" w:themeColor="text1"/>
          <w:sz w:val="24"/>
          <w:szCs w:val="24"/>
        </w:rPr>
        <w:t xml:space="preserve"> </w:t>
      </w:r>
      <w:r w:rsidR="00535DC9" w:rsidRPr="00535DC9">
        <w:rPr>
          <w:rFonts w:ascii="Times New Roman" w:eastAsia="楷体" w:hAnsi="Times New Roman" w:hint="eastAsia"/>
          <w:b/>
          <w:color w:val="000000" w:themeColor="text1"/>
          <w:sz w:val="24"/>
          <w:szCs w:val="24"/>
        </w:rPr>
        <w:t>短期不排除触底反弹可能</w:t>
      </w:r>
      <w:bookmarkEnd w:id="34"/>
    </w:p>
    <w:p w:rsidR="003F56A5" w:rsidRDefault="00535DC9">
      <w:pPr>
        <w:ind w:leftChars="300" w:left="630"/>
        <w:rPr>
          <w:rFonts w:ascii="楷体" w:eastAsia="楷体" w:hAnsi="楷体"/>
          <w:sz w:val="24"/>
          <w:szCs w:val="24"/>
        </w:rPr>
      </w:pPr>
      <w:r w:rsidRPr="00535DC9">
        <w:rPr>
          <w:rFonts w:ascii="楷体" w:eastAsia="楷体" w:hAnsi="楷体" w:hint="eastAsia"/>
          <w:sz w:val="24"/>
          <w:szCs w:val="24"/>
        </w:rPr>
        <w:t>点评：昨日橡胶主力合约企稳。目前制约橡胶上行的主要因素，与青岛港口库存高位持续累库的问题没有得到有效抑制有关。尽管橡胶下游轮胎企业开工尚可，但橡胶港口库存依旧高企，主要是因为前期欧美订单推迟，导致许多低价原料货源进入国内，近期集中到港所致。在经过数日回调后，目前橡胶位置处于历史低位，往后看继续下挫空间比较有限，安全边际较高。供应方面，全球天然橡胶供应仍处季节性停产期，原料端整体产出收缩，但近期原料价格小幅下行，对胶价支撑有所减弱。下游轮胎方面，国内乘用车轮胎替换需求来临，目前各轮胎企业部分规格缺货现象仍未缓解，排产将继续保持高位运行状态。进入3月份，随着渠道订单逐步到位，工厂出货节奏将有所放缓。预计短期内企业产能利用率将继续高位运行，但继续提升空间有限。终端汽车方面，2月车市景气度有所提升。近期湖北等地发布政企联合汽车“价格战”，叠加前期疫情抑制的终端消费需求还在持续释放中，预计3月汽车市场延续增长态势。结合以上因素，橡胶投资者不宜过度悲观，预计一季度汽车市场将符合以往淡季的特征，但仍对橡胶有足够支撑；重卡销量方面，2月预计为7.72万辆，同环比提升明显，主销车型为运输类，基建和工程用车有待发力，在国内宏观经济氛围转好，商品运输需求增加、以及两会稳增长政策落地后，重卡仍有上行空间。综合来看，后续橡胶能否飞跃取决于新能源汽车补贴退坡以及燃油汽车购置税减半即将结束后汽车需求会否出现显著的需求下滑，以及基建和地产端对商用车的提振效果。尽管2-3月处于RU季节性走弱时点，但梳理RU整体基本面来看，短期天然橡胶在成本支撑下底部较为坚实，终端汽车、重卡产销景气度有所回升，同时下游轮胎厂在订单缺口尚存下原料橡胶的补货预期仍存。此外，制造业PMI再创新高后商品公路货运行业亦出现转好迹象，利好橡胶主要下游诸如轮胎替换和重型卡车的销量。因此投资者不应过分看空橡胶。短期天胶市场在青岛港口库存未释放明显去库信号下，或维持低位盘整。但在数日回调后，不排除触底反弹的可能。中长期RU在国内汽车产量回暖、货运需求逐步恢复下仍有上涨动力。待后续轮胎厂去库顺畅、下游汽车需求恢复后，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3054620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9B534D" w:rsidRPr="009B534D">
        <w:rPr>
          <w:rFonts w:ascii="楷体" w:eastAsia="楷体" w:hAnsi="楷体" w:hint="eastAsia"/>
          <w:b/>
          <w:color w:val="000000" w:themeColor="text1"/>
          <w:sz w:val="24"/>
          <w:szCs w:val="24"/>
        </w:rPr>
        <w:t>维持去库 支撑仍存</w:t>
      </w:r>
      <w:bookmarkEnd w:id="35"/>
      <w:r>
        <w:rPr>
          <w:rFonts w:ascii="楷体" w:eastAsia="楷体" w:hAnsi="楷体" w:hint="eastAsia"/>
          <w:b/>
          <w:color w:val="000000" w:themeColor="text1"/>
          <w:sz w:val="24"/>
          <w:szCs w:val="24"/>
        </w:rPr>
        <w:t xml:space="preserve"> </w:t>
      </w:r>
    </w:p>
    <w:p w:rsidR="003F56A5" w:rsidRDefault="009B534D" w:rsidP="008E3B84">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供给方面，恒力石化220万吨恢复，逸盛部分PTA装置负荷小幅调整，中泰120万吨PTA装置负荷调整至8成，至周四PTA负荷调整至80.1%（+2.5%）附近。PTA加工费方面已经修复至400元/吨附近，短期内PTA生产企业仍可根据盘面利润调整供应过剩的现实。库存方面，本周PTA社会库存量约在276.14万吨，环比-1.35万吨。近期恒力惠州250万吨PTA装置计划近日投产及TA整体开工率提升，供需去库幅度缩减。需求方面，本周有两套检修装置开启，部分装置适度减产或有减产意向，但综合聚酯负荷仍在提升。截至本周四，初步核算国内大陆地区聚酯负荷在90.9%，聚酯开工高</w:t>
      </w:r>
      <w:r w:rsidRPr="009B534D">
        <w:rPr>
          <w:rFonts w:ascii="楷体" w:eastAsia="楷体" w:hAnsi="楷体" w:hint="eastAsia"/>
          <w:color w:val="000000" w:themeColor="text1"/>
          <w:sz w:val="24"/>
          <w:szCs w:val="24"/>
        </w:rPr>
        <w:lastRenderedPageBreak/>
        <w:t>位维持。近期聚酯关注恒超、恒鸣、嘉通能源等装置投产情况，3月份的长丝产能增量可能在176万吨。预估3月底之前仍可维持高开工，但随着新订单减少，4月份后负荷逐步会有下行压力。从聚酯终端需求来看，江浙终端织造新单氛围不佳。展望后市，二季度PX装置检修较多，4、5月份调油需求又起，二季度PX供应仍偏紧，成本端支撑仍存。短期聚酯负荷偏高维持，后期部分PTA装置计划检修，TA供需暂无累库压力，维持回调加多思路。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0546203"/>
      <w:r>
        <w:rPr>
          <w:rFonts w:ascii="楷体" w:eastAsia="楷体" w:hAnsi="楷体" w:hint="eastAsia"/>
          <w:b/>
          <w:color w:val="000000" w:themeColor="text1"/>
          <w:sz w:val="24"/>
          <w:szCs w:val="24"/>
        </w:rPr>
        <w:t>PVC：</w:t>
      </w:r>
      <w:r w:rsidR="009B534D" w:rsidRPr="009B534D">
        <w:rPr>
          <w:rFonts w:ascii="楷体" w:eastAsia="楷体" w:hAnsi="楷体" w:hint="eastAsia"/>
          <w:b/>
          <w:color w:val="000000" w:themeColor="text1"/>
          <w:sz w:val="24"/>
          <w:szCs w:val="24"/>
        </w:rPr>
        <w:t>成本端化工煤减产及消费回暖预期提振 关注V企稳后低多机会</w:t>
      </w:r>
      <w:bookmarkEnd w:id="36"/>
    </w:p>
    <w:p w:rsidR="003F56A5" w:rsidRDefault="009B534D">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供需方面，目前供应相对稳定，开工率维持8成附近。国内供应及库存充足，需求方面出口走弱及房地产数据不佳，市场表现疲软。预估生产利润长期亏损带来的负反馈及即将到来的春检等因素影响，供应有缩量预期。需求端尚处在季节性旺季，但因盘面期价持续走弱下游近期拿货仍相对谨慎。但从库存的季节性规律来看，有望在3月下旬开始进入去库节奏，中线消费回暖仍存期待。关注V企稳后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0546204"/>
      <w:r>
        <w:rPr>
          <w:rFonts w:ascii="楷体" w:eastAsia="楷体" w:hAnsi="楷体" w:hint="eastAsia"/>
          <w:b/>
          <w:color w:val="000000" w:themeColor="text1"/>
          <w:sz w:val="24"/>
          <w:szCs w:val="24"/>
        </w:rPr>
        <w:t>聚烯烃：</w:t>
      </w:r>
      <w:r w:rsidR="009B534D" w:rsidRPr="009B534D">
        <w:rPr>
          <w:rFonts w:ascii="楷体" w:eastAsia="楷体" w:hAnsi="楷体" w:hint="eastAsia"/>
          <w:b/>
          <w:color w:val="000000" w:themeColor="text1"/>
          <w:sz w:val="24"/>
          <w:szCs w:val="24"/>
        </w:rPr>
        <w:t>终端需求不及预期，聚烯烃延续窄幅波动为主</w:t>
      </w:r>
      <w:bookmarkEnd w:id="37"/>
    </w:p>
    <w:p w:rsidR="003F56A5" w:rsidRDefault="009B534D">
      <w:pPr>
        <w:ind w:leftChars="300" w:left="630"/>
        <w:rPr>
          <w:rFonts w:ascii="楷体" w:eastAsia="楷体" w:hAnsi="楷体"/>
          <w:bCs/>
          <w:sz w:val="24"/>
          <w:szCs w:val="24"/>
        </w:rPr>
      </w:pPr>
      <w:r w:rsidRPr="009B534D">
        <w:rPr>
          <w:rFonts w:ascii="楷体" w:eastAsia="楷体" w:hAnsi="楷体" w:hint="eastAsia"/>
          <w:color w:val="000000" w:themeColor="text1"/>
          <w:sz w:val="24"/>
          <w:szCs w:val="24"/>
        </w:rPr>
        <w:t>近期聚烯烃窄幅整理为主。库存方面，上周国内国内PE库存环比3月10日增加0.96%，其中样本主要生产环节PE库存环比增加3.84%，PE样本港口库存环比下降0.36%，样本贸易企业库存环比下降2.98%。上周五国内PP库存环比3月10日上升3.58%。其中主要生产环节PP库存上升、港口库存，贸易环节库存下降。短期聚烯烃去库节奏偏一般。成本方面，美国不急于补充石油战略储备，加之美国原油库存增长，市场对经济衰退担忧再起， 国际油价四个交易日以来首次下跌，目前油制PE利润大约为-312.45元/吨，油制PP利润大约为-1459.60元/吨，相较早前出现一定程度回落；需求方面，PE下游方面，地膜需求跟进有限，虽工厂开工继续提升，但订单积累有限，总体上来说，需求不及预期。PP方面，BOPP整体成交一般，部分企业报价下调，实际成交注重商谈，整体量较上一交易日减少，当前BOPP企业未交付订单多数在7天内，部分至4月上旬。综合来看，聚烯烃上游原油支撑减弱，PE方面，原油成本端走势回落，对聚乙烯支撑力度减弱；供应端，市场成交情况一般，多观望，市场人士对后市存担忧情绪，刚需采购为主。预计今日聚乙烯价格窄幅波动为主。PP方面，供应面来看，京博石化一线40万吨/年及广西鸿谊30万吨/年新装置正式投产，一季度扩能集中释放，叠加近期检修装置不多，前期停车装置陆续重启，供应端压力凸显。尽管刚需支撑仍存，需求端迟迟不见明显好转，交易重心回归供需基本面，因此预计今日延续窄幅波动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0546205"/>
      <w:r>
        <w:rPr>
          <w:rFonts w:ascii="楷体" w:eastAsia="楷体" w:hAnsi="楷体" w:hint="eastAsia"/>
          <w:b/>
          <w:color w:val="000000" w:themeColor="text1"/>
          <w:sz w:val="24"/>
          <w:szCs w:val="24"/>
        </w:rPr>
        <w:t>MEG：</w:t>
      </w:r>
      <w:r w:rsidR="009B534D" w:rsidRPr="009B534D">
        <w:rPr>
          <w:rFonts w:ascii="楷体" w:eastAsia="楷体" w:hAnsi="楷体" w:hint="eastAsia"/>
          <w:b/>
          <w:color w:val="000000" w:themeColor="text1"/>
          <w:sz w:val="24"/>
          <w:szCs w:val="24"/>
        </w:rPr>
        <w:t>05弱势难改</w:t>
      </w:r>
      <w:bookmarkEnd w:id="38"/>
    </w:p>
    <w:p w:rsidR="003F56A5" w:rsidRDefault="009B534D" w:rsidP="00E45000">
      <w:pPr>
        <w:ind w:leftChars="300" w:left="630"/>
        <w:rPr>
          <w:rFonts w:ascii="楷体" w:eastAsia="楷体" w:hAnsi="楷体"/>
          <w:bCs/>
          <w:sz w:val="24"/>
          <w:szCs w:val="24"/>
        </w:rPr>
      </w:pPr>
      <w:r w:rsidRPr="009B534D">
        <w:rPr>
          <w:rFonts w:ascii="楷体" w:eastAsia="楷体" w:hAnsi="楷体" w:hint="eastAsia"/>
          <w:color w:val="000000" w:themeColor="text1"/>
          <w:sz w:val="24"/>
          <w:szCs w:val="24"/>
        </w:rPr>
        <w:t>供需情况，3.20 华东主港地区MEG港口库存约110.3万吨附近，环比上期增加0.1万吨。截至3月23日，中国大陆地区乙二醇整体开工负荷在59.68%（-1.36%），其中煤制乙二醇开工负荷在53.67%（-2.96%） 。进口方面来看，近期有多单美国货成交至中国市场，3月下装船数量在3万吨附近。随着美国乙二醇装置负荷的提升，乙二醇进口供应压力增加。聚酯需求端来看，截止3.23初步核算国内大陆地区聚酯负荷在90.1%。本周江</w:t>
      </w:r>
      <w:r w:rsidRPr="009B534D">
        <w:rPr>
          <w:rFonts w:ascii="楷体" w:eastAsia="楷体" w:hAnsi="楷体" w:hint="eastAsia"/>
          <w:color w:val="000000" w:themeColor="text1"/>
          <w:sz w:val="24"/>
          <w:szCs w:val="24"/>
        </w:rPr>
        <w:lastRenderedPageBreak/>
        <w:t>浙终端开工率零星下降，织造新单氛围不佳。江浙加弹综合开工率87%(-2%)，江浙织机综合开工率74%(-1%），江浙印染综合开工率82%（-3%），江浙终端工厂原料备货维持。综合来看，煤化工供应充足及高库存压制盘面，且美国货增加出口至中国，乙二醇近期走势承压。但EG05合约已回到4000附近估值偏低，前期部分多TA空EG的套利单部分平仓及聚酯高开工维持带动乙二醇小幅反弹。警惕TA走势偏强态势下空配乙二醇的风险。关注后期EG 09 低位加多机会。仅供参考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3054620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3054620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9B534D" w:rsidRPr="009B534D">
        <w:rPr>
          <w:rFonts w:ascii="楷体" w:eastAsia="楷体" w:hAnsi="楷体" w:hint="eastAsia"/>
          <w:b/>
          <w:sz w:val="24"/>
          <w:szCs w:val="24"/>
        </w:rPr>
        <w:t>阶段性供应压力，走势偏弱</w:t>
      </w:r>
      <w:bookmarkEnd w:id="40"/>
    </w:p>
    <w:p w:rsidR="003F56A5" w:rsidRDefault="009B534D">
      <w:pPr>
        <w:ind w:leftChars="300" w:left="630"/>
        <w:rPr>
          <w:rFonts w:ascii="楷体" w:eastAsia="楷体" w:hAnsi="楷体"/>
          <w:sz w:val="24"/>
          <w:szCs w:val="24"/>
        </w:rPr>
      </w:pPr>
      <w:r w:rsidRPr="009B534D">
        <w:rPr>
          <w:rFonts w:ascii="楷体" w:eastAsia="楷体" w:hAnsi="楷体" w:hint="eastAsia"/>
          <w:sz w:val="24"/>
          <w:szCs w:val="24"/>
        </w:rPr>
        <w:t>隔夜美豆跌幅超2%，因多头清仓、技术性抛售以及巴西丰产压力，有机构预估巴西产量将达到1.55亿吨的创纪录水平。当前随着阿根廷减产炒作减弱，巴西大豆收割及出口进度加快，而库容有限，后续供应压力预计会逐步释放。国内市场，近期进口大豆供应放缓，油厂开机在近期大豆供应减少下，部分地区出现断豆停机现象，但4月份后进口大豆供应预计大幅增加，根据机构预估3月份预计到港663万吨，4月份预计到港960万吨，后续到港压力逐步增加。下游养殖利润近期表现仍不佳，饲企和养殖企业等对豆粕饲用需求减弱，下游提货较慢，导致华南部分地区出现胀库，现货价易跌难涨，带动基差持续走弱。菜粕供应端在进口菜籽持续增加下逐步修复，油厂开机及压榨明显回升。而需求方面在豆粕价格逐渐回落下菜粕替代需求预计减弱，但随着气温逐渐回暖，华南地区水产需求或将逐步启动，关注需求端能否带来一定支撑。策略方面，关注3月后巴西大豆到港节奏，且随着巴西收割加快卖压也将逐步显现，两粕价格重心预计下移，建议短空操作，前期空单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30546208"/>
      <w:r>
        <w:rPr>
          <w:rFonts w:ascii="楷体" w:eastAsia="楷体" w:hAnsi="楷体" w:hint="eastAsia"/>
          <w:b/>
          <w:color w:val="000000" w:themeColor="text1"/>
          <w:sz w:val="24"/>
          <w:szCs w:val="24"/>
        </w:rPr>
        <w:t>油脂：</w:t>
      </w:r>
      <w:r w:rsidR="009B534D" w:rsidRPr="009B534D">
        <w:rPr>
          <w:rFonts w:ascii="楷体" w:eastAsia="楷体" w:hAnsi="楷体" w:hint="eastAsia"/>
          <w:b/>
          <w:sz w:val="24"/>
          <w:szCs w:val="24"/>
        </w:rPr>
        <w:t>延续偏弱走势</w:t>
      </w:r>
      <w:bookmarkEnd w:id="41"/>
    </w:p>
    <w:p w:rsidR="003F56A5" w:rsidRDefault="009B534D" w:rsidP="00792D31">
      <w:pPr>
        <w:ind w:leftChars="300" w:left="630"/>
        <w:rPr>
          <w:rFonts w:ascii="楷体" w:eastAsia="楷体" w:hAnsi="楷体"/>
          <w:sz w:val="24"/>
          <w:szCs w:val="24"/>
        </w:rPr>
      </w:pPr>
      <w:r w:rsidRPr="009B534D">
        <w:rPr>
          <w:rFonts w:ascii="楷体" w:eastAsia="楷体" w:hAnsi="楷体" w:hint="eastAsia"/>
          <w:sz w:val="24"/>
          <w:szCs w:val="24"/>
        </w:rPr>
        <w:t>宏观市场风险尚未解除，在市场空头氛围浓厚影响下，且基本面并没有明显利多支撑，油脂整体破位下行，菜油仍是最弱品种。棕榈油方面，马棕3月份在减产以及伊斯兰教斋月前备货需求利好出口下，库存预计进一步下调。据船运机构显示，马来西亚3月1-20日棕榈油产品出口量为929,274吨，较上月同期的712,740吨增加30.4%。国内棕榈油供应较充裕，库存在100万吨附近的高位，但在近期进口利润持续倒挂下，进口需求预计下滑。在气温逐渐回暖下，餐饮需求预计逐渐好转，但棕榈油去库仍待观望。豆油，随着天气回暖，在豆棕价差利好棕榈油替代需求下，近期下游成交较清淡，且近期价格跌幅较大，市场持观望心态。在1-2月大豆进口下滑下，近期油厂开机回落，压榨下滑。豆油周度库存小幅回落，处于历史低位水平，因豆粕提货偏慢油厂胀库停机，豆油供给被动减少。菜油在供应边际改善及需求偏弱下，走势相对偏弱。随着进口加籽到港量逐步增加，菜籽库存维持高位，1-2月累计进口菜籽106万吨，且近期菜籽到港预计维持偏高水平。近期油厂开机回升，菜油库存在需求疲软下预计逐步修复。在供应边际好转下菜油基差持续走弱，对盘面支撑减弱。短期宏观风险压力叠加供应宽松预期下，油脂延续弱势，建议短空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30546209"/>
      <w:r>
        <w:rPr>
          <w:rFonts w:ascii="楷体" w:eastAsia="楷体" w:hAnsi="楷体" w:hint="eastAsia"/>
          <w:b/>
          <w:bCs/>
          <w:color w:val="000000" w:themeColor="text1"/>
        </w:rPr>
        <w:t>玉米与淀粉：</w:t>
      </w:r>
      <w:r w:rsidR="009B534D" w:rsidRPr="009B534D">
        <w:rPr>
          <w:rFonts w:ascii="楷体" w:eastAsia="楷体" w:hAnsi="楷体" w:hint="eastAsia"/>
          <w:b/>
        </w:rPr>
        <w:t>价差小幅反弹</w:t>
      </w:r>
      <w:bookmarkEnd w:id="42"/>
    </w:p>
    <w:p w:rsidR="009B534D" w:rsidRPr="009B534D" w:rsidRDefault="009B534D" w:rsidP="009B534D">
      <w:pPr>
        <w:pStyle w:val="paragraph"/>
        <w:spacing w:before="60" w:after="60"/>
        <w:ind w:leftChars="300" w:left="630"/>
        <w:rPr>
          <w:rFonts w:ascii="楷体" w:eastAsia="楷体" w:hAnsi="楷体" w:hint="eastAsia"/>
        </w:rPr>
      </w:pPr>
      <w:r w:rsidRPr="009B534D">
        <w:rPr>
          <w:rFonts w:ascii="楷体" w:eastAsia="楷体" w:hAnsi="楷体" w:hint="eastAsia"/>
        </w:rPr>
        <w:t>对于玉米而言，在前期报告中，我们侧重从供需矛盾角度出发，供应端来看，年度尚存在产需缺口，短期余粮压力从农户转移到贸易商后存在成本支撑；需求端来看，远期贴水抑制补库积极性，至少会压缩库存周期，短期则更多集中性价比层面，也就是说比较难以接受目前的价格水平。随着北方港口库存的回升，深加工企业玉米库存的持续累积，我们倾向于玉米市场的风险正在积聚，接下来特别留意供应端的潜在冲击，包括小麦饲用替代和陈化水稻投放两个方面。考虑到近期小麦持续下跌，有望通过饲用替代带来供应端的冲击，我们观点转向谨慎看空。</w:t>
      </w:r>
    </w:p>
    <w:p w:rsidR="003F56A5" w:rsidRDefault="009B534D" w:rsidP="009B534D">
      <w:pPr>
        <w:pStyle w:val="paragraph"/>
        <w:spacing w:before="60" w:beforeAutospacing="0" w:after="60" w:afterAutospacing="0"/>
        <w:ind w:leftChars="300" w:left="630"/>
        <w:rPr>
          <w:rFonts w:ascii="楷体" w:eastAsia="楷体" w:hAnsi="楷体"/>
        </w:rPr>
      </w:pPr>
      <w:r w:rsidRPr="009B534D">
        <w:rPr>
          <w:rFonts w:ascii="楷体" w:eastAsia="楷体" w:hAnsi="楷体" w:hint="eastAsia"/>
        </w:rPr>
        <w:t>对于淀粉而言，本周以来淀粉-玉米价差持续收窄主要源于成本端的冲击，特别是出于对华北玉米价格下跌的担忧，但考虑到目前淀粉期价贴水现货，而期现货生产利润均已大幅亏损，表明盘面已经在一定程度上反映了成本端下跌的预期，所以，我们倾向于价差继续收窄空间或有限</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30546210"/>
      <w:r>
        <w:rPr>
          <w:rFonts w:ascii="楷体" w:eastAsia="楷体" w:hAnsi="楷体" w:hint="eastAsia"/>
          <w:b/>
          <w:bCs/>
          <w:color w:val="000000" w:themeColor="text1"/>
        </w:rPr>
        <w:t>畜禽养殖：</w:t>
      </w:r>
      <w:r w:rsidR="00535DC9" w:rsidRPr="00535DC9">
        <w:rPr>
          <w:rFonts w:ascii="楷体" w:eastAsia="楷体" w:hAnsi="楷体" w:hint="eastAsia"/>
          <w:b/>
          <w:bCs/>
          <w:color w:val="000000" w:themeColor="text1"/>
        </w:rPr>
        <w:t>期价震荡等待现货上涨</w:t>
      </w:r>
      <w:bookmarkEnd w:id="43"/>
    </w:p>
    <w:p w:rsidR="00535DC9" w:rsidRPr="00535DC9" w:rsidRDefault="00535DC9" w:rsidP="00535DC9">
      <w:pPr>
        <w:pStyle w:val="paragraph"/>
        <w:spacing w:before="60" w:after="60"/>
        <w:ind w:leftChars="300" w:left="630"/>
        <w:rPr>
          <w:rFonts w:ascii="楷体" w:eastAsia="楷体" w:hAnsi="楷体"/>
        </w:rPr>
      </w:pPr>
      <w:r w:rsidRPr="00535DC9">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以来现货一波三折，缺乏持续上涨动力，考虑到禽类产品价格和利润均处于历史同期高位水平，我们更多倾向于猪价表现或更多源于需求端，而季节性淡季之后需求或有望趋于改善，加上目前生猪养殖仍处于亏损状态，现货上涨仍可期待。参考去年生猪期现货表现来看，接下来即3月下旬有望进入一个重要的观测时间窗口。我们维持谨慎看多观点，建议谨慎投资者继续观望为宜，激进投资者如有介入多单则可以持有。</w:t>
      </w:r>
    </w:p>
    <w:p w:rsidR="003F56A5" w:rsidRDefault="00535DC9" w:rsidP="00535DC9">
      <w:pPr>
        <w:pStyle w:val="paragraph"/>
        <w:spacing w:before="60" w:beforeAutospacing="0" w:after="60" w:afterAutospacing="0"/>
        <w:ind w:leftChars="300" w:left="630"/>
        <w:rPr>
          <w:rFonts w:ascii="楷体" w:eastAsia="楷体" w:hAnsi="楷体"/>
        </w:rPr>
      </w:pPr>
      <w:r w:rsidRPr="00535DC9">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幅贴水，基差处于历史同</w:t>
      </w:r>
      <w:r w:rsidRPr="00535DC9">
        <w:rPr>
          <w:rFonts w:ascii="楷体" w:eastAsia="楷体" w:hAnsi="楷体" w:hint="eastAsia"/>
        </w:rPr>
        <w:lastRenderedPageBreak/>
        <w:t>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30546211"/>
      <w:r>
        <w:rPr>
          <w:rFonts w:ascii="楷体" w:eastAsia="楷体" w:hAnsi="楷体" w:hint="eastAsia"/>
          <w:b/>
          <w:sz w:val="24"/>
          <w:szCs w:val="24"/>
        </w:rPr>
        <w:t>郑棉：</w:t>
      </w:r>
      <w:r w:rsidR="009B534D" w:rsidRPr="009B534D">
        <w:rPr>
          <w:rFonts w:ascii="楷体" w:eastAsia="楷体" w:hAnsi="楷体" w:hint="eastAsia"/>
          <w:b/>
          <w:sz w:val="24"/>
          <w:szCs w:val="24"/>
        </w:rPr>
        <w:t>郑棉围绕1.4万震荡。宽跨式期权卖权持有</w:t>
      </w:r>
      <w:bookmarkEnd w:id="44"/>
    </w:p>
    <w:p w:rsidR="003F56A5" w:rsidRDefault="009B534D">
      <w:pPr>
        <w:ind w:leftChars="300" w:left="630"/>
        <w:rPr>
          <w:rFonts w:ascii="楷体" w:eastAsia="楷体" w:hAnsi="楷体"/>
          <w:sz w:val="24"/>
          <w:szCs w:val="24"/>
        </w:rPr>
      </w:pPr>
      <w:r w:rsidRPr="009B534D">
        <w:rPr>
          <w:rFonts w:ascii="楷体" w:eastAsia="楷体" w:hAnsi="楷体" w:hint="eastAsia"/>
          <w:sz w:val="24"/>
          <w:szCs w:val="24"/>
        </w:rPr>
        <w:t>宏观影响力度降低，商品重返基本面逻辑。2022/23年度棉花丰产，供应十分充沛。需求方面，由于纱厂织厂保持高开机率，对原料库存也有刚性需求支撑。且当前商品普遍近高远低，棉花是少数远月价格较高适合贸易的商品品种。因供应宽裕，价格处于相对低位，叠加刚需和贸易需求支撑，多空矛盾不显著，郑棉围绕1.4万关口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D4" w:rsidRDefault="008740D4">
      <w:r>
        <w:separator/>
      </w:r>
    </w:p>
  </w:endnote>
  <w:endnote w:type="continuationSeparator" w:id="0">
    <w:p w:rsidR="008740D4" w:rsidRDefault="0087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4F1E531" wp14:editId="0EF26E2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575E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575E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D4" w:rsidRDefault="008740D4">
      <w:r>
        <w:separator/>
      </w:r>
    </w:p>
  </w:footnote>
  <w:footnote w:type="continuationSeparator" w:id="0">
    <w:p w:rsidR="008740D4" w:rsidRDefault="008740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97852A3" wp14:editId="780723B6">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579AB56" wp14:editId="27AEC6CE">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C575E9">
      <w:rPr>
        <w:rFonts w:ascii="Times New Roman" w:eastAsia="楷体" w:hAnsi="Times New Roman" w:hint="eastAsia"/>
        <w:b/>
        <w:bCs/>
        <w:noProof/>
        <w:color w:val="833C0B"/>
        <w:sz w:val="21"/>
      </w:rPr>
      <w:t>2023</w:t>
    </w:r>
    <w:r w:rsidR="00C575E9">
      <w:rPr>
        <w:rFonts w:ascii="Times New Roman" w:eastAsia="楷体" w:hAnsi="Times New Roman" w:hint="eastAsia"/>
        <w:b/>
        <w:bCs/>
        <w:noProof/>
        <w:color w:val="833C0B"/>
        <w:sz w:val="21"/>
      </w:rPr>
      <w:t>年</w:t>
    </w:r>
    <w:r w:rsidR="00C575E9">
      <w:rPr>
        <w:rFonts w:ascii="Times New Roman" w:eastAsia="楷体" w:hAnsi="Times New Roman" w:hint="eastAsia"/>
        <w:b/>
        <w:bCs/>
        <w:noProof/>
        <w:color w:val="833C0B"/>
        <w:sz w:val="21"/>
      </w:rPr>
      <w:t>3</w:t>
    </w:r>
    <w:r w:rsidR="00C575E9">
      <w:rPr>
        <w:rFonts w:ascii="Times New Roman" w:eastAsia="楷体" w:hAnsi="Times New Roman" w:hint="eastAsia"/>
        <w:b/>
        <w:bCs/>
        <w:noProof/>
        <w:color w:val="833C0B"/>
        <w:sz w:val="21"/>
      </w:rPr>
      <w:t>月</w:t>
    </w:r>
    <w:r w:rsidR="00C575E9">
      <w:rPr>
        <w:rFonts w:ascii="Times New Roman" w:eastAsia="楷体" w:hAnsi="Times New Roman" w:hint="eastAsia"/>
        <w:b/>
        <w:bCs/>
        <w:noProof/>
        <w:color w:val="833C0B"/>
        <w:sz w:val="21"/>
      </w:rPr>
      <w:t>24</w:t>
    </w:r>
    <w:r w:rsidR="00C575E9">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0E4EEB"/>
    <w:rsid w:val="00120B1F"/>
    <w:rsid w:val="00147B03"/>
    <w:rsid w:val="0015047B"/>
    <w:rsid w:val="001942CB"/>
    <w:rsid w:val="001A3E49"/>
    <w:rsid w:val="001B179D"/>
    <w:rsid w:val="001B1904"/>
    <w:rsid w:val="001B2D4C"/>
    <w:rsid w:val="001B6394"/>
    <w:rsid w:val="001C77D0"/>
    <w:rsid w:val="001F5438"/>
    <w:rsid w:val="002074A1"/>
    <w:rsid w:val="00216C1E"/>
    <w:rsid w:val="00226406"/>
    <w:rsid w:val="00235529"/>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3DB4"/>
    <w:rsid w:val="003C5F91"/>
    <w:rsid w:val="003D3A9E"/>
    <w:rsid w:val="003F2424"/>
    <w:rsid w:val="003F56A5"/>
    <w:rsid w:val="004201F5"/>
    <w:rsid w:val="004230AC"/>
    <w:rsid w:val="00440FBE"/>
    <w:rsid w:val="004427D1"/>
    <w:rsid w:val="00461147"/>
    <w:rsid w:val="00485A3F"/>
    <w:rsid w:val="00487F77"/>
    <w:rsid w:val="004977A9"/>
    <w:rsid w:val="004A3F85"/>
    <w:rsid w:val="004A65B5"/>
    <w:rsid w:val="004E58A5"/>
    <w:rsid w:val="005145ED"/>
    <w:rsid w:val="00535DC9"/>
    <w:rsid w:val="00541F3F"/>
    <w:rsid w:val="00547DD7"/>
    <w:rsid w:val="005523A5"/>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40D4"/>
    <w:rsid w:val="0087785E"/>
    <w:rsid w:val="008A1D22"/>
    <w:rsid w:val="008B361D"/>
    <w:rsid w:val="008C1554"/>
    <w:rsid w:val="008E2B15"/>
    <w:rsid w:val="008E3B84"/>
    <w:rsid w:val="00906E0C"/>
    <w:rsid w:val="00907943"/>
    <w:rsid w:val="00916E97"/>
    <w:rsid w:val="009316EC"/>
    <w:rsid w:val="009317CD"/>
    <w:rsid w:val="009644D9"/>
    <w:rsid w:val="0097131C"/>
    <w:rsid w:val="009870E4"/>
    <w:rsid w:val="009A12FA"/>
    <w:rsid w:val="009B534D"/>
    <w:rsid w:val="009B591A"/>
    <w:rsid w:val="009C483C"/>
    <w:rsid w:val="009D4A74"/>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33D0"/>
    <w:rsid w:val="00B15418"/>
    <w:rsid w:val="00B1758C"/>
    <w:rsid w:val="00B443CE"/>
    <w:rsid w:val="00B4555A"/>
    <w:rsid w:val="00B53C56"/>
    <w:rsid w:val="00B606EF"/>
    <w:rsid w:val="00B618F8"/>
    <w:rsid w:val="00B72E2D"/>
    <w:rsid w:val="00B805BD"/>
    <w:rsid w:val="00BA4663"/>
    <w:rsid w:val="00BA696B"/>
    <w:rsid w:val="00BC71D6"/>
    <w:rsid w:val="00BD4C85"/>
    <w:rsid w:val="00BF3137"/>
    <w:rsid w:val="00C02ECE"/>
    <w:rsid w:val="00C2031B"/>
    <w:rsid w:val="00C2080D"/>
    <w:rsid w:val="00C228D6"/>
    <w:rsid w:val="00C240C3"/>
    <w:rsid w:val="00C25562"/>
    <w:rsid w:val="00C575E9"/>
    <w:rsid w:val="00C62202"/>
    <w:rsid w:val="00C6240E"/>
    <w:rsid w:val="00C66C6C"/>
    <w:rsid w:val="00C70FDD"/>
    <w:rsid w:val="00C82E4D"/>
    <w:rsid w:val="00C91234"/>
    <w:rsid w:val="00CB1F18"/>
    <w:rsid w:val="00CB2FD2"/>
    <w:rsid w:val="00CB3015"/>
    <w:rsid w:val="00CC3E40"/>
    <w:rsid w:val="00CC3FFA"/>
    <w:rsid w:val="00CD5884"/>
    <w:rsid w:val="00CD5DE8"/>
    <w:rsid w:val="00CE7903"/>
    <w:rsid w:val="00CF6C71"/>
    <w:rsid w:val="00D00D60"/>
    <w:rsid w:val="00D017E5"/>
    <w:rsid w:val="00D01A19"/>
    <w:rsid w:val="00D309C4"/>
    <w:rsid w:val="00D45E53"/>
    <w:rsid w:val="00D63655"/>
    <w:rsid w:val="00D75630"/>
    <w:rsid w:val="00D842AA"/>
    <w:rsid w:val="00D86D76"/>
    <w:rsid w:val="00D87130"/>
    <w:rsid w:val="00D93E0B"/>
    <w:rsid w:val="00DE02C4"/>
    <w:rsid w:val="00DF3B28"/>
    <w:rsid w:val="00DF56EC"/>
    <w:rsid w:val="00E020F2"/>
    <w:rsid w:val="00E12059"/>
    <w:rsid w:val="00E25D21"/>
    <w:rsid w:val="00E31716"/>
    <w:rsid w:val="00E34551"/>
    <w:rsid w:val="00E40036"/>
    <w:rsid w:val="00E45000"/>
    <w:rsid w:val="00E451FD"/>
    <w:rsid w:val="00E55B22"/>
    <w:rsid w:val="00E64502"/>
    <w:rsid w:val="00E847DF"/>
    <w:rsid w:val="00E928BB"/>
    <w:rsid w:val="00EA28CA"/>
    <w:rsid w:val="00EB56F2"/>
    <w:rsid w:val="00ED451D"/>
    <w:rsid w:val="00F07C02"/>
    <w:rsid w:val="00F157C6"/>
    <w:rsid w:val="00F234BF"/>
    <w:rsid w:val="00F268B3"/>
    <w:rsid w:val="00F31CCA"/>
    <w:rsid w:val="00F43E0E"/>
    <w:rsid w:val="00F473F0"/>
    <w:rsid w:val="00F622ED"/>
    <w:rsid w:val="00F65EEA"/>
    <w:rsid w:val="00F776D3"/>
    <w:rsid w:val="00F95209"/>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54244-B8BC-4A60-8B23-14BF133B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9</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60</cp:revision>
  <cp:lastPrinted>2023-03-24T02:29:00Z</cp:lastPrinted>
  <dcterms:created xsi:type="dcterms:W3CDTF">2022-11-15T10:06:00Z</dcterms:created>
  <dcterms:modified xsi:type="dcterms:W3CDTF">2023-03-24T02:30:00Z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