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4500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E45000" w:rsidRPr="001832EB">
            <w:rPr>
              <w:rStyle w:val="a7"/>
              <w:noProof/>
            </w:rPr>
            <w:fldChar w:fldCharType="begin"/>
          </w:r>
          <w:r w:rsidR="00E45000" w:rsidRPr="001832EB">
            <w:rPr>
              <w:rStyle w:val="a7"/>
              <w:noProof/>
            </w:rPr>
            <w:instrText xml:space="preserve"> </w:instrText>
          </w:r>
          <w:r w:rsidR="00E45000">
            <w:rPr>
              <w:noProof/>
            </w:rPr>
            <w:instrText>HYPERLINK \l "_Toc130287438"</w:instrText>
          </w:r>
          <w:r w:rsidR="00E45000" w:rsidRPr="001832EB">
            <w:rPr>
              <w:rStyle w:val="a7"/>
              <w:noProof/>
            </w:rPr>
            <w:instrText xml:space="preserve"> </w:instrText>
          </w:r>
          <w:r w:rsidR="00E45000" w:rsidRPr="001832EB">
            <w:rPr>
              <w:rStyle w:val="a7"/>
              <w:noProof/>
            </w:rPr>
          </w:r>
          <w:r w:rsidR="00E45000" w:rsidRPr="001832EB">
            <w:rPr>
              <w:rStyle w:val="a7"/>
              <w:noProof/>
            </w:rPr>
            <w:fldChar w:fldCharType="separate"/>
          </w:r>
          <w:r w:rsidR="00E45000" w:rsidRPr="001832EB">
            <w:rPr>
              <w:rStyle w:val="a7"/>
              <w:rFonts w:ascii="Times New Roman" w:eastAsia="楷体" w:hAnsi="Times New Roman"/>
              <w:b/>
              <w:noProof/>
            </w:rPr>
            <w:t>[</w:t>
          </w:r>
          <w:r w:rsidR="00E45000" w:rsidRPr="001832EB">
            <w:rPr>
              <w:rStyle w:val="a7"/>
              <w:rFonts w:ascii="Times New Roman" w:eastAsia="楷体" w:hAnsi="Times New Roman"/>
              <w:b/>
              <w:noProof/>
            </w:rPr>
            <w:t>金融</w:t>
          </w:r>
          <w:r w:rsidR="00E45000" w:rsidRPr="001832EB">
            <w:rPr>
              <w:rStyle w:val="a7"/>
              <w:rFonts w:ascii="Times New Roman" w:eastAsia="楷体" w:hAnsi="Times New Roman"/>
              <w:b/>
              <w:noProof/>
            </w:rPr>
            <w:t>]</w:t>
          </w:r>
          <w:r w:rsidR="00E45000" w:rsidRPr="001832EB">
            <w:rPr>
              <w:rStyle w:val="a7"/>
              <w:noProof/>
            </w:rPr>
            <w:fldChar w:fldCharType="end"/>
          </w:r>
        </w:p>
        <w:p w:rsidR="00E45000" w:rsidRDefault="00E45000">
          <w:pPr>
            <w:pStyle w:val="2"/>
            <w:tabs>
              <w:tab w:val="right" w:leader="dot" w:pos="8296"/>
            </w:tabs>
            <w:rPr>
              <w:rFonts w:eastAsiaTheme="minorEastAsia"/>
              <w:noProof/>
              <w:szCs w:val="22"/>
            </w:rPr>
          </w:pPr>
          <w:hyperlink w:anchor="_Toc130287439" w:history="1">
            <w:r w:rsidRPr="001832EB">
              <w:rPr>
                <w:rStyle w:val="a7"/>
                <w:rFonts w:ascii="Times New Roman" w:eastAsia="楷体" w:hAnsi="Times New Roman"/>
                <w:b/>
                <w:noProof/>
              </w:rPr>
              <w:t>股指：逐步左侧布局，低多</w:t>
            </w:r>
            <w:r w:rsidRPr="001832EB">
              <w:rPr>
                <w:rStyle w:val="a7"/>
                <w:rFonts w:ascii="Times New Roman" w:eastAsia="楷体" w:hAnsi="Times New Roman"/>
                <w:b/>
                <w:noProof/>
              </w:rPr>
              <w:t>IH</w:t>
            </w:r>
          </w:hyperlink>
        </w:p>
        <w:p w:rsidR="00E45000" w:rsidRDefault="00E45000">
          <w:pPr>
            <w:pStyle w:val="11"/>
            <w:tabs>
              <w:tab w:val="right" w:leader="dot" w:pos="8296"/>
            </w:tabs>
            <w:rPr>
              <w:rFonts w:eastAsiaTheme="minorEastAsia"/>
              <w:noProof/>
              <w:szCs w:val="22"/>
            </w:rPr>
          </w:pPr>
          <w:hyperlink w:anchor="_Toc130287440" w:history="1">
            <w:r w:rsidRPr="001832EB">
              <w:rPr>
                <w:rStyle w:val="a7"/>
                <w:rFonts w:ascii="Times New Roman" w:eastAsia="楷体" w:hAnsi="Times New Roman"/>
                <w:b/>
                <w:noProof/>
              </w:rPr>
              <w:t>[</w:t>
            </w:r>
            <w:r w:rsidRPr="001832EB">
              <w:rPr>
                <w:rStyle w:val="a7"/>
                <w:rFonts w:ascii="Times New Roman" w:eastAsia="楷体" w:hAnsi="Times New Roman"/>
                <w:b/>
                <w:noProof/>
              </w:rPr>
              <w:t>贵金属</w:t>
            </w:r>
            <w:r w:rsidRPr="001832EB">
              <w:rPr>
                <w:rStyle w:val="a7"/>
                <w:rFonts w:ascii="Times New Roman" w:eastAsia="楷体" w:hAnsi="Times New Roman"/>
                <w:b/>
                <w:noProof/>
              </w:rPr>
              <w:t>]</w:t>
            </w:r>
          </w:hyperlink>
        </w:p>
        <w:p w:rsidR="00E45000" w:rsidRDefault="00E45000">
          <w:pPr>
            <w:pStyle w:val="2"/>
            <w:tabs>
              <w:tab w:val="right" w:leader="dot" w:pos="8296"/>
            </w:tabs>
            <w:rPr>
              <w:rFonts w:eastAsiaTheme="minorEastAsia"/>
              <w:noProof/>
              <w:szCs w:val="22"/>
            </w:rPr>
          </w:pPr>
          <w:hyperlink w:anchor="_Toc130287441" w:history="1">
            <w:r w:rsidRPr="001832EB">
              <w:rPr>
                <w:rStyle w:val="a7"/>
                <w:rFonts w:ascii="Times New Roman" w:eastAsia="楷体" w:hAnsi="Times New Roman"/>
                <w:b/>
                <w:noProof/>
              </w:rPr>
              <w:t>贵金属：美联储或放缓加息，银价高位震荡</w:t>
            </w:r>
          </w:hyperlink>
        </w:p>
        <w:p w:rsidR="00E45000" w:rsidRDefault="00E45000">
          <w:pPr>
            <w:pStyle w:val="11"/>
            <w:tabs>
              <w:tab w:val="right" w:leader="dot" w:pos="8296"/>
            </w:tabs>
            <w:rPr>
              <w:rFonts w:eastAsiaTheme="minorEastAsia"/>
              <w:noProof/>
              <w:szCs w:val="22"/>
            </w:rPr>
          </w:pPr>
          <w:hyperlink w:anchor="_Toc130287442" w:history="1">
            <w:r w:rsidRPr="001832EB">
              <w:rPr>
                <w:rStyle w:val="a7"/>
                <w:rFonts w:ascii="Times New Roman" w:eastAsia="楷体" w:hAnsi="Times New Roman"/>
                <w:b/>
                <w:noProof/>
              </w:rPr>
              <w:t>[</w:t>
            </w:r>
            <w:r w:rsidRPr="001832EB">
              <w:rPr>
                <w:rStyle w:val="a7"/>
                <w:rFonts w:ascii="Times New Roman" w:eastAsia="楷体" w:hAnsi="Times New Roman"/>
                <w:b/>
                <w:noProof/>
              </w:rPr>
              <w:t>金属</w:t>
            </w:r>
            <w:r w:rsidRPr="001832EB">
              <w:rPr>
                <w:rStyle w:val="a7"/>
                <w:rFonts w:ascii="Times New Roman" w:eastAsia="楷体" w:hAnsi="Times New Roman"/>
                <w:b/>
                <w:noProof/>
              </w:rPr>
              <w:t>]</w:t>
            </w:r>
          </w:hyperlink>
        </w:p>
        <w:p w:rsidR="00E45000" w:rsidRDefault="00E45000">
          <w:pPr>
            <w:pStyle w:val="2"/>
            <w:tabs>
              <w:tab w:val="right" w:leader="dot" w:pos="8296"/>
            </w:tabs>
            <w:rPr>
              <w:rFonts w:eastAsiaTheme="minorEastAsia"/>
              <w:noProof/>
              <w:szCs w:val="22"/>
            </w:rPr>
          </w:pPr>
          <w:hyperlink w:anchor="_Toc130287443" w:history="1">
            <w:r w:rsidRPr="001832EB">
              <w:rPr>
                <w:rStyle w:val="a7"/>
                <w:rFonts w:ascii="楷体" w:eastAsia="楷体" w:hAnsi="楷体"/>
                <w:b/>
                <w:noProof/>
              </w:rPr>
              <w:t>螺纹钢：海外情绪及监管压力下，盘面回调后观察支撑力度</w:t>
            </w:r>
          </w:hyperlink>
        </w:p>
        <w:p w:rsidR="00E45000" w:rsidRDefault="00E45000">
          <w:pPr>
            <w:pStyle w:val="2"/>
            <w:tabs>
              <w:tab w:val="right" w:leader="dot" w:pos="8296"/>
            </w:tabs>
            <w:rPr>
              <w:rFonts w:eastAsiaTheme="minorEastAsia"/>
              <w:noProof/>
              <w:szCs w:val="22"/>
            </w:rPr>
          </w:pPr>
          <w:hyperlink w:anchor="_Toc130287444" w:history="1">
            <w:r w:rsidRPr="001832EB">
              <w:rPr>
                <w:rStyle w:val="a7"/>
                <w:rFonts w:ascii="楷体" w:eastAsia="楷体" w:hAnsi="楷体"/>
                <w:b/>
                <w:noProof/>
              </w:rPr>
              <w:t>焦炭：海外压制价格向上驱动，预计偏弱震荡</w:t>
            </w:r>
          </w:hyperlink>
        </w:p>
        <w:p w:rsidR="00E45000" w:rsidRDefault="00E45000">
          <w:pPr>
            <w:pStyle w:val="2"/>
            <w:tabs>
              <w:tab w:val="right" w:leader="dot" w:pos="8296"/>
            </w:tabs>
            <w:rPr>
              <w:rFonts w:eastAsiaTheme="minorEastAsia"/>
              <w:noProof/>
              <w:szCs w:val="22"/>
            </w:rPr>
          </w:pPr>
          <w:hyperlink w:anchor="_Toc130287445" w:history="1">
            <w:r w:rsidRPr="001832EB">
              <w:rPr>
                <w:rStyle w:val="a7"/>
                <w:rFonts w:ascii="楷体" w:eastAsia="楷体" w:hAnsi="楷体"/>
                <w:b/>
                <w:noProof/>
              </w:rPr>
              <w:t>焦煤：偏弱运行，等待企稳</w:t>
            </w:r>
          </w:hyperlink>
        </w:p>
        <w:p w:rsidR="00E45000" w:rsidRDefault="00E45000">
          <w:pPr>
            <w:pStyle w:val="2"/>
            <w:tabs>
              <w:tab w:val="right" w:leader="dot" w:pos="8296"/>
            </w:tabs>
            <w:rPr>
              <w:rFonts w:eastAsiaTheme="minorEastAsia"/>
              <w:noProof/>
              <w:szCs w:val="22"/>
            </w:rPr>
          </w:pPr>
          <w:hyperlink w:anchor="_Toc130287446" w:history="1">
            <w:r w:rsidRPr="001832EB">
              <w:rPr>
                <w:rStyle w:val="a7"/>
                <w:rFonts w:ascii="楷体" w:eastAsia="楷体" w:hAnsi="楷体"/>
                <w:b/>
                <w:noProof/>
              </w:rPr>
              <w:t>铜：短期铜价或企稳，关注3月FOMC联储表态</w:t>
            </w:r>
          </w:hyperlink>
        </w:p>
        <w:p w:rsidR="00E45000" w:rsidRDefault="00E45000">
          <w:pPr>
            <w:pStyle w:val="2"/>
            <w:tabs>
              <w:tab w:val="right" w:leader="dot" w:pos="8296"/>
            </w:tabs>
            <w:rPr>
              <w:rFonts w:eastAsiaTheme="minorEastAsia"/>
              <w:noProof/>
              <w:szCs w:val="22"/>
            </w:rPr>
          </w:pPr>
          <w:hyperlink w:anchor="_Toc130287447" w:history="1">
            <w:r w:rsidRPr="001832EB">
              <w:rPr>
                <w:rStyle w:val="a7"/>
                <w:rFonts w:ascii="楷体" w:eastAsia="楷体" w:hAnsi="楷体"/>
                <w:b/>
                <w:noProof/>
              </w:rPr>
              <w:t>铝：万八支撑难破，价格扰动为主</w:t>
            </w:r>
          </w:hyperlink>
        </w:p>
        <w:p w:rsidR="00E45000" w:rsidRDefault="00E45000">
          <w:pPr>
            <w:pStyle w:val="2"/>
            <w:tabs>
              <w:tab w:val="right" w:leader="dot" w:pos="8296"/>
            </w:tabs>
            <w:rPr>
              <w:rFonts w:eastAsiaTheme="minorEastAsia"/>
              <w:noProof/>
              <w:szCs w:val="22"/>
            </w:rPr>
          </w:pPr>
          <w:hyperlink w:anchor="_Toc130287448" w:history="1">
            <w:r w:rsidRPr="001832EB">
              <w:rPr>
                <w:rStyle w:val="a7"/>
                <w:rFonts w:ascii="楷体" w:eastAsia="楷体" w:hAnsi="楷体"/>
                <w:b/>
                <w:noProof/>
              </w:rPr>
              <w:t>锌：宏观情绪主导盘面走向，基本面情况偏多</w:t>
            </w:r>
          </w:hyperlink>
        </w:p>
        <w:p w:rsidR="00E45000" w:rsidRDefault="00E45000">
          <w:pPr>
            <w:pStyle w:val="2"/>
            <w:tabs>
              <w:tab w:val="right" w:leader="dot" w:pos="8296"/>
            </w:tabs>
            <w:rPr>
              <w:rFonts w:eastAsiaTheme="minorEastAsia"/>
              <w:noProof/>
              <w:szCs w:val="22"/>
            </w:rPr>
          </w:pPr>
          <w:hyperlink w:anchor="_Toc130287449" w:history="1">
            <w:r w:rsidRPr="001832EB">
              <w:rPr>
                <w:rStyle w:val="a7"/>
                <w:rFonts w:ascii="楷体" w:eastAsia="楷体" w:hAnsi="楷体"/>
                <w:b/>
                <w:noProof/>
              </w:rPr>
              <w:t>镍：宏微观利空共振，镍价延续跌势</w:t>
            </w:r>
          </w:hyperlink>
        </w:p>
        <w:p w:rsidR="00E45000" w:rsidRDefault="00E45000">
          <w:pPr>
            <w:pStyle w:val="2"/>
            <w:tabs>
              <w:tab w:val="right" w:leader="dot" w:pos="8296"/>
            </w:tabs>
            <w:rPr>
              <w:rFonts w:eastAsiaTheme="minorEastAsia"/>
              <w:noProof/>
              <w:szCs w:val="22"/>
            </w:rPr>
          </w:pPr>
          <w:hyperlink w:anchor="_Toc130287450" w:history="1">
            <w:r w:rsidRPr="001832EB">
              <w:rPr>
                <w:rStyle w:val="a7"/>
                <w:rFonts w:ascii="楷体" w:eastAsia="楷体" w:hAnsi="楷体"/>
                <w:b/>
                <w:noProof/>
              </w:rPr>
              <w:t>不锈钢：原料价格继续下移形成拖累，短期震荡为主</w:t>
            </w:r>
          </w:hyperlink>
        </w:p>
        <w:p w:rsidR="00E45000" w:rsidRDefault="00E45000">
          <w:pPr>
            <w:pStyle w:val="2"/>
            <w:tabs>
              <w:tab w:val="right" w:leader="dot" w:pos="8296"/>
            </w:tabs>
            <w:rPr>
              <w:rFonts w:eastAsiaTheme="minorEastAsia"/>
              <w:noProof/>
              <w:szCs w:val="22"/>
            </w:rPr>
          </w:pPr>
          <w:hyperlink w:anchor="_Toc130287451" w:history="1">
            <w:r w:rsidRPr="001832EB">
              <w:rPr>
                <w:rStyle w:val="a7"/>
                <w:rFonts w:ascii="楷体" w:eastAsia="楷体" w:hAnsi="楷体"/>
                <w:b/>
                <w:noProof/>
              </w:rPr>
              <w:t>工业硅：西南工厂停炉检修计划提前，预计短期市场将逐步企稳</w:t>
            </w:r>
          </w:hyperlink>
        </w:p>
        <w:p w:rsidR="00E45000" w:rsidRDefault="00E45000">
          <w:pPr>
            <w:pStyle w:val="11"/>
            <w:tabs>
              <w:tab w:val="right" w:leader="dot" w:pos="8296"/>
            </w:tabs>
            <w:rPr>
              <w:rFonts w:eastAsiaTheme="minorEastAsia"/>
              <w:noProof/>
              <w:szCs w:val="22"/>
            </w:rPr>
          </w:pPr>
          <w:hyperlink w:anchor="_Toc130287452" w:history="1">
            <w:r w:rsidRPr="001832EB">
              <w:rPr>
                <w:rStyle w:val="a7"/>
                <w:rFonts w:ascii="Times New Roman" w:eastAsia="楷体" w:hAnsi="Times New Roman"/>
                <w:b/>
                <w:noProof/>
              </w:rPr>
              <w:t>[</w:t>
            </w:r>
            <w:r w:rsidRPr="001832EB">
              <w:rPr>
                <w:rStyle w:val="a7"/>
                <w:rFonts w:ascii="Times New Roman" w:eastAsia="楷体" w:hAnsi="Times New Roman"/>
                <w:b/>
                <w:noProof/>
              </w:rPr>
              <w:t>化工</w:t>
            </w:r>
            <w:r w:rsidRPr="001832EB">
              <w:rPr>
                <w:rStyle w:val="a7"/>
                <w:rFonts w:ascii="Times New Roman" w:eastAsia="楷体" w:hAnsi="Times New Roman"/>
                <w:b/>
                <w:noProof/>
              </w:rPr>
              <w:t>]</w:t>
            </w:r>
          </w:hyperlink>
        </w:p>
        <w:p w:rsidR="00E45000" w:rsidRDefault="00E45000">
          <w:pPr>
            <w:pStyle w:val="2"/>
            <w:tabs>
              <w:tab w:val="right" w:leader="dot" w:pos="8296"/>
            </w:tabs>
            <w:rPr>
              <w:rFonts w:eastAsiaTheme="minorEastAsia"/>
              <w:noProof/>
              <w:szCs w:val="22"/>
            </w:rPr>
          </w:pPr>
          <w:hyperlink w:anchor="_Toc130287453" w:history="1">
            <w:r w:rsidRPr="001832EB">
              <w:rPr>
                <w:rStyle w:val="a7"/>
                <w:rFonts w:ascii="Times New Roman" w:eastAsia="楷体" w:hAnsi="Times New Roman"/>
                <w:b/>
                <w:noProof/>
              </w:rPr>
              <w:t>天然橡胶</w:t>
            </w:r>
            <w:r w:rsidRPr="001832EB">
              <w:rPr>
                <w:rStyle w:val="a7"/>
                <w:rFonts w:ascii="Times New Roman" w:eastAsia="楷体" w:hAnsi="Times New Roman"/>
                <w:b/>
                <w:noProof/>
              </w:rPr>
              <w:t>:</w:t>
            </w:r>
            <w:r w:rsidRPr="001832EB">
              <w:rPr>
                <w:rStyle w:val="a7"/>
                <w:noProof/>
              </w:rPr>
              <w:t xml:space="preserve"> </w:t>
            </w:r>
            <w:r w:rsidRPr="001832EB">
              <w:rPr>
                <w:rStyle w:val="a7"/>
                <w:rFonts w:ascii="Times New Roman" w:eastAsia="楷体" w:hAnsi="Times New Roman"/>
                <w:b/>
                <w:noProof/>
              </w:rPr>
              <w:t>短期无实际改善下</w:t>
            </w:r>
            <w:r w:rsidRPr="001832EB">
              <w:rPr>
                <w:rStyle w:val="a7"/>
                <w:rFonts w:ascii="Times New Roman" w:eastAsia="楷体" w:hAnsi="Times New Roman"/>
                <w:b/>
                <w:noProof/>
              </w:rPr>
              <w:t>RU</w:t>
            </w:r>
            <w:r w:rsidRPr="001832EB">
              <w:rPr>
                <w:rStyle w:val="a7"/>
                <w:rFonts w:ascii="Times New Roman" w:eastAsia="楷体" w:hAnsi="Times New Roman"/>
                <w:b/>
                <w:noProof/>
              </w:rPr>
              <w:t>偏弱整理</w:t>
            </w:r>
            <w:r w:rsidRPr="001832EB">
              <w:rPr>
                <w:rStyle w:val="a7"/>
                <w:rFonts w:ascii="Times New Roman" w:eastAsia="楷体" w:hAnsi="Times New Roman"/>
                <w:b/>
                <w:noProof/>
              </w:rPr>
              <w:t xml:space="preserve"> </w:t>
            </w:r>
            <w:r w:rsidRPr="001832EB">
              <w:rPr>
                <w:rStyle w:val="a7"/>
                <w:rFonts w:ascii="Times New Roman" w:eastAsia="楷体" w:hAnsi="Times New Roman"/>
                <w:b/>
                <w:noProof/>
              </w:rPr>
              <w:t>但不排除触底反弹可能</w:t>
            </w:r>
          </w:hyperlink>
        </w:p>
        <w:p w:rsidR="00E45000" w:rsidRDefault="00E45000">
          <w:pPr>
            <w:pStyle w:val="2"/>
            <w:tabs>
              <w:tab w:val="right" w:leader="dot" w:pos="8296"/>
            </w:tabs>
            <w:rPr>
              <w:rFonts w:eastAsiaTheme="minorEastAsia"/>
              <w:noProof/>
              <w:szCs w:val="22"/>
            </w:rPr>
          </w:pPr>
          <w:hyperlink w:anchor="_Toc130287454" w:history="1">
            <w:r w:rsidRPr="001832EB">
              <w:rPr>
                <w:rStyle w:val="a7"/>
                <w:rFonts w:ascii="楷体" w:eastAsia="楷体" w:hAnsi="楷体"/>
                <w:b/>
                <w:noProof/>
              </w:rPr>
              <w:t>PTA：PX支撑仍存，TA维持回调加多节奏</w:t>
            </w:r>
          </w:hyperlink>
        </w:p>
        <w:p w:rsidR="00E45000" w:rsidRDefault="00E45000">
          <w:pPr>
            <w:pStyle w:val="2"/>
            <w:tabs>
              <w:tab w:val="right" w:leader="dot" w:pos="8296"/>
            </w:tabs>
            <w:rPr>
              <w:rFonts w:eastAsiaTheme="minorEastAsia"/>
              <w:noProof/>
              <w:szCs w:val="22"/>
            </w:rPr>
          </w:pPr>
          <w:hyperlink w:anchor="_Toc130287455" w:history="1">
            <w:r w:rsidRPr="001832EB">
              <w:rPr>
                <w:rStyle w:val="a7"/>
                <w:rFonts w:ascii="楷体" w:eastAsia="楷体" w:hAnsi="楷体"/>
                <w:b/>
                <w:noProof/>
              </w:rPr>
              <w:t>PVC：宏观逻辑将支撑PVC盘面，关注V回调低多机会</w:t>
            </w:r>
          </w:hyperlink>
        </w:p>
        <w:p w:rsidR="00E45000" w:rsidRDefault="00E45000">
          <w:pPr>
            <w:pStyle w:val="2"/>
            <w:tabs>
              <w:tab w:val="right" w:leader="dot" w:pos="8296"/>
            </w:tabs>
            <w:rPr>
              <w:rFonts w:eastAsiaTheme="minorEastAsia"/>
              <w:noProof/>
              <w:szCs w:val="22"/>
            </w:rPr>
          </w:pPr>
          <w:hyperlink w:anchor="_Toc130287456" w:history="1">
            <w:r w:rsidRPr="001832EB">
              <w:rPr>
                <w:rStyle w:val="a7"/>
                <w:rFonts w:ascii="楷体" w:eastAsia="楷体" w:hAnsi="楷体"/>
                <w:b/>
                <w:noProof/>
              </w:rPr>
              <w:t>聚烯烃：终端需求跟进一般，聚烯烃或窄幅下跌为主</w:t>
            </w:r>
          </w:hyperlink>
        </w:p>
        <w:p w:rsidR="00E45000" w:rsidRDefault="00E45000">
          <w:pPr>
            <w:pStyle w:val="2"/>
            <w:tabs>
              <w:tab w:val="right" w:leader="dot" w:pos="8296"/>
            </w:tabs>
            <w:rPr>
              <w:rFonts w:eastAsiaTheme="minorEastAsia"/>
              <w:noProof/>
              <w:szCs w:val="22"/>
            </w:rPr>
          </w:pPr>
          <w:hyperlink w:anchor="_Toc130287457" w:history="1">
            <w:r w:rsidRPr="001832EB">
              <w:rPr>
                <w:rStyle w:val="a7"/>
                <w:rFonts w:ascii="楷体" w:eastAsia="楷体" w:hAnsi="楷体"/>
                <w:b/>
                <w:noProof/>
              </w:rPr>
              <w:t>MEG：05高库存压制 弱势难改</w:t>
            </w:r>
          </w:hyperlink>
        </w:p>
        <w:p w:rsidR="00E45000" w:rsidRDefault="00E45000">
          <w:pPr>
            <w:pStyle w:val="11"/>
            <w:tabs>
              <w:tab w:val="right" w:leader="dot" w:pos="8296"/>
            </w:tabs>
            <w:rPr>
              <w:rFonts w:eastAsiaTheme="minorEastAsia"/>
              <w:noProof/>
              <w:szCs w:val="22"/>
            </w:rPr>
          </w:pPr>
          <w:hyperlink w:anchor="_Toc130287458" w:history="1">
            <w:r w:rsidRPr="001832EB">
              <w:rPr>
                <w:rStyle w:val="a7"/>
                <w:rFonts w:ascii="Times New Roman" w:eastAsia="楷体" w:hAnsi="Times New Roman"/>
                <w:b/>
                <w:noProof/>
              </w:rPr>
              <w:t>[</w:t>
            </w:r>
            <w:r w:rsidRPr="001832EB">
              <w:rPr>
                <w:rStyle w:val="a7"/>
                <w:rFonts w:ascii="Times New Roman" w:eastAsia="楷体" w:hAnsi="Times New Roman"/>
                <w:b/>
                <w:noProof/>
              </w:rPr>
              <w:t>农产品</w:t>
            </w:r>
            <w:r w:rsidRPr="001832EB">
              <w:rPr>
                <w:rStyle w:val="a7"/>
                <w:rFonts w:ascii="Times New Roman" w:eastAsia="楷体" w:hAnsi="Times New Roman"/>
                <w:b/>
                <w:noProof/>
              </w:rPr>
              <w:t>]</w:t>
            </w:r>
          </w:hyperlink>
        </w:p>
        <w:p w:rsidR="00E45000" w:rsidRDefault="00E45000">
          <w:pPr>
            <w:pStyle w:val="2"/>
            <w:tabs>
              <w:tab w:val="right" w:leader="dot" w:pos="8296"/>
            </w:tabs>
            <w:rPr>
              <w:rFonts w:eastAsiaTheme="minorEastAsia"/>
              <w:noProof/>
              <w:szCs w:val="22"/>
            </w:rPr>
          </w:pPr>
          <w:hyperlink w:anchor="_Toc130287459" w:history="1">
            <w:r w:rsidRPr="001832EB">
              <w:rPr>
                <w:rStyle w:val="a7"/>
                <w:rFonts w:ascii="楷体" w:eastAsia="楷体" w:hAnsi="楷体"/>
                <w:b/>
                <w:noProof/>
              </w:rPr>
              <w:t>豆粕/菜粕：供应增加预期下，趋势偏空</w:t>
            </w:r>
          </w:hyperlink>
        </w:p>
        <w:p w:rsidR="00E45000" w:rsidRDefault="00E45000">
          <w:pPr>
            <w:pStyle w:val="2"/>
            <w:tabs>
              <w:tab w:val="right" w:leader="dot" w:pos="8296"/>
            </w:tabs>
            <w:rPr>
              <w:rFonts w:eastAsiaTheme="minorEastAsia"/>
              <w:noProof/>
              <w:szCs w:val="22"/>
            </w:rPr>
          </w:pPr>
          <w:hyperlink w:anchor="_Toc130287460" w:history="1">
            <w:r w:rsidRPr="001832EB">
              <w:rPr>
                <w:rStyle w:val="a7"/>
                <w:rFonts w:ascii="楷体" w:eastAsia="楷体" w:hAnsi="楷体"/>
                <w:b/>
                <w:noProof/>
              </w:rPr>
              <w:t>油脂：震荡偏弱，盘面关注超跌后的修复情况</w:t>
            </w:r>
          </w:hyperlink>
        </w:p>
        <w:p w:rsidR="00E45000" w:rsidRDefault="00E45000">
          <w:pPr>
            <w:pStyle w:val="2"/>
            <w:tabs>
              <w:tab w:val="right" w:leader="dot" w:pos="8296"/>
            </w:tabs>
            <w:rPr>
              <w:rFonts w:eastAsiaTheme="minorEastAsia"/>
              <w:noProof/>
              <w:szCs w:val="22"/>
            </w:rPr>
          </w:pPr>
          <w:hyperlink w:anchor="_Toc130287461" w:history="1">
            <w:r w:rsidRPr="001832EB">
              <w:rPr>
                <w:rStyle w:val="a7"/>
                <w:rFonts w:ascii="楷体" w:eastAsia="楷体" w:hAnsi="楷体"/>
                <w:b/>
                <w:bCs/>
                <w:noProof/>
              </w:rPr>
              <w:t>玉米与淀粉：</w:t>
            </w:r>
            <w:r w:rsidRPr="001832EB">
              <w:rPr>
                <w:rStyle w:val="a7"/>
                <w:rFonts w:ascii="楷体" w:eastAsia="楷体" w:hAnsi="楷体"/>
                <w:b/>
                <w:noProof/>
              </w:rPr>
              <w:t>期价夜盘大幅回落</w:t>
            </w:r>
          </w:hyperlink>
        </w:p>
        <w:p w:rsidR="00E45000" w:rsidRDefault="00E45000">
          <w:pPr>
            <w:pStyle w:val="2"/>
            <w:tabs>
              <w:tab w:val="right" w:leader="dot" w:pos="8296"/>
            </w:tabs>
            <w:rPr>
              <w:rFonts w:eastAsiaTheme="minorEastAsia"/>
              <w:noProof/>
              <w:szCs w:val="22"/>
            </w:rPr>
          </w:pPr>
          <w:hyperlink w:anchor="_Toc130287462" w:history="1">
            <w:r w:rsidRPr="001832EB">
              <w:rPr>
                <w:rStyle w:val="a7"/>
                <w:rFonts w:ascii="楷体" w:eastAsia="楷体" w:hAnsi="楷体"/>
                <w:b/>
                <w:bCs/>
                <w:noProof/>
              </w:rPr>
              <w:t>畜禽养殖：鸡蛋期现背离带动基差继续走强</w:t>
            </w:r>
          </w:hyperlink>
        </w:p>
        <w:p w:rsidR="00E45000" w:rsidRDefault="00E45000">
          <w:pPr>
            <w:pStyle w:val="2"/>
            <w:tabs>
              <w:tab w:val="right" w:leader="dot" w:pos="8296"/>
            </w:tabs>
            <w:rPr>
              <w:rFonts w:eastAsiaTheme="minorEastAsia"/>
              <w:noProof/>
              <w:szCs w:val="22"/>
            </w:rPr>
          </w:pPr>
          <w:hyperlink w:anchor="_Toc130287463" w:history="1">
            <w:r w:rsidRPr="001832EB">
              <w:rPr>
                <w:rStyle w:val="a7"/>
                <w:rFonts w:ascii="楷体" w:eastAsia="楷体" w:hAnsi="楷体"/>
                <w:b/>
                <w:noProof/>
              </w:rPr>
              <w:t>郑棉：郑棉围绕1.4万震荡。宽跨式期权卖权持有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028743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0287439"/>
      <w:bookmarkEnd w:id="3"/>
      <w:r>
        <w:rPr>
          <w:rFonts w:ascii="Times New Roman" w:eastAsia="楷体" w:hAnsi="Times New Roman" w:hint="eastAsia"/>
          <w:b/>
          <w:color w:val="000000" w:themeColor="text1"/>
          <w:sz w:val="24"/>
          <w:szCs w:val="24"/>
        </w:rPr>
        <w:t>股指：</w:t>
      </w:r>
      <w:bookmarkEnd w:id="5"/>
      <w:bookmarkEnd w:id="6"/>
      <w:r w:rsidR="00235529" w:rsidRPr="00235529">
        <w:rPr>
          <w:rFonts w:ascii="Times New Roman" w:eastAsia="楷体" w:hAnsi="Times New Roman" w:hint="eastAsia"/>
          <w:b/>
          <w:color w:val="000000" w:themeColor="text1"/>
          <w:sz w:val="24"/>
          <w:szCs w:val="24"/>
        </w:rPr>
        <w:t>逐步左侧布局，低多</w:t>
      </w:r>
      <w:r w:rsidR="00235529" w:rsidRPr="00235529">
        <w:rPr>
          <w:rFonts w:ascii="Times New Roman" w:eastAsia="楷体" w:hAnsi="Times New Roman" w:hint="eastAsia"/>
          <w:b/>
          <w:color w:val="000000" w:themeColor="text1"/>
          <w:sz w:val="24"/>
          <w:szCs w:val="24"/>
        </w:rPr>
        <w:t>IH</w:t>
      </w:r>
      <w:bookmarkEnd w:id="7"/>
    </w:p>
    <w:p w:rsidR="003F56A5" w:rsidRDefault="00235529">
      <w:pPr>
        <w:ind w:leftChars="300" w:left="630"/>
        <w:rPr>
          <w:rFonts w:ascii="Times New Roman" w:eastAsia="楷体" w:hAnsi="Times New Roman"/>
          <w:color w:val="000000" w:themeColor="text1"/>
          <w:sz w:val="24"/>
          <w:szCs w:val="24"/>
        </w:rPr>
      </w:pPr>
      <w:r w:rsidRPr="00235529">
        <w:rPr>
          <w:rFonts w:ascii="Times New Roman" w:eastAsia="楷体" w:hAnsi="Times New Roman" w:hint="eastAsia"/>
          <w:color w:val="000000" w:themeColor="text1"/>
          <w:sz w:val="24"/>
          <w:szCs w:val="24"/>
        </w:rPr>
        <w:t>海外银行风险事件或仍有反复，但发生系统性风险可能性较低，对</w:t>
      </w:r>
      <w:r w:rsidRPr="00235529">
        <w:rPr>
          <w:rFonts w:ascii="Times New Roman" w:eastAsia="楷体" w:hAnsi="Times New Roman" w:hint="eastAsia"/>
          <w:color w:val="000000" w:themeColor="text1"/>
          <w:sz w:val="24"/>
          <w:szCs w:val="24"/>
        </w:rPr>
        <w:t>A</w:t>
      </w:r>
      <w:r w:rsidRPr="00235529">
        <w:rPr>
          <w:rFonts w:ascii="Times New Roman" w:eastAsia="楷体" w:hAnsi="Times New Roman" w:hint="eastAsia"/>
          <w:color w:val="000000" w:themeColor="text1"/>
          <w:sz w:val="24"/>
          <w:szCs w:val="24"/>
        </w:rPr>
        <w:t>股影响间接且有限</w:t>
      </w:r>
      <w:r w:rsidRPr="00235529">
        <w:rPr>
          <w:rFonts w:ascii="Times New Roman" w:eastAsia="楷体" w:hAnsi="Times New Roman" w:hint="eastAsia"/>
          <w:color w:val="000000" w:themeColor="text1"/>
          <w:sz w:val="24"/>
          <w:szCs w:val="24"/>
        </w:rPr>
        <w:t>;</w:t>
      </w:r>
      <w:r w:rsidRPr="00235529">
        <w:rPr>
          <w:rFonts w:ascii="Times New Roman" w:eastAsia="楷体" w:hAnsi="Times New Roman" w:hint="eastAsia"/>
          <w:color w:val="000000" w:themeColor="text1"/>
          <w:sz w:val="24"/>
          <w:szCs w:val="24"/>
        </w:rPr>
        <w:t>国内政策暖风频吹，超预期降准及股指期货平今仓手续费的调低，一定程度上提振市场交投情绪，市场或转向复苏交易，关注美联储</w:t>
      </w:r>
      <w:r w:rsidRPr="00235529">
        <w:rPr>
          <w:rFonts w:ascii="Times New Roman" w:eastAsia="楷体" w:hAnsi="Times New Roman" w:hint="eastAsia"/>
          <w:color w:val="000000" w:themeColor="text1"/>
          <w:sz w:val="24"/>
          <w:szCs w:val="24"/>
        </w:rPr>
        <w:t>3</w:t>
      </w:r>
      <w:r w:rsidRPr="00235529">
        <w:rPr>
          <w:rFonts w:ascii="Times New Roman" w:eastAsia="楷体" w:hAnsi="Times New Roman" w:hint="eastAsia"/>
          <w:color w:val="000000" w:themeColor="text1"/>
          <w:sz w:val="24"/>
          <w:szCs w:val="24"/>
        </w:rPr>
        <w:t>月会议，若加息</w:t>
      </w:r>
      <w:r w:rsidRPr="00235529">
        <w:rPr>
          <w:rFonts w:ascii="Times New Roman" w:eastAsia="楷体" w:hAnsi="Times New Roman" w:hint="eastAsia"/>
          <w:color w:val="000000" w:themeColor="text1"/>
          <w:sz w:val="24"/>
          <w:szCs w:val="24"/>
        </w:rPr>
        <w:t>25BP</w:t>
      </w:r>
      <w:r w:rsidRPr="00235529">
        <w:rPr>
          <w:rFonts w:ascii="Times New Roman" w:eastAsia="楷体" w:hAnsi="Times New Roman" w:hint="eastAsia"/>
          <w:color w:val="000000" w:themeColor="text1"/>
          <w:sz w:val="24"/>
          <w:szCs w:val="24"/>
        </w:rPr>
        <w:t>同时强调金融稳定，则可确认降息交易主线，进一步抬升</w:t>
      </w:r>
      <w:r w:rsidRPr="00235529">
        <w:rPr>
          <w:rFonts w:ascii="Times New Roman" w:eastAsia="楷体" w:hAnsi="Times New Roman" w:hint="eastAsia"/>
          <w:color w:val="000000" w:themeColor="text1"/>
          <w:sz w:val="24"/>
          <w:szCs w:val="24"/>
        </w:rPr>
        <w:t>A</w:t>
      </w:r>
      <w:r w:rsidRPr="00235529">
        <w:rPr>
          <w:rFonts w:ascii="Times New Roman" w:eastAsia="楷体" w:hAnsi="Times New Roman" w:hint="eastAsia"/>
          <w:color w:val="000000" w:themeColor="text1"/>
          <w:sz w:val="24"/>
          <w:szCs w:val="24"/>
        </w:rPr>
        <w:t>股风险偏好及估值端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028744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0287441"/>
      <w:r>
        <w:rPr>
          <w:rFonts w:ascii="Times New Roman" w:eastAsia="楷体" w:hAnsi="Times New Roman" w:hint="eastAsia"/>
          <w:b/>
          <w:color w:val="000000" w:themeColor="text1"/>
          <w:sz w:val="24"/>
          <w:szCs w:val="24"/>
        </w:rPr>
        <w:t>贵金属：</w:t>
      </w:r>
      <w:r w:rsidR="004A3F85" w:rsidRPr="004A3F85">
        <w:rPr>
          <w:rFonts w:ascii="Times New Roman" w:eastAsia="楷体" w:hAnsi="Times New Roman" w:hint="eastAsia"/>
          <w:b/>
          <w:color w:val="000000" w:themeColor="text1"/>
          <w:sz w:val="24"/>
          <w:szCs w:val="24"/>
        </w:rPr>
        <w:t>美联储或放缓加息，银价高位震荡</w:t>
      </w:r>
      <w:bookmarkEnd w:id="9"/>
    </w:p>
    <w:p w:rsidR="003F56A5" w:rsidRDefault="004A3F85">
      <w:pPr>
        <w:ind w:leftChars="300" w:left="630"/>
        <w:rPr>
          <w:rFonts w:ascii="Times New Roman" w:eastAsia="楷体" w:hAnsi="Times New Roman"/>
          <w:sz w:val="24"/>
          <w:szCs w:val="24"/>
        </w:rPr>
      </w:pPr>
      <w:r w:rsidRPr="004A3F85">
        <w:rPr>
          <w:rFonts w:ascii="Times New Roman" w:eastAsia="楷体" w:hAnsi="Times New Roman" w:hint="eastAsia"/>
          <w:color w:val="000000" w:themeColor="text1"/>
          <w:sz w:val="24"/>
          <w:szCs w:val="24"/>
        </w:rPr>
        <w:t>欧美银行流动性风险事件持续发酵，第一共和银行跌</w:t>
      </w:r>
      <w:r w:rsidRPr="004A3F85">
        <w:rPr>
          <w:rFonts w:ascii="Times New Roman" w:eastAsia="楷体" w:hAnsi="Times New Roman" w:hint="eastAsia"/>
          <w:color w:val="000000" w:themeColor="text1"/>
          <w:sz w:val="24"/>
          <w:szCs w:val="24"/>
        </w:rPr>
        <w:t>47.11%</w:t>
      </w:r>
      <w:r w:rsidRPr="004A3F85">
        <w:rPr>
          <w:rFonts w:ascii="Times New Roman" w:eastAsia="楷体" w:hAnsi="Times New Roman" w:hint="eastAsia"/>
          <w:color w:val="000000" w:themeColor="text1"/>
          <w:sz w:val="24"/>
          <w:szCs w:val="24"/>
        </w:rPr>
        <w:t>，报</w:t>
      </w:r>
      <w:r w:rsidRPr="004A3F85">
        <w:rPr>
          <w:rFonts w:ascii="Times New Roman" w:eastAsia="楷体" w:hAnsi="Times New Roman" w:hint="eastAsia"/>
          <w:color w:val="000000" w:themeColor="text1"/>
          <w:sz w:val="24"/>
          <w:szCs w:val="24"/>
        </w:rPr>
        <w:t>12.18</w:t>
      </w:r>
      <w:r w:rsidRPr="004A3F85">
        <w:rPr>
          <w:rFonts w:ascii="Times New Roman" w:eastAsia="楷体" w:hAnsi="Times New Roman" w:hint="eastAsia"/>
          <w:color w:val="000000" w:themeColor="text1"/>
          <w:sz w:val="24"/>
          <w:szCs w:val="24"/>
        </w:rPr>
        <w:t>美元；瑞士信贷股价跌</w:t>
      </w:r>
      <w:r w:rsidRPr="004A3F85">
        <w:rPr>
          <w:rFonts w:ascii="Times New Roman" w:eastAsia="楷体" w:hAnsi="Times New Roman" w:hint="eastAsia"/>
          <w:color w:val="000000" w:themeColor="text1"/>
          <w:sz w:val="24"/>
          <w:szCs w:val="24"/>
        </w:rPr>
        <w:t>52.98%</w:t>
      </w:r>
      <w:r w:rsidRPr="004A3F85">
        <w:rPr>
          <w:rFonts w:ascii="Times New Roman" w:eastAsia="楷体" w:hAnsi="Times New Roman" w:hint="eastAsia"/>
          <w:color w:val="000000" w:themeColor="text1"/>
          <w:sz w:val="24"/>
          <w:szCs w:val="24"/>
        </w:rPr>
        <w:t>至</w:t>
      </w:r>
      <w:r w:rsidRPr="004A3F85">
        <w:rPr>
          <w:rFonts w:ascii="Times New Roman" w:eastAsia="楷体" w:hAnsi="Times New Roman" w:hint="eastAsia"/>
          <w:color w:val="000000" w:themeColor="text1"/>
          <w:sz w:val="24"/>
          <w:szCs w:val="24"/>
        </w:rPr>
        <w:t>0.94</w:t>
      </w:r>
      <w:r w:rsidRPr="004A3F85">
        <w:rPr>
          <w:rFonts w:ascii="Times New Roman" w:eastAsia="楷体" w:hAnsi="Times New Roman" w:hint="eastAsia"/>
          <w:color w:val="000000" w:themeColor="text1"/>
          <w:sz w:val="24"/>
          <w:szCs w:val="24"/>
        </w:rPr>
        <w:t>美元的新低。昨夜</w:t>
      </w:r>
      <w:r w:rsidRPr="004A3F85">
        <w:rPr>
          <w:rFonts w:ascii="Times New Roman" w:eastAsia="楷体" w:hAnsi="Times New Roman" w:hint="eastAsia"/>
          <w:color w:val="000000" w:themeColor="text1"/>
          <w:sz w:val="24"/>
          <w:szCs w:val="24"/>
        </w:rPr>
        <w:t>COMEX</w:t>
      </w:r>
      <w:r w:rsidRPr="004A3F85">
        <w:rPr>
          <w:rFonts w:ascii="Times New Roman" w:eastAsia="楷体" w:hAnsi="Times New Roman" w:hint="eastAsia"/>
          <w:color w:val="000000" w:themeColor="text1"/>
          <w:sz w:val="24"/>
          <w:szCs w:val="24"/>
        </w:rPr>
        <w:t>金价冲高回落，</w:t>
      </w:r>
      <w:r w:rsidRPr="004A3F85">
        <w:rPr>
          <w:rFonts w:ascii="Times New Roman" w:eastAsia="楷体" w:hAnsi="Times New Roman" w:hint="eastAsia"/>
          <w:color w:val="000000" w:themeColor="text1"/>
          <w:sz w:val="24"/>
          <w:szCs w:val="24"/>
        </w:rPr>
        <w:t>COMEX</w:t>
      </w:r>
      <w:r w:rsidRPr="004A3F85">
        <w:rPr>
          <w:rFonts w:ascii="Times New Roman" w:eastAsia="楷体" w:hAnsi="Times New Roman" w:hint="eastAsia"/>
          <w:color w:val="000000" w:themeColor="text1"/>
          <w:sz w:val="24"/>
          <w:szCs w:val="24"/>
        </w:rPr>
        <w:t>银价围绕</w:t>
      </w:r>
      <w:r w:rsidRPr="004A3F85">
        <w:rPr>
          <w:rFonts w:ascii="Times New Roman" w:eastAsia="楷体" w:hAnsi="Times New Roman" w:hint="eastAsia"/>
          <w:color w:val="000000" w:themeColor="text1"/>
          <w:sz w:val="24"/>
          <w:szCs w:val="24"/>
        </w:rPr>
        <w:t>22.65</w:t>
      </w:r>
      <w:r w:rsidRPr="004A3F85">
        <w:rPr>
          <w:rFonts w:ascii="Times New Roman" w:eastAsia="楷体" w:hAnsi="Times New Roman" w:hint="eastAsia"/>
          <w:color w:val="000000" w:themeColor="text1"/>
          <w:sz w:val="24"/>
          <w:szCs w:val="24"/>
        </w:rPr>
        <w:t>美元</w:t>
      </w:r>
      <w:r w:rsidRPr="004A3F85">
        <w:rPr>
          <w:rFonts w:ascii="Times New Roman" w:eastAsia="楷体" w:hAnsi="Times New Roman" w:hint="eastAsia"/>
          <w:color w:val="000000" w:themeColor="text1"/>
          <w:sz w:val="24"/>
          <w:szCs w:val="24"/>
        </w:rPr>
        <w:t>/</w:t>
      </w:r>
      <w:r w:rsidRPr="004A3F85">
        <w:rPr>
          <w:rFonts w:ascii="Times New Roman" w:eastAsia="楷体" w:hAnsi="Times New Roman" w:hint="eastAsia"/>
          <w:color w:val="000000" w:themeColor="text1"/>
          <w:sz w:val="24"/>
          <w:szCs w:val="24"/>
        </w:rPr>
        <w:t>盎司一线高位震荡。持续关注海外流动性风险事件后续影响，美联储即将公布</w:t>
      </w:r>
      <w:r w:rsidRPr="004A3F85">
        <w:rPr>
          <w:rFonts w:ascii="Times New Roman" w:eastAsia="楷体" w:hAnsi="Times New Roman" w:hint="eastAsia"/>
          <w:color w:val="000000" w:themeColor="text1"/>
          <w:sz w:val="24"/>
          <w:szCs w:val="24"/>
        </w:rPr>
        <w:t>3</w:t>
      </w:r>
      <w:r w:rsidRPr="004A3F85">
        <w:rPr>
          <w:rFonts w:ascii="Times New Roman" w:eastAsia="楷体" w:hAnsi="Times New Roman" w:hint="eastAsia"/>
          <w:color w:val="000000" w:themeColor="text1"/>
          <w:sz w:val="24"/>
          <w:szCs w:val="24"/>
        </w:rPr>
        <w:t>月利率决定。高盛预测美联储本周暂停加息，缓解银行业面临的严峻压力。当前市场利率预期转鸽，</w:t>
      </w:r>
      <w:r w:rsidRPr="004A3F85">
        <w:rPr>
          <w:rFonts w:ascii="Times New Roman" w:eastAsia="楷体" w:hAnsi="Times New Roman" w:hint="eastAsia"/>
          <w:color w:val="000000" w:themeColor="text1"/>
          <w:sz w:val="24"/>
          <w:szCs w:val="24"/>
        </w:rPr>
        <w:t>CME FedWatch</w:t>
      </w:r>
      <w:r w:rsidRPr="004A3F85">
        <w:rPr>
          <w:rFonts w:ascii="Times New Roman" w:eastAsia="楷体" w:hAnsi="Times New Roman" w:hint="eastAsia"/>
          <w:color w:val="000000" w:themeColor="text1"/>
          <w:sz w:val="24"/>
          <w:szCs w:val="24"/>
        </w:rPr>
        <w:t>模型</w:t>
      </w:r>
      <w:r w:rsidRPr="004A3F85">
        <w:rPr>
          <w:rFonts w:ascii="Times New Roman" w:eastAsia="楷体" w:hAnsi="Times New Roman" w:hint="eastAsia"/>
          <w:color w:val="000000" w:themeColor="text1"/>
          <w:sz w:val="24"/>
          <w:szCs w:val="24"/>
        </w:rPr>
        <w:t>3</w:t>
      </w:r>
      <w:r w:rsidRPr="004A3F85">
        <w:rPr>
          <w:rFonts w:ascii="Times New Roman" w:eastAsia="楷体" w:hAnsi="Times New Roman" w:hint="eastAsia"/>
          <w:color w:val="000000" w:themeColor="text1"/>
          <w:sz w:val="24"/>
          <w:szCs w:val="24"/>
        </w:rPr>
        <w:t>月加息</w:t>
      </w:r>
      <w:r w:rsidRPr="004A3F85">
        <w:rPr>
          <w:rFonts w:ascii="Times New Roman" w:eastAsia="楷体" w:hAnsi="Times New Roman" w:hint="eastAsia"/>
          <w:color w:val="000000" w:themeColor="text1"/>
          <w:sz w:val="24"/>
          <w:szCs w:val="24"/>
        </w:rPr>
        <w:t>25bp</w:t>
      </w:r>
      <w:r w:rsidRPr="004A3F85">
        <w:rPr>
          <w:rFonts w:ascii="Times New Roman" w:eastAsia="楷体" w:hAnsi="Times New Roman" w:hint="eastAsia"/>
          <w:color w:val="000000" w:themeColor="text1"/>
          <w:sz w:val="24"/>
          <w:szCs w:val="24"/>
        </w:rPr>
        <w:t>几率升至</w:t>
      </w:r>
      <w:r w:rsidRPr="004A3F85">
        <w:rPr>
          <w:rFonts w:ascii="Times New Roman" w:eastAsia="楷体" w:hAnsi="Times New Roman" w:hint="eastAsia"/>
          <w:color w:val="000000" w:themeColor="text1"/>
          <w:sz w:val="24"/>
          <w:szCs w:val="24"/>
        </w:rPr>
        <w:t>73.8%</w:t>
      </w:r>
      <w:r w:rsidRPr="004A3F85">
        <w:rPr>
          <w:rFonts w:ascii="Times New Roman" w:eastAsia="楷体" w:hAnsi="Times New Roman" w:hint="eastAsia"/>
          <w:color w:val="000000" w:themeColor="text1"/>
          <w:sz w:val="24"/>
          <w:szCs w:val="24"/>
        </w:rPr>
        <w:t>。美元指数暂报</w:t>
      </w:r>
      <w:r w:rsidRPr="004A3F85">
        <w:rPr>
          <w:rFonts w:ascii="Times New Roman" w:eastAsia="楷体" w:hAnsi="Times New Roman" w:hint="eastAsia"/>
          <w:color w:val="000000" w:themeColor="text1"/>
          <w:sz w:val="24"/>
          <w:szCs w:val="24"/>
        </w:rPr>
        <w:t>103.3</w:t>
      </w:r>
      <w:r w:rsidRPr="004A3F85">
        <w:rPr>
          <w:rFonts w:ascii="Times New Roman" w:eastAsia="楷体" w:hAnsi="Times New Roman" w:hint="eastAsia"/>
          <w:color w:val="000000" w:themeColor="text1"/>
          <w:sz w:val="24"/>
          <w:szCs w:val="24"/>
        </w:rPr>
        <w:t>，美元及美债收益率偏弱表现以及市场避险情绪共同提振短线贵金属价格表现，建议此前沪金、沪银多单继续持有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028744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0287443"/>
      <w:r>
        <w:rPr>
          <w:rFonts w:ascii="楷体" w:eastAsia="楷体" w:hAnsi="楷体" w:hint="eastAsia"/>
          <w:b/>
          <w:color w:val="000000" w:themeColor="text1"/>
          <w:sz w:val="24"/>
          <w:szCs w:val="24"/>
        </w:rPr>
        <w:t>螺纹钢：</w:t>
      </w:r>
      <w:bookmarkEnd w:id="15"/>
      <w:bookmarkEnd w:id="16"/>
      <w:r w:rsidR="00E45000" w:rsidRPr="00E45000">
        <w:rPr>
          <w:rFonts w:ascii="楷体" w:eastAsia="楷体" w:hAnsi="楷体" w:hint="eastAsia"/>
          <w:b/>
          <w:color w:val="000000" w:themeColor="text1"/>
          <w:sz w:val="24"/>
          <w:szCs w:val="24"/>
        </w:rPr>
        <w:t>海外情绪及监管压力下，盘面回调后观察支撑力度</w:t>
      </w:r>
      <w:bookmarkEnd w:id="17"/>
    </w:p>
    <w:p w:rsidR="003F56A5" w:rsidRDefault="00E45000">
      <w:pPr>
        <w:ind w:leftChars="300" w:left="630"/>
        <w:rPr>
          <w:rFonts w:ascii="楷体" w:eastAsia="楷体" w:hAnsi="楷体"/>
          <w:color w:val="000000" w:themeColor="text1"/>
          <w:sz w:val="24"/>
          <w:szCs w:val="24"/>
        </w:rPr>
      </w:pPr>
      <w:r w:rsidRPr="00E45000">
        <w:rPr>
          <w:rFonts w:ascii="楷体" w:eastAsia="楷体" w:hAnsi="楷体" w:hint="eastAsia"/>
          <w:color w:val="000000" w:themeColor="text1"/>
          <w:sz w:val="24"/>
          <w:szCs w:val="24"/>
        </w:rPr>
        <w:t>瑞士信贷事件暂时高一段落，但市场对海外银行系统的担忧并未衰减。短期反弹后继续回踩，建议关注（4175,4190）的支撑力度。等待周四凌晨美联储议息会议情况，上方高度暂时有限，观望为主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0287444"/>
      <w:r>
        <w:rPr>
          <w:rFonts w:ascii="楷体" w:eastAsia="楷体" w:hAnsi="楷体" w:hint="eastAsia"/>
          <w:b/>
          <w:color w:val="000000" w:themeColor="text1"/>
          <w:sz w:val="24"/>
          <w:szCs w:val="24"/>
        </w:rPr>
        <w:t>焦炭：</w:t>
      </w:r>
      <w:bookmarkEnd w:id="18"/>
      <w:bookmarkEnd w:id="19"/>
      <w:r w:rsidR="00E45000" w:rsidRPr="00E45000">
        <w:rPr>
          <w:rFonts w:ascii="楷体" w:eastAsia="楷体" w:hAnsi="楷体" w:hint="eastAsia"/>
          <w:b/>
          <w:color w:val="000000" w:themeColor="text1"/>
          <w:sz w:val="24"/>
          <w:szCs w:val="24"/>
        </w:rPr>
        <w:t>海外压制价格向上驱动，预计偏弱震荡</w:t>
      </w:r>
      <w:bookmarkEnd w:id="20"/>
    </w:p>
    <w:p w:rsidR="003F56A5" w:rsidRDefault="00E45000">
      <w:pPr>
        <w:ind w:leftChars="300" w:left="630"/>
        <w:rPr>
          <w:rFonts w:ascii="楷体" w:eastAsia="楷体" w:hAnsi="楷体"/>
          <w:color w:val="000000" w:themeColor="text1"/>
          <w:sz w:val="24"/>
          <w:szCs w:val="24"/>
        </w:rPr>
      </w:pPr>
      <w:r w:rsidRPr="00E45000">
        <w:rPr>
          <w:rFonts w:ascii="楷体" w:eastAsia="楷体" w:hAnsi="楷体" w:hint="eastAsia"/>
          <w:color w:val="000000" w:themeColor="text1"/>
          <w:sz w:val="24"/>
          <w:szCs w:val="24"/>
        </w:rPr>
        <w:t>下游需求上行阶段，暂无负反馈压力，但钢厂库存管理下，焦炭去库速度较慢，上涨驱动不足。海外宏观及监管等情绪压制下，盘面偏弱震荡。建议观望为主，震荡区间（2720,2780）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30287445"/>
      <w:r>
        <w:rPr>
          <w:rFonts w:ascii="楷体" w:eastAsia="楷体" w:hAnsi="楷体" w:hint="eastAsia"/>
          <w:b/>
          <w:color w:val="000000" w:themeColor="text1"/>
          <w:sz w:val="24"/>
          <w:szCs w:val="24"/>
        </w:rPr>
        <w:t>焦煤：</w:t>
      </w:r>
      <w:r w:rsidR="004A3F85" w:rsidRPr="004A3F85">
        <w:rPr>
          <w:rFonts w:ascii="楷体" w:eastAsia="楷体" w:hAnsi="楷体" w:hint="eastAsia"/>
          <w:b/>
          <w:sz w:val="24"/>
          <w:szCs w:val="24"/>
        </w:rPr>
        <w:t>偏弱运行，等待企稳</w:t>
      </w:r>
      <w:bookmarkEnd w:id="21"/>
    </w:p>
    <w:p w:rsidR="003F56A5" w:rsidRDefault="004A3F85">
      <w:pPr>
        <w:ind w:leftChars="300" w:left="630"/>
        <w:rPr>
          <w:rFonts w:ascii="楷体" w:eastAsia="楷体" w:hAnsi="楷体"/>
          <w:bCs/>
          <w:sz w:val="24"/>
          <w:szCs w:val="24"/>
        </w:rPr>
      </w:pPr>
      <w:r w:rsidRPr="004A3F85">
        <w:rPr>
          <w:rFonts w:ascii="楷体" w:eastAsia="楷体" w:hAnsi="楷体" w:hint="eastAsia"/>
          <w:sz w:val="24"/>
          <w:szCs w:val="24"/>
        </w:rPr>
        <w:t>焦煤将进入供需双增节奏，两会后产量增幅短暂快于需求，虽边际需求向上，但下游控制到货情况压制涨价空间，若下游利润未持续走阔，或难以引起合意库存的变化。建议短期观望为主，若焦煤基差继续扩大，可以适当逢低布局基差回归行情，建议做多焦煤5-9正套</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0287446"/>
      <w:r>
        <w:rPr>
          <w:rFonts w:ascii="楷体" w:eastAsia="楷体" w:hAnsi="楷体" w:hint="eastAsia"/>
          <w:b/>
          <w:color w:val="000000" w:themeColor="text1"/>
          <w:sz w:val="24"/>
          <w:szCs w:val="24"/>
        </w:rPr>
        <w:t>铜：</w:t>
      </w:r>
      <w:bookmarkEnd w:id="22"/>
      <w:bookmarkEnd w:id="23"/>
      <w:r w:rsidR="00235529" w:rsidRPr="00235529">
        <w:rPr>
          <w:rFonts w:ascii="楷体" w:eastAsia="楷体" w:hAnsi="楷体" w:hint="eastAsia"/>
          <w:b/>
          <w:color w:val="000000" w:themeColor="text1"/>
          <w:sz w:val="24"/>
          <w:szCs w:val="24"/>
        </w:rPr>
        <w:t>短期铜价或企稳，关注3月FOMC联储表态</w:t>
      </w:r>
      <w:bookmarkEnd w:id="24"/>
    </w:p>
    <w:p w:rsidR="00235529" w:rsidRPr="00235529" w:rsidRDefault="00235529" w:rsidP="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(1)宏观：中国人民银行决定于2023年3月27日降低金融机构存款准备</w:t>
      </w:r>
      <w:r w:rsidRPr="00235529">
        <w:rPr>
          <w:rFonts w:ascii="楷体" w:eastAsia="楷体" w:hAnsi="楷体" w:hint="eastAsia"/>
          <w:color w:val="000000" w:themeColor="text1"/>
          <w:sz w:val="24"/>
          <w:szCs w:val="24"/>
        </w:rPr>
        <w:lastRenderedPageBreak/>
        <w:t>金率0.25个百分点（不含已执行5%存款准备金率的金融机构）。本次下调后，金融机构加权平均存款准备金率约为7.6%。</w:t>
      </w:r>
    </w:p>
    <w:p w:rsidR="00235529" w:rsidRPr="00235529" w:rsidRDefault="00235529" w:rsidP="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(2)库存：3月17日，SHFE周库存182341吨，较上周五减32631吨。LME仓单库存74700吨，较上周五增2975吨。</w:t>
      </w:r>
    </w:p>
    <w:p w:rsidR="00235529" w:rsidRPr="00235529" w:rsidRDefault="00235529" w:rsidP="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(3)精废价差：3月17日，Mysteel精废价差1556，收窄26。目前价差在合理价差1372之上。</w:t>
      </w:r>
    </w:p>
    <w:p w:rsidR="00235529" w:rsidRPr="00235529" w:rsidRDefault="00235529" w:rsidP="00235529">
      <w:pPr>
        <w:ind w:leftChars="300" w:left="630"/>
        <w:rPr>
          <w:rFonts w:ascii="楷体" w:eastAsia="楷体" w:hAnsi="楷体"/>
          <w:color w:val="000000" w:themeColor="text1"/>
          <w:sz w:val="24"/>
          <w:szCs w:val="24"/>
        </w:rPr>
      </w:pPr>
    </w:p>
    <w:p w:rsidR="003F56A5" w:rsidRDefault="00235529" w:rsidP="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综述：海外机构不断对银行业注入流动性支持，短期引发系统性金融危机的概率较小，预计恐慌情绪将逐步减弱，但欧美央行仍以控制通胀为主要目标，高利率的维持对整体经济运行仍将带来负面影响，持续限制铜价反弹高度。近期消费持续好转通过库存走低得以体现，对短期价格形成底部支撑。关注本周美联储议息会议及鲍威尔相关表述对市场指引。预计沪铜期价运行区间66500-68000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0287447"/>
      <w:r>
        <w:rPr>
          <w:rFonts w:ascii="楷体" w:eastAsia="楷体" w:hAnsi="楷体" w:hint="eastAsia"/>
          <w:b/>
          <w:color w:val="000000" w:themeColor="text1"/>
          <w:sz w:val="24"/>
          <w:szCs w:val="24"/>
        </w:rPr>
        <w:t>铝：</w:t>
      </w:r>
      <w:bookmarkEnd w:id="25"/>
      <w:bookmarkEnd w:id="26"/>
      <w:r w:rsidR="004A3F85" w:rsidRPr="004A3F85">
        <w:rPr>
          <w:rFonts w:ascii="楷体" w:eastAsia="楷体" w:hAnsi="楷体" w:hint="eastAsia"/>
          <w:b/>
          <w:color w:val="000000" w:themeColor="text1"/>
          <w:sz w:val="24"/>
          <w:szCs w:val="24"/>
        </w:rPr>
        <w:t>万八支撑难破，价格扰动为主</w:t>
      </w:r>
      <w:bookmarkEnd w:id="27"/>
    </w:p>
    <w:p w:rsidR="003F56A5" w:rsidRDefault="004A3F85">
      <w:pPr>
        <w:ind w:leftChars="300" w:left="630"/>
        <w:rPr>
          <w:rFonts w:ascii="楷体" w:eastAsia="楷体" w:hAnsi="楷体"/>
          <w:color w:val="000000" w:themeColor="text1"/>
          <w:sz w:val="24"/>
          <w:szCs w:val="24"/>
        </w:rPr>
      </w:pPr>
      <w:r w:rsidRPr="004A3F85">
        <w:rPr>
          <w:rFonts w:ascii="楷体" w:eastAsia="楷体" w:hAnsi="楷体" w:hint="eastAsia"/>
          <w:color w:val="000000" w:themeColor="text1"/>
          <w:sz w:val="24"/>
          <w:szCs w:val="24"/>
        </w:rPr>
        <w:t>近期铝价主受海外宏观利空因素主导偏弱运行，美国经济数据表现强劲，三家美国银行在高利率环境下难以支撑宣布倒闭，联储3月预期暂缓加息。从基本面看，国内供应端有川渝、广西复产增产小幅修复，下游企业开工率走升，社会库存拐入去库，成本端跌破万七，铝企生产有利润支撑，铝价走低企业接货情绪走高，盘面关注万八点位支撑，预计短期价格运行在18000-18800区间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0287448"/>
      <w:r>
        <w:rPr>
          <w:rFonts w:ascii="楷体" w:eastAsia="楷体" w:hAnsi="楷体" w:hint="eastAsia"/>
          <w:b/>
          <w:color w:val="000000" w:themeColor="text1"/>
          <w:sz w:val="24"/>
          <w:szCs w:val="24"/>
        </w:rPr>
        <w:t>锌：</w:t>
      </w:r>
      <w:r w:rsidR="004A3F85" w:rsidRPr="004A3F85">
        <w:rPr>
          <w:rFonts w:ascii="楷体" w:eastAsia="楷体" w:hAnsi="楷体" w:hint="eastAsia"/>
          <w:b/>
          <w:color w:val="000000" w:themeColor="text1"/>
          <w:sz w:val="24"/>
          <w:szCs w:val="24"/>
        </w:rPr>
        <w:t>宏观情绪主导盘面走向，基本面情况偏多</w:t>
      </w:r>
      <w:bookmarkEnd w:id="28"/>
    </w:p>
    <w:p w:rsidR="003F56A5" w:rsidRDefault="004A3F85" w:rsidP="000B0648">
      <w:pPr>
        <w:ind w:leftChars="300" w:left="630"/>
        <w:rPr>
          <w:rFonts w:ascii="楷体" w:eastAsia="楷体" w:hAnsi="楷体"/>
          <w:color w:val="000000" w:themeColor="text1"/>
          <w:sz w:val="24"/>
          <w:szCs w:val="24"/>
        </w:rPr>
      </w:pPr>
      <w:r w:rsidRPr="004A3F85">
        <w:rPr>
          <w:rFonts w:ascii="楷体" w:eastAsia="楷体" w:hAnsi="楷体" w:hint="eastAsia"/>
          <w:color w:val="000000" w:themeColor="text1"/>
          <w:sz w:val="24"/>
          <w:szCs w:val="24"/>
        </w:rPr>
        <w:t>宏观情绪内强外弱，美国经济数据偏强，高利率环境下多家银行倒闭动摇美元经济体系，全球市场流动性风险加剧，美国3月预期暂缓加息，但后续将连续3个月加息，而国内政策刺激预期偏乐观。供应端受云南限电影响减产，部分炼厂有检修计划，供应端有部分压产，需求端进入旺季，下游企业开工走强，海内外库存维持低库结构，社库拐入去库，锌价仍有支撑，短期或有小幅反弹，可做波段行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0287449"/>
      <w:r>
        <w:rPr>
          <w:rFonts w:ascii="楷体" w:eastAsia="楷体" w:hAnsi="楷体" w:hint="eastAsia"/>
          <w:b/>
          <w:color w:val="000000" w:themeColor="text1"/>
          <w:sz w:val="24"/>
          <w:szCs w:val="24"/>
        </w:rPr>
        <w:t>镍：</w:t>
      </w:r>
      <w:r w:rsidR="00D86D76" w:rsidRPr="00D86D76">
        <w:rPr>
          <w:rFonts w:ascii="楷体" w:eastAsia="楷体" w:hAnsi="楷体" w:hint="eastAsia"/>
          <w:b/>
          <w:color w:val="000000" w:themeColor="text1"/>
          <w:sz w:val="24"/>
          <w:szCs w:val="24"/>
        </w:rPr>
        <w:t>宏微观利空共振，镍价延续跌势</w:t>
      </w:r>
      <w:bookmarkEnd w:id="29"/>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银行破产事件风险外溢继续发酵，整体市场情绪偏悲观，同时伴随纯镍产量提升，镍供应过剩预期进一步强化，宏微观形成一定共振驱动价格持续下跌，中期行情依旧偏空，但短期利空情绪集中释放后不排除反弹。操作上，当前价位不建议继续追空，前期高位空单止盈，待反弹后空单再介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0287450"/>
      <w:r>
        <w:rPr>
          <w:rFonts w:ascii="楷体" w:eastAsia="楷体" w:hAnsi="楷体" w:hint="eastAsia"/>
          <w:b/>
          <w:color w:val="000000" w:themeColor="text1"/>
          <w:sz w:val="24"/>
          <w:szCs w:val="24"/>
        </w:rPr>
        <w:t>不锈钢：</w:t>
      </w:r>
      <w:r w:rsidR="00D86D76" w:rsidRPr="00D86D76">
        <w:rPr>
          <w:rFonts w:ascii="楷体" w:eastAsia="楷体" w:hAnsi="楷体" w:hint="eastAsia"/>
          <w:b/>
          <w:color w:val="000000" w:themeColor="text1"/>
          <w:sz w:val="24"/>
          <w:szCs w:val="24"/>
        </w:rPr>
        <w:t>原料价格继续下移形成拖累，短期震荡为主</w:t>
      </w:r>
      <w:bookmarkEnd w:id="3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当前不锈钢市场仍处于低估值但弱驱动状态，伴随钢厂陆续减产，阶段性供需有望改善，但原料价格仍处在下调中对不锈钢价格继续形成拖累，短期需要等待更多信号指引，预计震荡为主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0287451"/>
      <w:r>
        <w:rPr>
          <w:rFonts w:ascii="楷体" w:eastAsia="楷体" w:hAnsi="楷体" w:hint="eastAsia"/>
          <w:b/>
          <w:color w:val="000000" w:themeColor="text1"/>
          <w:sz w:val="24"/>
          <w:szCs w:val="24"/>
        </w:rPr>
        <w:t>工业硅：</w:t>
      </w:r>
      <w:r w:rsidR="004A3F85" w:rsidRPr="004A3F85">
        <w:rPr>
          <w:rFonts w:ascii="楷体" w:eastAsia="楷体" w:hAnsi="楷体" w:hint="eastAsia"/>
          <w:b/>
          <w:sz w:val="24"/>
          <w:szCs w:val="24"/>
        </w:rPr>
        <w:t>西南工厂停炉检修计划提前，预计短期市场将逐步企稳</w:t>
      </w:r>
      <w:bookmarkEnd w:id="31"/>
    </w:p>
    <w:p w:rsidR="003F56A5" w:rsidRDefault="004A3F85" w:rsidP="007103A5">
      <w:pPr>
        <w:ind w:leftChars="300" w:left="630"/>
        <w:rPr>
          <w:rFonts w:ascii="楷体" w:eastAsia="楷体" w:hAnsi="楷体"/>
          <w:sz w:val="24"/>
          <w:szCs w:val="24"/>
        </w:rPr>
      </w:pPr>
      <w:r w:rsidRPr="004A3F85">
        <w:rPr>
          <w:rFonts w:ascii="楷体" w:eastAsia="楷体" w:hAnsi="楷体" w:hint="eastAsia"/>
          <w:sz w:val="24"/>
          <w:szCs w:val="24"/>
        </w:rPr>
        <w:t>3月20日，Si2308主力合约呈冲高回落走势，收涨16080元/吨，较上一</w:t>
      </w:r>
      <w:r w:rsidRPr="004A3F85">
        <w:rPr>
          <w:rFonts w:ascii="楷体" w:eastAsia="楷体" w:hAnsi="楷体" w:hint="eastAsia"/>
          <w:sz w:val="24"/>
          <w:szCs w:val="24"/>
        </w:rPr>
        <w:lastRenderedPageBreak/>
        <w:t>收盘价涨跌幅-0.25%。据SMM了解，云南德宏州在产硅企已连续生产时间较长，整体炉矿较差，不少工厂原计划将3月底进行停产检修，为丰水期复产复产做准备。但上周工业硅价格下跌幅度较大，已跌破当地多数工厂生产成本线，以及盈江地区进行常规环保检修，预计本周开始将有工厂陆续停产检修，短期供应或有所减少，预计市场将弱稳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028745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028745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4A3F85" w:rsidRPr="004A3F85">
        <w:rPr>
          <w:rFonts w:ascii="Times New Roman" w:eastAsia="楷体" w:hAnsi="Times New Roman" w:hint="eastAsia"/>
          <w:b/>
          <w:color w:val="000000" w:themeColor="text1"/>
          <w:sz w:val="24"/>
          <w:szCs w:val="24"/>
        </w:rPr>
        <w:t>短期无实际改善下</w:t>
      </w:r>
      <w:r w:rsidR="004A3F85" w:rsidRPr="004A3F85">
        <w:rPr>
          <w:rFonts w:ascii="Times New Roman" w:eastAsia="楷体" w:hAnsi="Times New Roman" w:hint="eastAsia"/>
          <w:b/>
          <w:color w:val="000000" w:themeColor="text1"/>
          <w:sz w:val="24"/>
          <w:szCs w:val="24"/>
        </w:rPr>
        <w:t>RU</w:t>
      </w:r>
      <w:r w:rsidR="004A3F85" w:rsidRPr="004A3F85">
        <w:rPr>
          <w:rFonts w:ascii="Times New Roman" w:eastAsia="楷体" w:hAnsi="Times New Roman" w:hint="eastAsia"/>
          <w:b/>
          <w:color w:val="000000" w:themeColor="text1"/>
          <w:sz w:val="24"/>
          <w:szCs w:val="24"/>
        </w:rPr>
        <w:t>偏弱整理</w:t>
      </w:r>
      <w:r w:rsidR="004A3F85" w:rsidRPr="004A3F85">
        <w:rPr>
          <w:rFonts w:ascii="Times New Roman" w:eastAsia="楷体" w:hAnsi="Times New Roman" w:hint="eastAsia"/>
          <w:b/>
          <w:color w:val="000000" w:themeColor="text1"/>
          <w:sz w:val="24"/>
          <w:szCs w:val="24"/>
        </w:rPr>
        <w:t xml:space="preserve"> </w:t>
      </w:r>
      <w:r w:rsidR="004A3F85" w:rsidRPr="004A3F85">
        <w:rPr>
          <w:rFonts w:ascii="Times New Roman" w:eastAsia="楷体" w:hAnsi="Times New Roman" w:hint="eastAsia"/>
          <w:b/>
          <w:color w:val="000000" w:themeColor="text1"/>
          <w:sz w:val="24"/>
          <w:szCs w:val="24"/>
        </w:rPr>
        <w:t>但不排除触底反弹可能</w:t>
      </w:r>
      <w:bookmarkEnd w:id="34"/>
    </w:p>
    <w:p w:rsidR="003F56A5" w:rsidRDefault="004A3F85">
      <w:pPr>
        <w:ind w:leftChars="300" w:left="630"/>
        <w:rPr>
          <w:rFonts w:ascii="楷体" w:eastAsia="楷体" w:hAnsi="楷体"/>
          <w:sz w:val="24"/>
          <w:szCs w:val="24"/>
        </w:rPr>
      </w:pPr>
      <w:r w:rsidRPr="004A3F85">
        <w:rPr>
          <w:rFonts w:ascii="楷体" w:eastAsia="楷体" w:hAnsi="楷体" w:hint="eastAsia"/>
          <w:sz w:val="24"/>
          <w:szCs w:val="24"/>
        </w:rPr>
        <w:t>点评：昨日橡胶主力合约偏弱整理，主要与下游轮胎开工提升有限，青岛港口库存高位持续累库没有得到有效抑制有关。在经过数日回调后，目前橡胶位置处于历史低位，往后看继续下挫空间比较有限，安全边际较高。供应方面，全球天然橡胶供应已步入减产期，原料端整体产出收缩，但近期原料价格小幅下行，胶价支撑有所减弱。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2月车市景气度有所提升。湖北等地发布政企联合汽车“价格战”，叠加前期疫情抑制的终端消费需求还在持续释放中，从2月汽车产销同环比转好亦能看出端倪。结合以上因素，橡胶投资者不宜过度悲观，预计一季度汽车市场将符合以往淡季的特征，但仍对橡胶有足够支撑；重卡销量方面，2月预计为7.72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但梳理RU整体基本面来看，短期天然橡胶在成本支撑下底部较为坚实，终端汽车、重卡产销景气度有所回升，同时下游轮胎厂在订单缺口尚存下原料橡胶的补货预期较强。制造业PMI再创新高后商品公路货运行业亦出现转好迹象，利好橡胶主要下游诸如轮胎替换和重型卡车的销量。投资者不应过分看空橡胶。短期天胶市场在青岛港口库存未释放明显去库信号下，或维持低位盘整。但在数日回调后，橡胶不排除触底反弹的可能。中长期RU在国内汽车产量回暖、货运需求逐步恢复下仍有上涨动力。12000为支撑位。待后续轮胎厂去库顺畅、下游汽车需求恢复后，在11800-12000元/吨区间内逢低做多，上方在13300元/吨左右</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028745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45000" w:rsidRPr="00E45000">
        <w:rPr>
          <w:rFonts w:ascii="楷体" w:eastAsia="楷体" w:hAnsi="楷体" w:hint="eastAsia"/>
          <w:b/>
          <w:color w:val="000000" w:themeColor="text1"/>
          <w:sz w:val="24"/>
          <w:szCs w:val="24"/>
        </w:rPr>
        <w:t>PX支撑仍存，TA维持回调加多节奏</w:t>
      </w:r>
      <w:bookmarkEnd w:id="35"/>
      <w:r>
        <w:rPr>
          <w:rFonts w:ascii="楷体" w:eastAsia="楷体" w:hAnsi="楷体" w:hint="eastAsia"/>
          <w:b/>
          <w:color w:val="000000" w:themeColor="text1"/>
          <w:sz w:val="24"/>
          <w:szCs w:val="24"/>
        </w:rPr>
        <w:t xml:space="preserve"> </w:t>
      </w:r>
    </w:p>
    <w:p w:rsidR="00E45000" w:rsidRPr="00E45000" w:rsidRDefault="00E45000" w:rsidP="00E45000">
      <w:pPr>
        <w:ind w:leftChars="300" w:left="630"/>
        <w:rPr>
          <w:rFonts w:ascii="楷体" w:eastAsia="楷体" w:hAnsi="楷体" w:hint="eastAsia"/>
          <w:color w:val="000000" w:themeColor="text1"/>
          <w:sz w:val="24"/>
          <w:szCs w:val="24"/>
        </w:rPr>
      </w:pPr>
      <w:r w:rsidRPr="00E45000">
        <w:rPr>
          <w:rFonts w:ascii="楷体" w:eastAsia="楷体" w:hAnsi="楷体" w:hint="eastAsia"/>
          <w:color w:val="000000" w:themeColor="text1"/>
          <w:sz w:val="24"/>
          <w:szCs w:val="24"/>
        </w:rPr>
        <w:t>供需情况：供给方面，福海创450万吨、逸盛大化600万吨PTA装置负荷提升，中泰120万吨降负运行，其他个别装置小幅调整，恒力石化220万吨PTA装置重启中，至3.18 PTA负荷调整至77.6%附近（+6.1%）。PTA加工费方面已经修复至300元/吨附近，短期内PTA生产企业仍可根据盘面利润调整供应过剩的现实。库存方面，据隆众资讯数据，本周PTA社会库</w:t>
      </w:r>
      <w:r w:rsidRPr="00E45000">
        <w:rPr>
          <w:rFonts w:ascii="楷体" w:eastAsia="楷体" w:hAnsi="楷体" w:hint="eastAsia"/>
          <w:color w:val="000000" w:themeColor="text1"/>
          <w:sz w:val="24"/>
          <w:szCs w:val="24"/>
        </w:rPr>
        <w:lastRenderedPageBreak/>
        <w:t>存量约在288.69万吨，环比-10.67万吨。需求方面，聚酯负荷超预期加速，整体负荷继续提升。截至3.19，初步核算国内大陆地区聚酯负荷在89.7%(+1%)，聚酯市场产销好转但是终端新增订单有限。近期聚酯关注恒超、恒鸣、嘉通能源等装置投产情况，2-3月份的长丝产能增量可能在176万吨。预估3月底之前仍可维持高开工，但随着新订单减少，4月份后负荷逐步会有下行压力。从聚酯终端需求来看，订单氛围走弱，降负拐点提前。</w:t>
      </w:r>
    </w:p>
    <w:p w:rsidR="00E45000" w:rsidRPr="00E45000" w:rsidRDefault="00E45000" w:rsidP="00E45000">
      <w:pPr>
        <w:ind w:leftChars="300" w:left="630"/>
        <w:rPr>
          <w:rFonts w:ascii="楷体" w:eastAsia="楷体" w:hAnsi="楷体" w:hint="eastAsia"/>
          <w:color w:val="000000" w:themeColor="text1"/>
          <w:sz w:val="24"/>
          <w:szCs w:val="24"/>
        </w:rPr>
      </w:pPr>
      <w:r w:rsidRPr="00E45000">
        <w:rPr>
          <w:rFonts w:ascii="楷体" w:eastAsia="楷体" w:hAnsi="楷体" w:hint="eastAsia"/>
          <w:color w:val="000000" w:themeColor="text1"/>
          <w:sz w:val="24"/>
          <w:szCs w:val="24"/>
        </w:rPr>
        <w:t>展望后市，二季度PX装置检修较多，4、5月份调油需求又起，二季度PX供应仍偏紧，旺季支撑仍存。短期聚酯负荷偏高维持，近期恒力惠州250万吨PTA装置计划近日投产及TA整体开工率提升，供需去库幅度缩减。</w:t>
      </w:r>
    </w:p>
    <w:p w:rsidR="003F56A5" w:rsidRDefault="00E45000" w:rsidP="00E45000">
      <w:pPr>
        <w:ind w:leftChars="300" w:left="630"/>
        <w:rPr>
          <w:rFonts w:ascii="楷体" w:eastAsia="楷体" w:hAnsi="楷体"/>
          <w:color w:val="000000" w:themeColor="text1"/>
          <w:sz w:val="24"/>
          <w:szCs w:val="24"/>
        </w:rPr>
      </w:pPr>
      <w:r w:rsidRPr="00E45000">
        <w:rPr>
          <w:rFonts w:ascii="楷体" w:eastAsia="楷体" w:hAnsi="楷体" w:hint="eastAsia"/>
          <w:color w:val="000000" w:themeColor="text1"/>
          <w:sz w:val="24"/>
          <w:szCs w:val="24"/>
        </w:rPr>
        <w:t>策略方面，随着后期终端需求走弱，聚酯负荷上升放缓，产业链利润仍会集中在成本端。终端对聚酯如短纤的影响较大，对TA的影响相对较弱，建议继续做缩聚酯利润。仅供参考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0287455"/>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0287456"/>
      <w:r>
        <w:rPr>
          <w:rFonts w:ascii="楷体" w:eastAsia="楷体" w:hAnsi="楷体" w:hint="eastAsia"/>
          <w:b/>
          <w:color w:val="000000" w:themeColor="text1"/>
          <w:sz w:val="24"/>
          <w:szCs w:val="24"/>
        </w:rPr>
        <w:t>聚烯烃：</w:t>
      </w:r>
      <w:r w:rsidR="004A3F85" w:rsidRPr="004A3F85">
        <w:rPr>
          <w:rFonts w:ascii="楷体" w:eastAsia="楷体" w:hAnsi="楷体" w:hint="eastAsia"/>
          <w:b/>
          <w:color w:val="000000" w:themeColor="text1"/>
          <w:sz w:val="24"/>
          <w:szCs w:val="24"/>
        </w:rPr>
        <w:t>终端需求跟进一般，聚烯烃或窄幅下跌为主</w:t>
      </w:r>
      <w:bookmarkEnd w:id="37"/>
    </w:p>
    <w:p w:rsidR="003F56A5" w:rsidRDefault="004A3F85">
      <w:pPr>
        <w:ind w:leftChars="300" w:left="630"/>
        <w:rPr>
          <w:rFonts w:ascii="楷体" w:eastAsia="楷体" w:hAnsi="楷体"/>
          <w:bCs/>
          <w:sz w:val="24"/>
          <w:szCs w:val="24"/>
        </w:rPr>
      </w:pPr>
      <w:r w:rsidRPr="004A3F85">
        <w:rPr>
          <w:rFonts w:ascii="楷体" w:eastAsia="楷体" w:hAnsi="楷体" w:hint="eastAsia"/>
          <w:color w:val="000000" w:themeColor="text1"/>
          <w:sz w:val="24"/>
          <w:szCs w:val="24"/>
        </w:rPr>
        <w:t>近期聚烯烃窄幅整理为主。库存方面，上周国内国内PE库存环比3月10日增加0.96%，其中样本主要生产环节PE库存环比增加3.84%，PE样本港口库存环比下降0.36%，样本贸易企业库存环比下降2.98%。上周五国内PP库存环比3月10日上升3.58%。其中主要生产环节PP库存上升、港口库存，贸易环节库存下降。短期聚烯烃去库节奏偏一般。成本方面，对银行业危机担忧加剧， 国际油价盘中继续暴跌，但对于美联储加息不确定性以及瑞士银行并购瑞士信贷导致美元指数下跌，欧美原油期货炒底吸纳，收盘反转跌势上涨，目前油制PE利润大约为-312.45元/吨，油制PP利润大约为-1459.60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聚烯烃上游原油支撑减弱，PE方面，供应端，检修装置有所增加，产量方面预计小幅减少，生产企业库存压力有所放缓；需求端，下游工厂订单情况跟进缓慢，原料消化有限，需求支撑有减弱预期。预计</w:t>
      </w:r>
      <w:r w:rsidRPr="004A3F85">
        <w:rPr>
          <w:rFonts w:ascii="楷体" w:eastAsia="楷体" w:hAnsi="楷体" w:hint="eastAsia"/>
          <w:color w:val="000000" w:themeColor="text1"/>
          <w:sz w:val="24"/>
          <w:szCs w:val="24"/>
        </w:rPr>
        <w:lastRenderedPageBreak/>
        <w:t>今日聚乙烯价格窄幅下跌为主。PP方面，供应面来看，京博石化一线40万吨/年及广西鸿谊30万吨/年新装置正式投产，一季度扩能集中释放，叠加近期检修装置不多，前期停车装置陆续重启，供应端压力凸显。尽管刚需支撑仍存，需求端迟迟不见明显好转，交易重心回归供需基本面，因此预计今日延续弱势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0287457"/>
      <w:r>
        <w:rPr>
          <w:rFonts w:ascii="楷体" w:eastAsia="楷体" w:hAnsi="楷体" w:hint="eastAsia"/>
          <w:b/>
          <w:color w:val="000000" w:themeColor="text1"/>
          <w:sz w:val="24"/>
          <w:szCs w:val="24"/>
        </w:rPr>
        <w:t>MEG：</w:t>
      </w:r>
      <w:r w:rsidR="00E45000" w:rsidRPr="00E45000">
        <w:rPr>
          <w:rFonts w:ascii="楷体" w:eastAsia="楷体" w:hAnsi="楷体" w:hint="eastAsia"/>
          <w:b/>
          <w:color w:val="000000" w:themeColor="text1"/>
          <w:sz w:val="24"/>
          <w:szCs w:val="24"/>
        </w:rPr>
        <w:t>05高库存压制 弱势难改</w:t>
      </w:r>
      <w:bookmarkEnd w:id="38"/>
    </w:p>
    <w:p w:rsidR="00E45000" w:rsidRPr="00E45000" w:rsidRDefault="00E45000" w:rsidP="00E45000">
      <w:pPr>
        <w:ind w:leftChars="300" w:left="630"/>
        <w:rPr>
          <w:rFonts w:ascii="楷体" w:eastAsia="楷体" w:hAnsi="楷体" w:hint="eastAsia"/>
          <w:color w:val="000000" w:themeColor="text1"/>
          <w:sz w:val="24"/>
          <w:szCs w:val="24"/>
        </w:rPr>
      </w:pPr>
      <w:r w:rsidRPr="00E45000">
        <w:rPr>
          <w:rFonts w:ascii="楷体" w:eastAsia="楷体" w:hAnsi="楷体" w:hint="eastAsia"/>
          <w:color w:val="000000" w:themeColor="text1"/>
          <w:sz w:val="24"/>
          <w:szCs w:val="24"/>
        </w:rPr>
        <w:t>供需情况，今日华东主港地区MEG港口库存约110.3万吨附近，环比上期增加0.1万吨。截至3月16日，中国大陆地区乙二醇整体开工负荷在61.04%（+1.21%），其中煤制乙二醇开工负荷在56.63%（-4.27%），煤制装置检修增多。聚酯需求端来看，截止3.19初步核算国内大陆地区聚酯负荷在89.7%。上周江浙终端开工率小幅下滑但仍高位维持，江浙加弹综合开工率89%(-1%)，江浙织机综合开工率75%(-1%），江浙印染综合开工率82%（-3%）。江浙终端工厂原料备货下降，终端加弹、织造开机小幅降负。华南终端开工率小幅下滑至62%（-3%），但华南织机负荷总体下滑不多，开工率尚处于较高水平，仍等待后市需求端订单指引。</w:t>
      </w:r>
    </w:p>
    <w:p w:rsidR="003F56A5" w:rsidRDefault="00E45000" w:rsidP="00E45000">
      <w:pPr>
        <w:ind w:leftChars="300" w:left="630"/>
        <w:rPr>
          <w:rFonts w:ascii="楷体" w:eastAsia="楷体" w:hAnsi="楷体"/>
          <w:bCs/>
          <w:sz w:val="24"/>
          <w:szCs w:val="24"/>
        </w:rPr>
      </w:pPr>
      <w:r w:rsidRPr="00E45000">
        <w:rPr>
          <w:rFonts w:ascii="楷体" w:eastAsia="楷体" w:hAnsi="楷体" w:hint="eastAsia"/>
          <w:color w:val="000000" w:themeColor="text1"/>
          <w:sz w:val="24"/>
          <w:szCs w:val="24"/>
        </w:rPr>
        <w:t>综合来看，乙二醇近期走势主要跟随成本端油、煤价格下行，预估乙二醇反弹步伐受高库存压制。但EG05合约已回到4000附近估值偏低，继续下跌空间也不大，因此短期建议观望。关注后期EG 09 4100附近低位加多机会。仅供参考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02874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028745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45000" w:rsidRPr="00E45000">
        <w:rPr>
          <w:rFonts w:ascii="楷体" w:eastAsia="楷体" w:hAnsi="楷体" w:hint="eastAsia"/>
          <w:b/>
          <w:sz w:val="24"/>
          <w:szCs w:val="24"/>
        </w:rPr>
        <w:t>供应增加预期下，趋势偏空</w:t>
      </w:r>
      <w:bookmarkEnd w:id="40"/>
    </w:p>
    <w:p w:rsidR="003F56A5" w:rsidRDefault="00E45000">
      <w:pPr>
        <w:ind w:leftChars="300" w:left="630"/>
        <w:rPr>
          <w:rFonts w:ascii="楷体" w:eastAsia="楷体" w:hAnsi="楷体"/>
          <w:sz w:val="24"/>
          <w:szCs w:val="24"/>
        </w:rPr>
      </w:pPr>
      <w:r w:rsidRPr="00E45000">
        <w:rPr>
          <w:rFonts w:ascii="楷体" w:eastAsia="楷体" w:hAnsi="楷体" w:hint="eastAsia"/>
          <w:sz w:val="24"/>
          <w:szCs w:val="24"/>
        </w:rPr>
        <w:t>当前宏观风险事件市场对经济担忧加剧，宏观氛围偏空，CBOT大豆承压，带动两粕走弱。同时随着阿根廷减产炒作减弱，巴西大豆收割及出口进度加快，而库容有限，后续供应压力预计会逐步释放。国内市场，近期进口大豆供应放缓，油厂开机在近期大豆供应减少下，部分地区出现断豆停机现象，但3-4月份后进口大豆供应预计大幅增加，根据机构预估3月份预计到港663万吨，4月份预计到港960万吨，后续到港压力增加。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3月后巴西大豆到港节奏，且随着巴西收割加快卖压也将逐步显现，两粕价格重心预计下移，建议短空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0287460"/>
      <w:r>
        <w:rPr>
          <w:rFonts w:ascii="楷体" w:eastAsia="楷体" w:hAnsi="楷体" w:hint="eastAsia"/>
          <w:b/>
          <w:color w:val="000000" w:themeColor="text1"/>
          <w:sz w:val="24"/>
          <w:szCs w:val="24"/>
        </w:rPr>
        <w:t>油脂：</w:t>
      </w:r>
      <w:r w:rsidR="00E45000" w:rsidRPr="00E45000">
        <w:rPr>
          <w:rFonts w:ascii="楷体" w:eastAsia="楷体" w:hAnsi="楷体" w:hint="eastAsia"/>
          <w:b/>
          <w:sz w:val="24"/>
          <w:szCs w:val="24"/>
        </w:rPr>
        <w:t>震荡偏弱，盘面关注超跌后的修复情况</w:t>
      </w:r>
      <w:bookmarkEnd w:id="41"/>
    </w:p>
    <w:p w:rsidR="003F56A5" w:rsidRDefault="00E45000" w:rsidP="00792D31">
      <w:pPr>
        <w:ind w:leftChars="300" w:left="630"/>
        <w:rPr>
          <w:rFonts w:ascii="楷体" w:eastAsia="楷体" w:hAnsi="楷体"/>
          <w:sz w:val="24"/>
          <w:szCs w:val="24"/>
        </w:rPr>
      </w:pPr>
      <w:r w:rsidRPr="00E45000">
        <w:rPr>
          <w:rFonts w:ascii="楷体" w:eastAsia="楷体" w:hAnsi="楷体" w:hint="eastAsia"/>
          <w:sz w:val="24"/>
          <w:szCs w:val="24"/>
        </w:rPr>
        <w:t>在欧美银行危机影响下，市场担忧情绪加剧，国际原油持续走弱拖累油脂市场。棕榈油方面，马棕3月份在减产以及伊斯兰教斋月前备货需求利好出口下，库存预计进一步下调，短期棕榈油下沿仍存支撑。据南部半岛棕榈油压榨商协会(SPPOMA)数据显示，2023年3月1-15日马来西亚棕榈油</w:t>
      </w:r>
      <w:r w:rsidRPr="00E45000">
        <w:rPr>
          <w:rFonts w:ascii="楷体" w:eastAsia="楷体" w:hAnsi="楷体" w:hint="eastAsia"/>
          <w:sz w:val="24"/>
          <w:szCs w:val="24"/>
        </w:rPr>
        <w:lastRenderedPageBreak/>
        <w:t>单产减少29.06%，产量减少29.08%，出口环比跳增。国内棕榈油供应较充裕，库存在100万吨附近的高位。在气温逐渐回暖下，餐饮需求预计逐渐好转，但棕榈油去库仍待观望。豆油，随着天气回暖，在豆棕价差利好棕榈油替代需求下，近期下游成交较清淡，需求端表现平平。在1-2月大豆进口下滑下，近期油厂开机回落，压榨下滑。豆油周度库存小幅回落，处于历史低位水平，因豆粕提货偏慢油厂胀库停机，豆油供给被动减少。菜油在供应边际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短期宏观风险扰动较大，短线建议观望，暂看油脂超跌后的修复情况</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0287461"/>
      <w:r>
        <w:rPr>
          <w:rFonts w:ascii="楷体" w:eastAsia="楷体" w:hAnsi="楷体" w:hint="eastAsia"/>
          <w:b/>
          <w:bCs/>
          <w:color w:val="000000" w:themeColor="text1"/>
        </w:rPr>
        <w:t>玉米与淀粉：</w:t>
      </w:r>
      <w:r w:rsidR="00E45000" w:rsidRPr="00E45000">
        <w:rPr>
          <w:rFonts w:ascii="楷体" w:eastAsia="楷体" w:hAnsi="楷体" w:hint="eastAsia"/>
          <w:b/>
        </w:rPr>
        <w:t>期价夜盘大幅回落</w:t>
      </w:r>
      <w:bookmarkEnd w:id="42"/>
    </w:p>
    <w:p w:rsidR="00E45000" w:rsidRPr="00E45000" w:rsidRDefault="00E45000" w:rsidP="00E45000">
      <w:pPr>
        <w:pStyle w:val="paragraph"/>
        <w:spacing w:before="60" w:after="60"/>
        <w:ind w:leftChars="300" w:left="630"/>
        <w:rPr>
          <w:rFonts w:ascii="楷体" w:eastAsia="楷体" w:hAnsi="楷体" w:hint="eastAsia"/>
        </w:rPr>
      </w:pPr>
      <w:r w:rsidRPr="00E45000">
        <w:rPr>
          <w:rFonts w:ascii="楷体" w:eastAsia="楷体" w:hAnsi="楷体" w:hint="eastAsia"/>
        </w:rPr>
        <w:t>对于玉米而言，在前期报告中，我们侧重从供需矛盾角度出发，供应端来看，年度尚存在产需缺口，短期余粮压力从农户转移到贸易商后存在成本支撑；需求端来看，远期贴水抑制补库积极性，至少会压缩库存周期，短期则更多集中性价比层面，也就是说比较难以接受目前的价格水平。随着北方港口库存的回升，深加工企业玉米库存的持续累积，我们倾向于玉米市场的风险正在积聚，接下来特别留意供应端的潜在冲击，包括小麦饲用替代和陈化水稻投放两个方面。综上所述，我们暂维持中性观点，后期转向看空，建议投资者暂以观望为宜，后期可考虑择机入场单边做空。</w:t>
      </w:r>
    </w:p>
    <w:p w:rsidR="003F56A5" w:rsidRDefault="00E45000" w:rsidP="00E45000">
      <w:pPr>
        <w:pStyle w:val="paragraph"/>
        <w:spacing w:before="60" w:beforeAutospacing="0" w:after="60" w:afterAutospacing="0"/>
        <w:ind w:leftChars="300" w:left="630"/>
        <w:rPr>
          <w:rFonts w:ascii="楷体" w:eastAsia="楷体" w:hAnsi="楷体"/>
        </w:rPr>
      </w:pPr>
      <w:r w:rsidRPr="00E45000">
        <w:rPr>
          <w:rFonts w:ascii="楷体" w:eastAsia="楷体" w:hAnsi="楷体" w:hint="eastAsia"/>
        </w:rPr>
        <w:t>对于淀粉而言，近期淀粉-玉米价差走扩符合我们之前预期，主要源于两个方面，其一是副产品价格持续下跌，带动期现货生产利润延续亏损状态，其二是供需端有改善迹象，行业库存出现下滑，淀粉现货表现相对强于玉米。值得留意的是，成本端不确定性增大，带来单边风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0287462"/>
      <w:r>
        <w:rPr>
          <w:rFonts w:ascii="楷体" w:eastAsia="楷体" w:hAnsi="楷体" w:hint="eastAsia"/>
          <w:b/>
          <w:bCs/>
          <w:color w:val="000000" w:themeColor="text1"/>
        </w:rPr>
        <w:t>畜禽养殖：</w:t>
      </w:r>
      <w:r w:rsidR="00E45000" w:rsidRPr="00E45000">
        <w:rPr>
          <w:rFonts w:ascii="楷体" w:eastAsia="楷体" w:hAnsi="楷体" w:hint="eastAsia"/>
          <w:b/>
          <w:bCs/>
          <w:color w:val="000000" w:themeColor="text1"/>
        </w:rPr>
        <w:t>鸡蛋期现背离带动基差继续走强</w:t>
      </w:r>
      <w:bookmarkEnd w:id="43"/>
    </w:p>
    <w:p w:rsidR="00E45000" w:rsidRPr="00E45000" w:rsidRDefault="00E45000" w:rsidP="00E45000">
      <w:pPr>
        <w:pStyle w:val="paragraph"/>
        <w:spacing w:before="60" w:after="60"/>
        <w:ind w:leftChars="300" w:left="630"/>
        <w:rPr>
          <w:rFonts w:ascii="楷体" w:eastAsia="楷体" w:hAnsi="楷体" w:hint="eastAsia"/>
        </w:rPr>
      </w:pPr>
      <w:r w:rsidRPr="00E45000">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以来现货一波三折，缺乏持续上涨动力，考虑到禽类产品价格和利润均处于历史同期高位水平，我们更多倾向于猪价表现或更多源于需求端，而季节性淡季之后需求或有望趋于改善，加上目前生猪养殖仍处于亏损状态，现货上涨仍可期待。参考去年生猪期现货表现来看，接下来即3月下旬有望进入一个重要的观测时间窗口。我们维持谨慎看多观点，建议谨慎投资者继续观望为宜，激进投资者如有介入多单则可以持有。</w:t>
      </w:r>
    </w:p>
    <w:p w:rsidR="003F56A5" w:rsidRDefault="00E45000" w:rsidP="00E45000">
      <w:pPr>
        <w:pStyle w:val="paragraph"/>
        <w:spacing w:before="60" w:beforeAutospacing="0" w:after="60" w:afterAutospacing="0"/>
        <w:ind w:leftChars="300" w:left="630"/>
        <w:rPr>
          <w:rFonts w:ascii="楷体" w:eastAsia="楷体" w:hAnsi="楷体"/>
        </w:rPr>
      </w:pPr>
      <w:r w:rsidRPr="00E45000">
        <w:rPr>
          <w:rFonts w:ascii="楷体" w:eastAsia="楷体" w:hAnsi="楷体" w:hint="eastAsia"/>
        </w:rPr>
        <w:lastRenderedPageBreak/>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幅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0287463"/>
      <w:r>
        <w:rPr>
          <w:rFonts w:ascii="楷体" w:eastAsia="楷体" w:hAnsi="楷体" w:hint="eastAsia"/>
          <w:b/>
          <w:sz w:val="24"/>
          <w:szCs w:val="24"/>
        </w:rPr>
        <w:t>郑棉：</w:t>
      </w:r>
      <w:r w:rsidR="004A3F85" w:rsidRPr="004A3F85">
        <w:rPr>
          <w:rFonts w:ascii="楷体" w:eastAsia="楷体" w:hAnsi="楷体" w:hint="eastAsia"/>
          <w:b/>
          <w:sz w:val="24"/>
          <w:szCs w:val="24"/>
        </w:rPr>
        <w:t>郑棉围绕1.4万震荡。宽跨式期权卖权持有</w:t>
      </w:r>
      <w:bookmarkEnd w:id="44"/>
    </w:p>
    <w:p w:rsidR="003F56A5" w:rsidRDefault="004A3F85">
      <w:pPr>
        <w:ind w:leftChars="300" w:left="630"/>
        <w:rPr>
          <w:rFonts w:ascii="楷体" w:eastAsia="楷体" w:hAnsi="楷体"/>
          <w:sz w:val="24"/>
          <w:szCs w:val="24"/>
        </w:rPr>
      </w:pPr>
      <w:r w:rsidRPr="004A3F85">
        <w:rPr>
          <w:rFonts w:ascii="楷体" w:eastAsia="楷体" w:hAnsi="楷体" w:hint="eastAsia"/>
          <w:sz w:val="24"/>
          <w:szCs w:val="24"/>
        </w:rPr>
        <w:t>随着国际银行危机的爆发和蔓延，金融市场的信心严重受挫，多头资金十分谨慎。对于经济属性较强的棉花来说，当前宏观因素已占主导地位，基本面影响力降低。基本面方面，因价格回落，棉花销售进度大幅加快，回到往年合理水平。根据国家棉花市场监测系统调查数据显示，截至3月16日，全国棉花累计销售皮棉434.3万吨，同比增加185.1万吨。关注银行事件的后续发展以及商品整体价格走势。不过，鉴于棉花此前已先于其他大宗商品价格大幅下跌，价格已属于低位，后续下跌空间相对有限。预计本日围绕1.4万关口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30" w:rsidRDefault="00427E30">
      <w:r>
        <w:separator/>
      </w:r>
    </w:p>
  </w:endnote>
  <w:endnote w:type="continuationSeparator" w:id="0">
    <w:p w:rsidR="00427E30" w:rsidRDefault="004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315871D" wp14:editId="5BED2B04">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45000">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45000">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30" w:rsidRDefault="00427E30">
      <w:r>
        <w:separator/>
      </w:r>
    </w:p>
  </w:footnote>
  <w:footnote w:type="continuationSeparator" w:id="0">
    <w:p w:rsidR="00427E30" w:rsidRDefault="00427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7644E565" wp14:editId="4C21430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4981D3C" wp14:editId="4AA64609">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4A3F85">
      <w:rPr>
        <w:rFonts w:ascii="Times New Roman" w:eastAsia="楷体" w:hAnsi="Times New Roman" w:hint="eastAsia"/>
        <w:b/>
        <w:bCs/>
        <w:noProof/>
        <w:color w:val="833C0B"/>
        <w:sz w:val="21"/>
      </w:rPr>
      <w:t>2023</w:t>
    </w:r>
    <w:r w:rsidR="004A3F85">
      <w:rPr>
        <w:rFonts w:ascii="Times New Roman" w:eastAsia="楷体" w:hAnsi="Times New Roman" w:hint="eastAsia"/>
        <w:b/>
        <w:bCs/>
        <w:noProof/>
        <w:color w:val="833C0B"/>
        <w:sz w:val="21"/>
      </w:rPr>
      <w:t>年</w:t>
    </w:r>
    <w:r w:rsidR="004A3F85">
      <w:rPr>
        <w:rFonts w:ascii="Times New Roman" w:eastAsia="楷体" w:hAnsi="Times New Roman" w:hint="eastAsia"/>
        <w:b/>
        <w:bCs/>
        <w:noProof/>
        <w:color w:val="833C0B"/>
        <w:sz w:val="21"/>
      </w:rPr>
      <w:t>3</w:t>
    </w:r>
    <w:r w:rsidR="004A3F85">
      <w:rPr>
        <w:rFonts w:ascii="Times New Roman" w:eastAsia="楷体" w:hAnsi="Times New Roman" w:hint="eastAsia"/>
        <w:b/>
        <w:bCs/>
        <w:noProof/>
        <w:color w:val="833C0B"/>
        <w:sz w:val="21"/>
      </w:rPr>
      <w:t>月</w:t>
    </w:r>
    <w:r w:rsidR="004A3F85">
      <w:rPr>
        <w:rFonts w:ascii="Times New Roman" w:eastAsia="楷体" w:hAnsi="Times New Roman" w:hint="eastAsia"/>
        <w:b/>
        <w:bCs/>
        <w:noProof/>
        <w:color w:val="833C0B"/>
        <w:sz w:val="21"/>
      </w:rPr>
      <w:t>21</w:t>
    </w:r>
    <w:r w:rsidR="004A3F85">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120B1F"/>
    <w:rsid w:val="00147B03"/>
    <w:rsid w:val="0015047B"/>
    <w:rsid w:val="001942CB"/>
    <w:rsid w:val="001A3E49"/>
    <w:rsid w:val="001B1904"/>
    <w:rsid w:val="001B2D4C"/>
    <w:rsid w:val="001B6394"/>
    <w:rsid w:val="001C77D0"/>
    <w:rsid w:val="001F5438"/>
    <w:rsid w:val="002074A1"/>
    <w:rsid w:val="00216C1E"/>
    <w:rsid w:val="00235529"/>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56A5"/>
    <w:rsid w:val="004201F5"/>
    <w:rsid w:val="004230AC"/>
    <w:rsid w:val="00427E30"/>
    <w:rsid w:val="00440FBE"/>
    <w:rsid w:val="004427D1"/>
    <w:rsid w:val="00461147"/>
    <w:rsid w:val="00485A3F"/>
    <w:rsid w:val="00487F77"/>
    <w:rsid w:val="004977A9"/>
    <w:rsid w:val="004A3F85"/>
    <w:rsid w:val="004A65B5"/>
    <w:rsid w:val="004E58A5"/>
    <w:rsid w:val="005145ED"/>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C1554"/>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443CE"/>
    <w:rsid w:val="00B4555A"/>
    <w:rsid w:val="00B53C56"/>
    <w:rsid w:val="00B618F8"/>
    <w:rsid w:val="00B72E2D"/>
    <w:rsid w:val="00B805BD"/>
    <w:rsid w:val="00BA4663"/>
    <w:rsid w:val="00BA696B"/>
    <w:rsid w:val="00BC71D6"/>
    <w:rsid w:val="00BD4C85"/>
    <w:rsid w:val="00BF3137"/>
    <w:rsid w:val="00C02ECE"/>
    <w:rsid w:val="00C228D6"/>
    <w:rsid w:val="00C240C3"/>
    <w:rsid w:val="00C25562"/>
    <w:rsid w:val="00C66C6C"/>
    <w:rsid w:val="00C70FDD"/>
    <w:rsid w:val="00C82E4D"/>
    <w:rsid w:val="00C91234"/>
    <w:rsid w:val="00CB1F18"/>
    <w:rsid w:val="00CB2FD2"/>
    <w:rsid w:val="00CB3015"/>
    <w:rsid w:val="00CC3E40"/>
    <w:rsid w:val="00CC3FFA"/>
    <w:rsid w:val="00CD5884"/>
    <w:rsid w:val="00CD5DE8"/>
    <w:rsid w:val="00CE7903"/>
    <w:rsid w:val="00CF6C71"/>
    <w:rsid w:val="00D00D60"/>
    <w:rsid w:val="00D017E5"/>
    <w:rsid w:val="00D01A19"/>
    <w:rsid w:val="00D309C4"/>
    <w:rsid w:val="00D45E53"/>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000"/>
    <w:rsid w:val="00E451FD"/>
    <w:rsid w:val="00E55B22"/>
    <w:rsid w:val="00E64502"/>
    <w:rsid w:val="00E847DF"/>
    <w:rsid w:val="00E928BB"/>
    <w:rsid w:val="00EA28CA"/>
    <w:rsid w:val="00EB56F2"/>
    <w:rsid w:val="00ED451D"/>
    <w:rsid w:val="00F07C02"/>
    <w:rsid w:val="00F157C6"/>
    <w:rsid w:val="00F234BF"/>
    <w:rsid w:val="00F268B3"/>
    <w:rsid w:val="00F31CCA"/>
    <w:rsid w:val="00F43E0E"/>
    <w:rsid w:val="00F473F0"/>
    <w:rsid w:val="00F622ED"/>
    <w:rsid w:val="00F65EEA"/>
    <w:rsid w:val="00F776D3"/>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9489B-3EE0-4047-AE5D-C718EEDB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9</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52</cp:revision>
  <cp:lastPrinted>2023-03-20T02:41:00Z</cp:lastPrinted>
  <dcterms:created xsi:type="dcterms:W3CDTF">2022-11-15T10:06:00Z</dcterms:created>
  <dcterms:modified xsi:type="dcterms:W3CDTF">2023-03-21T02:36:00Z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