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楷体" w:cs="Times New Roman"/>
          <w:b/>
          <w:color w:val="823C0B"/>
          <w:sz w:val="32"/>
          <w:szCs w:val="32"/>
        </w:rPr>
      </w:pPr>
      <w:r>
        <w:rPr>
          <w:rFonts w:ascii="Times New Roman" w:hAnsi="Times New Roman" w:eastAsia="楷体" w:cs="Times New Roman"/>
          <w:b/>
          <w:color w:val="823C0B"/>
          <w:sz w:val="32"/>
          <w:szCs w:val="32"/>
        </w:rPr>
        <w:t>广州期货早间直通车</w:t>
      </w:r>
    </w:p>
    <w:p>
      <w:pPr>
        <w:jc w:val="right"/>
        <w:rPr>
          <w:rFonts w:ascii="Times New Roman" w:hAnsi="Times New Roman" w:eastAsia="楷体" w:cs="Times New Roman"/>
          <w:b/>
          <w:color w:val="823C0B"/>
          <w:sz w:val="24"/>
        </w:rPr>
      </w:pPr>
    </w:p>
    <w:p>
      <w:pPr>
        <w:jc w:val="center"/>
        <w:rPr>
          <w:rFonts w:ascii="Times New Roman" w:hAnsi="Times New Roman" w:eastAsia="楷体" w:cs="Times New Roman"/>
          <w:b/>
          <w:color w:val="823C0B"/>
          <w:sz w:val="24"/>
        </w:rPr>
      </w:pPr>
      <w:r>
        <w:rPr>
          <w:rFonts w:ascii="Times New Roman" w:hAnsi="Times New Roman" w:eastAsia="楷体" w:cs="Times New Roman"/>
          <w:b/>
          <w:color w:val="823C0B"/>
          <w:sz w:val="24"/>
        </w:rPr>
        <w:t>投资咨询业务资格：证监许可【2012】1497号</w:t>
      </w:r>
    </w:p>
    <w:p>
      <w:pPr>
        <w:jc w:val="center"/>
        <w:rPr>
          <w:rFonts w:ascii="Times New Roman" w:hAnsi="Times New Roman" w:eastAsia="楷体"/>
          <w:b/>
          <w:color w:val="823C0B"/>
          <w:sz w:val="30"/>
          <w:szCs w:val="30"/>
        </w:rPr>
      </w:pPr>
    </w:p>
    <w:p>
      <w:pPr>
        <w:jc w:val="center"/>
        <w:rPr>
          <w:rFonts w:ascii="Times New Roman" w:hAnsi="Times New Roman" w:eastAsia="楷体"/>
          <w:b/>
        </w:rPr>
      </w:pPr>
      <w:r>
        <w:rPr>
          <w:rFonts w:hint="eastAsia" w:ascii="Times New Roman" w:hAnsi="Times New Roman" w:eastAsia="楷体"/>
          <w:b/>
          <w:color w:val="823C0B"/>
          <w:sz w:val="30"/>
          <w:szCs w:val="30"/>
        </w:rPr>
        <w:t>评论品种一览</w:t>
      </w:r>
    </w:p>
    <w:sdt>
      <w:sdtPr>
        <w:rPr>
          <w:rFonts w:eastAsia="宋体" w:asciiTheme="minorHAnsi" w:hAnsiTheme="minorHAnsi" w:cstheme="minorBidi"/>
          <w:b/>
          <w:bCs/>
          <w:color w:val="auto"/>
          <w:kern w:val="2"/>
          <w:sz w:val="21"/>
          <w:szCs w:val="21"/>
          <w:lang w:val="zh-CN"/>
        </w:rPr>
        <w:id w:val="1355533930"/>
        <w:docPartObj>
          <w:docPartGallery w:val="Table of Contents"/>
          <w:docPartUnique/>
        </w:docPartObj>
      </w:sdtPr>
      <w:sdtEndPr>
        <w:rPr>
          <w:rFonts w:eastAsia="宋体" w:asciiTheme="minorHAnsi" w:hAnsiTheme="minorHAnsi" w:cstheme="minorBidi"/>
          <w:b/>
          <w:bCs/>
          <w:color w:val="auto"/>
          <w:kern w:val="2"/>
          <w:sz w:val="21"/>
          <w:szCs w:val="21"/>
          <w:lang w:val="zh-CN"/>
        </w:rPr>
      </w:sdtEndPr>
      <w:sdtContent>
        <w:p>
          <w:pPr>
            <w:pStyle w:val="17"/>
            <w:rPr>
              <w:b/>
              <w:bCs/>
            </w:rPr>
          </w:pPr>
          <w:bookmarkStart w:id="49" w:name="_GoBack"/>
          <w:bookmarkEnd w:id="49"/>
        </w:p>
        <w:p>
          <w:pPr>
            <w:pStyle w:val="5"/>
            <w:tabs>
              <w:tab w:val="right" w:leader="dot" w:pos="8306"/>
            </w:tabs>
          </w:pPr>
          <w:r>
            <w:rPr>
              <w:b/>
              <w:bCs/>
            </w:rPr>
            <w:fldChar w:fldCharType="begin"/>
          </w:r>
          <w:r>
            <w:rPr>
              <w:b/>
              <w:bCs/>
            </w:rPr>
            <w:instrText xml:space="preserve"> TOC \o "1-3" \n \h \z \u </w:instrText>
          </w:r>
          <w:r>
            <w:rPr>
              <w:b/>
              <w:bCs/>
            </w:rPr>
            <w:fldChar w:fldCharType="separate"/>
          </w:r>
          <w:r>
            <w:rPr>
              <w:bCs/>
            </w:rPr>
            <w:fldChar w:fldCharType="begin"/>
          </w:r>
          <w:r>
            <w:rPr>
              <w:bCs/>
            </w:rPr>
            <w:instrText xml:space="preserve"> HYPERLINK \l _Toc24581 </w:instrText>
          </w:r>
          <w:r>
            <w:rPr>
              <w:bCs/>
            </w:rPr>
            <w:fldChar w:fldCharType="separate"/>
          </w:r>
          <w:r>
            <w:rPr>
              <w:rFonts w:hint="eastAsia" w:ascii="Times New Roman" w:hAnsi="Times New Roman" w:eastAsia="楷体"/>
              <w:szCs w:val="30"/>
            </w:rPr>
            <w:t>[金融]</w:t>
          </w:r>
          <w:r>
            <w:rPr>
              <w:bCs/>
            </w:rPr>
            <w:fldChar w:fldCharType="end"/>
          </w:r>
        </w:p>
        <w:p>
          <w:pPr>
            <w:pStyle w:val="6"/>
            <w:tabs>
              <w:tab w:val="right" w:leader="dot" w:pos="8306"/>
            </w:tabs>
          </w:pPr>
          <w:r>
            <w:rPr>
              <w:bCs/>
            </w:rPr>
            <w:fldChar w:fldCharType="begin"/>
          </w:r>
          <w:r>
            <w:rPr>
              <w:bCs/>
            </w:rPr>
            <w:instrText xml:space="preserve"> HYPERLINK \l _Toc27208 </w:instrText>
          </w:r>
          <w:r>
            <w:rPr>
              <w:bCs/>
            </w:rPr>
            <w:fldChar w:fldCharType="separate"/>
          </w:r>
          <w:r>
            <w:rPr>
              <w:rFonts w:hint="eastAsia" w:ascii="Times New Roman" w:hAnsi="Times New Roman" w:eastAsia="楷体"/>
              <w:szCs w:val="24"/>
            </w:rPr>
            <w:t>股指：</w:t>
          </w:r>
          <w:r>
            <w:rPr>
              <w:rFonts w:hint="eastAsia" w:ascii="Times New Roman" w:hAnsi="Times New Roman" w:eastAsia="楷体"/>
              <w:szCs w:val="24"/>
              <w:highlight w:val="none"/>
            </w:rPr>
            <w:t>IM多单持有或多IM空IH</w:t>
          </w:r>
          <w:r>
            <w:rPr>
              <w:bCs/>
            </w:rPr>
            <w:fldChar w:fldCharType="end"/>
          </w:r>
        </w:p>
        <w:p>
          <w:pPr>
            <w:pStyle w:val="5"/>
            <w:tabs>
              <w:tab w:val="right" w:leader="dot" w:pos="8306"/>
            </w:tabs>
          </w:pPr>
          <w:r>
            <w:rPr>
              <w:bCs/>
            </w:rPr>
            <w:fldChar w:fldCharType="begin"/>
          </w:r>
          <w:r>
            <w:rPr>
              <w:bCs/>
            </w:rPr>
            <w:instrText xml:space="preserve"> HYPERLINK \l _Toc21096 </w:instrText>
          </w:r>
          <w:r>
            <w:rPr>
              <w:bCs/>
            </w:rPr>
            <w:fldChar w:fldCharType="separate"/>
          </w:r>
          <w:r>
            <w:rPr>
              <w:rFonts w:hint="eastAsia" w:ascii="Times New Roman" w:hAnsi="Times New Roman" w:eastAsia="楷体"/>
              <w:szCs w:val="30"/>
            </w:rPr>
            <w:t>[</w:t>
          </w:r>
          <w:r>
            <w:rPr>
              <w:rFonts w:hint="eastAsia" w:ascii="Times New Roman" w:hAnsi="Times New Roman" w:eastAsia="楷体"/>
              <w:szCs w:val="30"/>
              <w:lang w:val="en-US" w:eastAsia="zh-CN"/>
            </w:rPr>
            <w:t>贵</w:t>
          </w:r>
          <w:r>
            <w:rPr>
              <w:rFonts w:hint="eastAsia" w:ascii="Times New Roman" w:hAnsi="Times New Roman" w:eastAsia="楷体"/>
              <w:szCs w:val="30"/>
            </w:rPr>
            <w:t>金</w:t>
          </w:r>
          <w:r>
            <w:rPr>
              <w:rFonts w:hint="eastAsia" w:ascii="Times New Roman" w:hAnsi="Times New Roman" w:eastAsia="楷体"/>
              <w:szCs w:val="30"/>
              <w:lang w:val="en-US" w:eastAsia="zh-CN"/>
            </w:rPr>
            <w:t>属</w:t>
          </w:r>
          <w:r>
            <w:rPr>
              <w:rFonts w:hint="eastAsia" w:ascii="Times New Roman" w:hAnsi="Times New Roman" w:eastAsia="楷体"/>
              <w:szCs w:val="30"/>
            </w:rPr>
            <w:t>]</w:t>
          </w:r>
          <w:r>
            <w:rPr>
              <w:bCs/>
            </w:rPr>
            <w:fldChar w:fldCharType="end"/>
          </w:r>
        </w:p>
        <w:p>
          <w:pPr>
            <w:pStyle w:val="6"/>
            <w:tabs>
              <w:tab w:val="right" w:leader="dot" w:pos="8306"/>
            </w:tabs>
          </w:pPr>
          <w:r>
            <w:rPr>
              <w:bCs/>
            </w:rPr>
            <w:fldChar w:fldCharType="begin"/>
          </w:r>
          <w:r>
            <w:rPr>
              <w:bCs/>
            </w:rPr>
            <w:instrText xml:space="preserve"> HYPERLINK \l _Toc10882 </w:instrText>
          </w:r>
          <w:r>
            <w:rPr>
              <w:bCs/>
            </w:rPr>
            <w:fldChar w:fldCharType="separate"/>
          </w:r>
          <w:r>
            <w:rPr>
              <w:rFonts w:hint="eastAsia" w:ascii="Times New Roman" w:hAnsi="Times New Roman" w:eastAsia="楷体"/>
              <w:szCs w:val="24"/>
            </w:rPr>
            <w:t>贵金属：</w:t>
          </w:r>
          <w:r>
            <w:rPr>
              <w:rFonts w:hint="eastAsia" w:ascii="Times New Roman" w:hAnsi="Times New Roman" w:eastAsia="楷体"/>
              <w:szCs w:val="24"/>
              <w:highlight w:val="none"/>
            </w:rPr>
            <w:t>美国零售销售数据好于预期，隔夜金价大幅回落</w:t>
          </w:r>
          <w:r>
            <w:rPr>
              <w:bCs/>
            </w:rPr>
            <w:fldChar w:fldCharType="end"/>
          </w:r>
        </w:p>
        <w:p>
          <w:pPr>
            <w:pStyle w:val="5"/>
            <w:tabs>
              <w:tab w:val="right" w:leader="dot" w:pos="8306"/>
            </w:tabs>
          </w:pPr>
          <w:r>
            <w:rPr>
              <w:bCs/>
            </w:rPr>
            <w:fldChar w:fldCharType="begin"/>
          </w:r>
          <w:r>
            <w:rPr>
              <w:bCs/>
            </w:rPr>
            <w:instrText xml:space="preserve"> HYPERLINK \l _Toc16695 </w:instrText>
          </w:r>
          <w:r>
            <w:rPr>
              <w:bCs/>
            </w:rPr>
            <w:fldChar w:fldCharType="separate"/>
          </w:r>
          <w:r>
            <w:rPr>
              <w:rFonts w:hint="eastAsia" w:ascii="Times New Roman" w:hAnsi="Times New Roman" w:eastAsia="楷体"/>
              <w:szCs w:val="30"/>
            </w:rPr>
            <w:t>[金属]</w:t>
          </w:r>
          <w:r>
            <w:rPr>
              <w:bCs/>
            </w:rPr>
            <w:fldChar w:fldCharType="end"/>
          </w:r>
        </w:p>
        <w:p>
          <w:pPr>
            <w:pStyle w:val="6"/>
            <w:tabs>
              <w:tab w:val="right" w:leader="dot" w:pos="8306"/>
            </w:tabs>
          </w:pPr>
          <w:r>
            <w:rPr>
              <w:bCs/>
            </w:rPr>
            <w:fldChar w:fldCharType="begin"/>
          </w:r>
          <w:r>
            <w:rPr>
              <w:bCs/>
            </w:rPr>
            <w:instrText xml:space="preserve"> HYPERLINK \l _Toc28348 </w:instrText>
          </w:r>
          <w:r>
            <w:rPr>
              <w:bCs/>
            </w:rPr>
            <w:fldChar w:fldCharType="separate"/>
          </w:r>
          <w:r>
            <w:rPr>
              <w:rFonts w:hint="eastAsia" w:ascii="楷体" w:hAnsi="楷体" w:eastAsia="楷体"/>
              <w:szCs w:val="24"/>
            </w:rPr>
            <w:t>螺纹钢：</w:t>
          </w:r>
          <w:r>
            <w:rPr>
              <w:rFonts w:hint="eastAsia" w:ascii="楷体" w:hAnsi="楷体" w:eastAsia="楷体"/>
              <w:szCs w:val="24"/>
              <w:highlight w:val="none"/>
            </w:rPr>
            <w:t>关于上方压力位，偏强震荡</w:t>
          </w:r>
          <w:r>
            <w:rPr>
              <w:bCs/>
            </w:rPr>
            <w:fldChar w:fldCharType="end"/>
          </w:r>
        </w:p>
        <w:p>
          <w:pPr>
            <w:pStyle w:val="6"/>
            <w:tabs>
              <w:tab w:val="right" w:leader="dot" w:pos="8306"/>
            </w:tabs>
          </w:pPr>
          <w:r>
            <w:rPr>
              <w:bCs/>
            </w:rPr>
            <w:fldChar w:fldCharType="begin"/>
          </w:r>
          <w:r>
            <w:rPr>
              <w:bCs/>
            </w:rPr>
            <w:instrText xml:space="preserve"> HYPERLINK \l _Toc25906 </w:instrText>
          </w:r>
          <w:r>
            <w:rPr>
              <w:bCs/>
            </w:rPr>
            <w:fldChar w:fldCharType="separate"/>
          </w:r>
          <w:r>
            <w:rPr>
              <w:rFonts w:hint="eastAsia" w:ascii="楷体" w:hAnsi="楷体" w:eastAsia="楷体"/>
              <w:szCs w:val="24"/>
            </w:rPr>
            <w:t>焦炭：成材需求环比好转，或继续震荡</w:t>
          </w:r>
          <w:r>
            <w:rPr>
              <w:bCs/>
            </w:rPr>
            <w:fldChar w:fldCharType="end"/>
          </w:r>
        </w:p>
        <w:p>
          <w:pPr>
            <w:pStyle w:val="6"/>
            <w:tabs>
              <w:tab w:val="right" w:leader="dot" w:pos="8306"/>
            </w:tabs>
          </w:pPr>
          <w:r>
            <w:rPr>
              <w:bCs/>
            </w:rPr>
            <w:fldChar w:fldCharType="begin"/>
          </w:r>
          <w:r>
            <w:rPr>
              <w:bCs/>
            </w:rPr>
            <w:instrText xml:space="preserve"> HYPERLINK \l _Toc18678 </w:instrText>
          </w:r>
          <w:r>
            <w:rPr>
              <w:bCs/>
            </w:rPr>
            <w:fldChar w:fldCharType="separate"/>
          </w:r>
          <w:r>
            <w:rPr>
              <w:rFonts w:hint="eastAsia" w:ascii="楷体" w:hAnsi="楷体" w:eastAsia="楷体"/>
              <w:szCs w:val="24"/>
            </w:rPr>
            <w:t>焦煤：动力煤暂时企稳，成材需求走强下震荡运行</w:t>
          </w:r>
          <w:r>
            <w:rPr>
              <w:bCs/>
            </w:rPr>
            <w:fldChar w:fldCharType="end"/>
          </w:r>
        </w:p>
        <w:p>
          <w:pPr>
            <w:pStyle w:val="6"/>
            <w:tabs>
              <w:tab w:val="right" w:leader="dot" w:pos="8306"/>
            </w:tabs>
          </w:pPr>
          <w:r>
            <w:rPr>
              <w:bCs/>
            </w:rPr>
            <w:fldChar w:fldCharType="begin"/>
          </w:r>
          <w:r>
            <w:rPr>
              <w:bCs/>
            </w:rPr>
            <w:instrText xml:space="preserve"> HYPERLINK \l _Toc15271 </w:instrText>
          </w:r>
          <w:r>
            <w:rPr>
              <w:bCs/>
            </w:rPr>
            <w:fldChar w:fldCharType="separate"/>
          </w:r>
          <w:r>
            <w:rPr>
              <w:rFonts w:hint="eastAsia" w:ascii="楷体" w:hAnsi="楷体" w:eastAsia="楷体"/>
              <w:szCs w:val="24"/>
            </w:rPr>
            <w:t>铜：维持震荡整理，关注消费回归</w:t>
          </w:r>
          <w:r>
            <w:rPr>
              <w:bCs/>
            </w:rPr>
            <w:fldChar w:fldCharType="end"/>
          </w:r>
        </w:p>
        <w:p>
          <w:pPr>
            <w:pStyle w:val="6"/>
            <w:tabs>
              <w:tab w:val="right" w:leader="dot" w:pos="8306"/>
            </w:tabs>
          </w:pPr>
          <w:r>
            <w:rPr>
              <w:bCs/>
            </w:rPr>
            <w:fldChar w:fldCharType="begin"/>
          </w:r>
          <w:r>
            <w:rPr>
              <w:bCs/>
            </w:rPr>
            <w:instrText xml:space="preserve"> HYPERLINK \l _Toc28490 </w:instrText>
          </w:r>
          <w:r>
            <w:rPr>
              <w:bCs/>
            </w:rPr>
            <w:fldChar w:fldCharType="separate"/>
          </w:r>
          <w:r>
            <w:rPr>
              <w:rFonts w:hint="eastAsia" w:ascii="楷体" w:hAnsi="楷体" w:eastAsia="楷体"/>
              <w:szCs w:val="24"/>
            </w:rPr>
            <w:t>铝：宏观偏弱叠加库存累库压力，实际下方空间有限</w:t>
          </w:r>
          <w:r>
            <w:rPr>
              <w:bCs/>
            </w:rPr>
            <w:fldChar w:fldCharType="end"/>
          </w:r>
        </w:p>
        <w:p>
          <w:pPr>
            <w:pStyle w:val="6"/>
            <w:tabs>
              <w:tab w:val="right" w:leader="dot" w:pos="8306"/>
            </w:tabs>
          </w:pPr>
          <w:r>
            <w:rPr>
              <w:bCs/>
            </w:rPr>
            <w:fldChar w:fldCharType="begin"/>
          </w:r>
          <w:r>
            <w:rPr>
              <w:bCs/>
            </w:rPr>
            <w:instrText xml:space="preserve"> HYPERLINK \l _Toc16427 </w:instrText>
          </w:r>
          <w:r>
            <w:rPr>
              <w:bCs/>
            </w:rPr>
            <w:fldChar w:fldCharType="separate"/>
          </w:r>
          <w:r>
            <w:rPr>
              <w:rFonts w:hint="eastAsia" w:ascii="楷体" w:hAnsi="楷体" w:eastAsia="楷体"/>
              <w:szCs w:val="24"/>
            </w:rPr>
            <w:t>锌：宏观偏空供需双增，锌格震荡为主</w:t>
          </w:r>
          <w:r>
            <w:rPr>
              <w:bCs/>
            </w:rPr>
            <w:fldChar w:fldCharType="end"/>
          </w:r>
        </w:p>
        <w:p>
          <w:pPr>
            <w:pStyle w:val="6"/>
            <w:tabs>
              <w:tab w:val="right" w:leader="dot" w:pos="8306"/>
            </w:tabs>
          </w:pPr>
          <w:r>
            <w:rPr>
              <w:bCs/>
            </w:rPr>
            <w:fldChar w:fldCharType="begin"/>
          </w:r>
          <w:r>
            <w:rPr>
              <w:bCs/>
            </w:rPr>
            <w:instrText xml:space="preserve"> HYPERLINK \l _Toc7512 </w:instrText>
          </w:r>
          <w:r>
            <w:rPr>
              <w:bCs/>
            </w:rPr>
            <w:fldChar w:fldCharType="separate"/>
          </w:r>
          <w:r>
            <w:rPr>
              <w:rFonts w:hint="eastAsia" w:ascii="楷体" w:hAnsi="楷体" w:eastAsia="楷体"/>
              <w:szCs w:val="24"/>
            </w:rPr>
            <w:t>镍：高位震荡，逢高布局空单</w:t>
          </w:r>
          <w:r>
            <w:rPr>
              <w:bCs/>
            </w:rPr>
            <w:fldChar w:fldCharType="end"/>
          </w:r>
        </w:p>
        <w:p>
          <w:pPr>
            <w:pStyle w:val="6"/>
            <w:tabs>
              <w:tab w:val="right" w:leader="dot" w:pos="8306"/>
            </w:tabs>
          </w:pPr>
          <w:r>
            <w:rPr>
              <w:bCs/>
            </w:rPr>
            <w:fldChar w:fldCharType="begin"/>
          </w:r>
          <w:r>
            <w:rPr>
              <w:bCs/>
            </w:rPr>
            <w:instrText xml:space="preserve"> HYPERLINK \l _Toc7380 </w:instrText>
          </w:r>
          <w:r>
            <w:rPr>
              <w:bCs/>
            </w:rPr>
            <w:fldChar w:fldCharType="separate"/>
          </w:r>
          <w:r>
            <w:rPr>
              <w:rFonts w:hint="eastAsia" w:ascii="楷体" w:hAnsi="楷体" w:eastAsia="楷体"/>
              <w:szCs w:val="24"/>
            </w:rPr>
            <w:t>不锈钢：短期震荡运行，等待消费回归</w:t>
          </w:r>
          <w:r>
            <w:rPr>
              <w:bCs/>
            </w:rPr>
            <w:fldChar w:fldCharType="end"/>
          </w:r>
        </w:p>
        <w:p>
          <w:pPr>
            <w:pStyle w:val="6"/>
            <w:tabs>
              <w:tab w:val="right" w:leader="dot" w:pos="8306"/>
            </w:tabs>
          </w:pPr>
          <w:r>
            <w:rPr>
              <w:bCs/>
            </w:rPr>
            <w:fldChar w:fldCharType="begin"/>
          </w:r>
          <w:r>
            <w:rPr>
              <w:bCs/>
            </w:rPr>
            <w:instrText xml:space="preserve"> HYPERLINK \l _Toc1542 </w:instrText>
          </w:r>
          <w:r>
            <w:rPr>
              <w:bCs/>
            </w:rPr>
            <w:fldChar w:fldCharType="separate"/>
          </w:r>
          <w:r>
            <w:rPr>
              <w:rFonts w:hint="eastAsia" w:ascii="楷体" w:hAnsi="楷体" w:eastAsia="楷体"/>
              <w:szCs w:val="24"/>
            </w:rPr>
            <w:t>工业硅：供需格局无明显改善，短期以反弹对待</w:t>
          </w:r>
          <w:r>
            <w:rPr>
              <w:bCs/>
            </w:rPr>
            <w:fldChar w:fldCharType="end"/>
          </w:r>
        </w:p>
        <w:p>
          <w:pPr>
            <w:pStyle w:val="5"/>
            <w:tabs>
              <w:tab w:val="right" w:leader="dot" w:pos="8306"/>
            </w:tabs>
          </w:pPr>
          <w:r>
            <w:rPr>
              <w:bCs/>
            </w:rPr>
            <w:fldChar w:fldCharType="begin"/>
          </w:r>
          <w:r>
            <w:rPr>
              <w:bCs/>
            </w:rPr>
            <w:instrText xml:space="preserve"> HYPERLINK \l _Toc19822 </w:instrText>
          </w:r>
          <w:r>
            <w:rPr>
              <w:bCs/>
            </w:rPr>
            <w:fldChar w:fldCharType="separate"/>
          </w:r>
          <w:r>
            <w:rPr>
              <w:rFonts w:hint="eastAsia" w:ascii="Times New Roman" w:hAnsi="Times New Roman" w:eastAsia="楷体"/>
              <w:szCs w:val="30"/>
            </w:rPr>
            <w:t>[化工]</w:t>
          </w:r>
          <w:r>
            <w:rPr>
              <w:bCs/>
            </w:rPr>
            <w:fldChar w:fldCharType="end"/>
          </w:r>
        </w:p>
        <w:p>
          <w:pPr>
            <w:pStyle w:val="6"/>
            <w:tabs>
              <w:tab w:val="right" w:leader="dot" w:pos="8306"/>
            </w:tabs>
          </w:pPr>
          <w:r>
            <w:rPr>
              <w:bCs/>
            </w:rPr>
            <w:fldChar w:fldCharType="begin"/>
          </w:r>
          <w:r>
            <w:rPr>
              <w:bCs/>
            </w:rPr>
            <w:instrText xml:space="preserve"> HYPERLINK \l _Toc106 </w:instrText>
          </w:r>
          <w:r>
            <w:rPr>
              <w:bCs/>
            </w:rPr>
            <w:fldChar w:fldCharType="separate"/>
          </w:r>
          <w:r>
            <w:rPr>
              <w:rFonts w:hint="eastAsia" w:ascii="Times New Roman" w:hAnsi="Times New Roman" w:eastAsia="楷体"/>
              <w:szCs w:val="24"/>
            </w:rPr>
            <w:t>天然橡胶:</w:t>
          </w:r>
          <w:r>
            <w:rPr>
              <w:rFonts w:hint="eastAsia" w:ascii="Times New Roman" w:hAnsi="Times New Roman" w:eastAsia="楷体"/>
              <w:szCs w:val="24"/>
              <w:lang w:val="en-US" w:eastAsia="zh-CN"/>
            </w:rPr>
            <w:t xml:space="preserve"> </w:t>
          </w:r>
          <w:r>
            <w:rPr>
              <w:rFonts w:hint="eastAsia" w:ascii="Times New Roman" w:hAnsi="Times New Roman" w:eastAsia="楷体"/>
              <w:szCs w:val="24"/>
            </w:rPr>
            <w:t>RU短期面临压力显著 或延续底部震荡为主</w:t>
          </w:r>
          <w:r>
            <w:rPr>
              <w:bCs/>
            </w:rPr>
            <w:fldChar w:fldCharType="end"/>
          </w:r>
        </w:p>
        <w:p>
          <w:pPr>
            <w:pStyle w:val="6"/>
            <w:tabs>
              <w:tab w:val="right" w:leader="dot" w:pos="8306"/>
            </w:tabs>
          </w:pPr>
          <w:r>
            <w:rPr>
              <w:bCs/>
            </w:rPr>
            <w:fldChar w:fldCharType="begin"/>
          </w:r>
          <w:r>
            <w:rPr>
              <w:bCs/>
            </w:rPr>
            <w:instrText xml:space="preserve"> HYPERLINK \l _Toc21837 </w:instrText>
          </w:r>
          <w:r>
            <w:rPr>
              <w:bCs/>
            </w:rPr>
            <w:fldChar w:fldCharType="separate"/>
          </w:r>
          <w:r>
            <w:rPr>
              <w:rFonts w:ascii="楷体" w:hAnsi="楷体" w:eastAsia="楷体"/>
              <w:szCs w:val="24"/>
            </w:rPr>
            <w:t>PTA</w:t>
          </w:r>
          <w:r>
            <w:rPr>
              <w:rFonts w:hint="eastAsia" w:ascii="楷体" w:hAnsi="楷体" w:eastAsia="楷体"/>
              <w:szCs w:val="24"/>
            </w:rPr>
            <w:t>：终端负反馈，回调继续</w:t>
          </w:r>
          <w:r>
            <w:rPr>
              <w:bCs/>
            </w:rPr>
            <w:fldChar w:fldCharType="end"/>
          </w:r>
        </w:p>
        <w:p>
          <w:pPr>
            <w:pStyle w:val="6"/>
            <w:tabs>
              <w:tab w:val="right" w:leader="dot" w:pos="8306"/>
            </w:tabs>
          </w:pPr>
          <w:r>
            <w:rPr>
              <w:bCs/>
            </w:rPr>
            <w:fldChar w:fldCharType="begin"/>
          </w:r>
          <w:r>
            <w:rPr>
              <w:bCs/>
            </w:rPr>
            <w:instrText xml:space="preserve"> HYPERLINK \l _Toc12499 </w:instrText>
          </w:r>
          <w:r>
            <w:rPr>
              <w:bCs/>
            </w:rPr>
            <w:fldChar w:fldCharType="separate"/>
          </w:r>
          <w:r>
            <w:rPr>
              <w:rFonts w:hint="eastAsia" w:ascii="楷体" w:hAnsi="楷体" w:eastAsia="楷体"/>
              <w:szCs w:val="24"/>
              <w:lang w:val="en-US" w:eastAsia="zh-CN"/>
            </w:rPr>
            <w:t>PVC</w:t>
          </w:r>
          <w:r>
            <w:rPr>
              <w:rFonts w:hint="eastAsia" w:ascii="楷体" w:hAnsi="楷体" w:eastAsia="楷体"/>
              <w:szCs w:val="24"/>
            </w:rPr>
            <w:t>：基建表现强于房企 关注V低多机会</w:t>
          </w:r>
          <w:r>
            <w:rPr>
              <w:bCs/>
            </w:rPr>
            <w:fldChar w:fldCharType="end"/>
          </w:r>
        </w:p>
        <w:p>
          <w:pPr>
            <w:pStyle w:val="6"/>
            <w:tabs>
              <w:tab w:val="right" w:leader="dot" w:pos="8306"/>
            </w:tabs>
          </w:pPr>
          <w:r>
            <w:rPr>
              <w:bCs/>
            </w:rPr>
            <w:fldChar w:fldCharType="begin"/>
          </w:r>
          <w:r>
            <w:rPr>
              <w:bCs/>
            </w:rPr>
            <w:instrText xml:space="preserve"> HYPERLINK \l _Toc25759 </w:instrText>
          </w:r>
          <w:r>
            <w:rPr>
              <w:bCs/>
            </w:rPr>
            <w:fldChar w:fldCharType="separate"/>
          </w:r>
          <w:r>
            <w:rPr>
              <w:rFonts w:hint="eastAsia" w:ascii="楷体" w:hAnsi="楷体" w:eastAsia="楷体"/>
              <w:szCs w:val="24"/>
            </w:rPr>
            <w:t>聚烯烃：需求支撑不及预期，聚烯烃或窄幅波动为主</w:t>
          </w:r>
          <w:r>
            <w:rPr>
              <w:bCs/>
            </w:rPr>
            <w:fldChar w:fldCharType="end"/>
          </w:r>
        </w:p>
        <w:p>
          <w:pPr>
            <w:pStyle w:val="6"/>
            <w:tabs>
              <w:tab w:val="right" w:leader="dot" w:pos="8306"/>
            </w:tabs>
          </w:pPr>
          <w:r>
            <w:rPr>
              <w:bCs/>
            </w:rPr>
            <w:fldChar w:fldCharType="begin"/>
          </w:r>
          <w:r>
            <w:rPr>
              <w:bCs/>
            </w:rPr>
            <w:instrText xml:space="preserve"> HYPERLINK \l _Toc14159 </w:instrText>
          </w:r>
          <w:r>
            <w:rPr>
              <w:bCs/>
            </w:rPr>
            <w:fldChar w:fldCharType="separate"/>
          </w:r>
          <w:r>
            <w:rPr>
              <w:rFonts w:hint="eastAsia" w:ascii="楷体" w:hAnsi="楷体" w:eastAsia="楷体"/>
              <w:szCs w:val="24"/>
            </w:rPr>
            <w:t>MEG：维持4100-4300区间走势</w:t>
          </w:r>
          <w:r>
            <w:rPr>
              <w:bCs/>
            </w:rPr>
            <w:fldChar w:fldCharType="end"/>
          </w:r>
        </w:p>
        <w:p>
          <w:pPr>
            <w:pStyle w:val="5"/>
            <w:tabs>
              <w:tab w:val="right" w:leader="dot" w:pos="8306"/>
            </w:tabs>
          </w:pPr>
          <w:r>
            <w:rPr>
              <w:bCs/>
            </w:rPr>
            <w:fldChar w:fldCharType="begin"/>
          </w:r>
          <w:r>
            <w:rPr>
              <w:bCs/>
            </w:rPr>
            <w:instrText xml:space="preserve"> HYPERLINK \l _Toc29044 </w:instrText>
          </w:r>
          <w:r>
            <w:rPr>
              <w:bCs/>
            </w:rPr>
            <w:fldChar w:fldCharType="separate"/>
          </w:r>
          <w:r>
            <w:rPr>
              <w:rFonts w:hint="eastAsia" w:ascii="Times New Roman" w:hAnsi="Times New Roman" w:eastAsia="楷体"/>
              <w:szCs w:val="30"/>
            </w:rPr>
            <w:t>[农产品]</w:t>
          </w:r>
          <w:r>
            <w:rPr>
              <w:bCs/>
            </w:rPr>
            <w:fldChar w:fldCharType="end"/>
          </w:r>
        </w:p>
        <w:p>
          <w:pPr>
            <w:pStyle w:val="6"/>
            <w:tabs>
              <w:tab w:val="right" w:leader="dot" w:pos="8306"/>
            </w:tabs>
          </w:pPr>
          <w:r>
            <w:rPr>
              <w:bCs/>
            </w:rPr>
            <w:fldChar w:fldCharType="begin"/>
          </w:r>
          <w:r>
            <w:rPr>
              <w:bCs/>
            </w:rPr>
            <w:instrText xml:space="preserve"> HYPERLINK \l _Toc30491 </w:instrText>
          </w:r>
          <w:r>
            <w:rPr>
              <w:bCs/>
            </w:rPr>
            <w:fldChar w:fldCharType="separate"/>
          </w:r>
          <w:r>
            <w:rPr>
              <w:rFonts w:hint="eastAsia" w:ascii="楷体" w:hAnsi="楷体" w:eastAsia="楷体"/>
              <w:szCs w:val="24"/>
            </w:rPr>
            <w:t>豆粕：跟随美豆走弱，暂看3800一线支撑</w:t>
          </w:r>
          <w:r>
            <w:rPr>
              <w:bCs/>
            </w:rPr>
            <w:fldChar w:fldCharType="end"/>
          </w:r>
        </w:p>
        <w:p>
          <w:pPr>
            <w:pStyle w:val="6"/>
            <w:tabs>
              <w:tab w:val="right" w:leader="dot" w:pos="8306"/>
            </w:tabs>
          </w:pPr>
          <w:r>
            <w:rPr>
              <w:bCs/>
            </w:rPr>
            <w:fldChar w:fldCharType="begin"/>
          </w:r>
          <w:r>
            <w:rPr>
              <w:bCs/>
            </w:rPr>
            <w:instrText xml:space="preserve"> HYPERLINK \l _Toc10703 </w:instrText>
          </w:r>
          <w:r>
            <w:rPr>
              <w:bCs/>
            </w:rPr>
            <w:fldChar w:fldCharType="separate"/>
          </w:r>
          <w:r>
            <w:rPr>
              <w:rFonts w:hint="eastAsia" w:ascii="楷体" w:hAnsi="楷体" w:eastAsia="楷体"/>
              <w:szCs w:val="24"/>
            </w:rPr>
            <w:t>油脂：处于震荡区间内，暂看下方支撑</w:t>
          </w:r>
          <w:r>
            <w:rPr>
              <w:bCs/>
            </w:rPr>
            <w:fldChar w:fldCharType="end"/>
          </w:r>
        </w:p>
        <w:p>
          <w:pPr>
            <w:pStyle w:val="6"/>
            <w:tabs>
              <w:tab w:val="right" w:leader="dot" w:pos="8306"/>
            </w:tabs>
          </w:pPr>
          <w:r>
            <w:rPr>
              <w:bCs/>
            </w:rPr>
            <w:fldChar w:fldCharType="begin"/>
          </w:r>
          <w:r>
            <w:rPr>
              <w:bCs/>
            </w:rPr>
            <w:instrText xml:space="preserve"> HYPERLINK \l _Toc26340 </w:instrText>
          </w:r>
          <w:r>
            <w:rPr>
              <w:bCs/>
            </w:rPr>
            <w:fldChar w:fldCharType="separate"/>
          </w:r>
          <w:r>
            <w:rPr>
              <w:rFonts w:hint="eastAsia" w:ascii="楷体" w:hAnsi="楷体" w:eastAsia="楷体"/>
              <w:bCs/>
            </w:rPr>
            <w:t>玉米与淀粉：</w:t>
          </w:r>
          <w:r>
            <w:rPr>
              <w:rFonts w:hint="eastAsia" w:ascii="楷体" w:hAnsi="楷体" w:eastAsia="楷体"/>
            </w:rPr>
            <w:t>期价反弹乏力</w:t>
          </w:r>
          <w:r>
            <w:rPr>
              <w:bCs/>
            </w:rPr>
            <w:fldChar w:fldCharType="end"/>
          </w:r>
        </w:p>
        <w:p>
          <w:pPr>
            <w:pStyle w:val="6"/>
            <w:tabs>
              <w:tab w:val="right" w:leader="dot" w:pos="8306"/>
            </w:tabs>
          </w:pPr>
          <w:r>
            <w:rPr>
              <w:bCs/>
            </w:rPr>
            <w:fldChar w:fldCharType="begin"/>
          </w:r>
          <w:r>
            <w:rPr>
              <w:bCs/>
            </w:rPr>
            <w:instrText xml:space="preserve"> HYPERLINK \l _Toc3970 </w:instrText>
          </w:r>
          <w:r>
            <w:rPr>
              <w:bCs/>
            </w:rPr>
            <w:fldChar w:fldCharType="separate"/>
          </w:r>
          <w:r>
            <w:rPr>
              <w:rFonts w:hint="eastAsia" w:ascii="楷体" w:hAnsi="楷体" w:eastAsia="楷体"/>
              <w:bCs/>
            </w:rPr>
            <w:t>畜禽养殖：鸡蛋期价大幅反弹</w:t>
          </w:r>
          <w:r>
            <w:rPr>
              <w:bCs/>
            </w:rPr>
            <w:fldChar w:fldCharType="end"/>
          </w:r>
        </w:p>
        <w:p>
          <w:pPr>
            <w:pStyle w:val="6"/>
            <w:tabs>
              <w:tab w:val="right" w:leader="dot" w:pos="8306"/>
            </w:tabs>
          </w:pPr>
          <w:r>
            <w:rPr>
              <w:bCs/>
            </w:rPr>
            <w:fldChar w:fldCharType="begin"/>
          </w:r>
          <w:r>
            <w:rPr>
              <w:bCs/>
            </w:rPr>
            <w:instrText xml:space="preserve"> HYPERLINK \l _Toc6084 </w:instrText>
          </w:r>
          <w:r>
            <w:rPr>
              <w:bCs/>
            </w:rPr>
            <w:fldChar w:fldCharType="separate"/>
          </w:r>
          <w:r>
            <w:rPr>
              <w:rFonts w:hint="eastAsia" w:ascii="楷体" w:hAnsi="楷体" w:eastAsia="楷体"/>
              <w:szCs w:val="24"/>
            </w:rPr>
            <w:t>郑棉：郑棉区间震荡，宽跨式期权卖权持有</w:t>
          </w:r>
          <w:r>
            <w:rPr>
              <w:bCs/>
            </w:rPr>
            <w:fldChar w:fldCharType="end"/>
          </w:r>
        </w:p>
        <w:p>
          <w:r>
            <w:rPr>
              <w:bCs/>
            </w:rPr>
            <w:fldChar w:fldCharType="end"/>
          </w:r>
        </w:p>
      </w:sdtContent>
    </w:sdt>
    <w:p>
      <w:pPr>
        <w:rPr>
          <w:rFonts w:ascii="Times New Roman" w:hAnsi="Times New Roman" w:eastAsia="楷体"/>
          <w:b/>
        </w:rPr>
      </w:pPr>
    </w:p>
    <w:p>
      <w:pPr>
        <w:rPr>
          <w:rFonts w:ascii="Times New Roman" w:hAnsi="Times New Roman" w:eastAsia="楷体"/>
          <w:b/>
        </w:rPr>
      </w:pPr>
    </w:p>
    <w:p>
      <w:pPr>
        <w:rPr>
          <w:rFonts w:hint="eastAsia" w:ascii="Times New Roman" w:hAnsi="Times New Roman" w:eastAsia="楷体" w:cs="Times New Roman"/>
          <w:b/>
          <w:color w:val="823C0B"/>
          <w:sz w:val="24"/>
          <w:lang w:val="en-US" w:eastAsia="zh-CN"/>
        </w:rPr>
      </w:pPr>
    </w:p>
    <w:p>
      <w:pPr>
        <w:rPr>
          <w:rFonts w:hint="eastAsia" w:ascii="Times New Roman" w:hAnsi="Times New Roman" w:eastAsia="楷体" w:cs="Times New Roman"/>
          <w:b/>
          <w:color w:val="823C0B"/>
          <w:sz w:val="24"/>
          <w:lang w:val="en-US" w:eastAsia="zh-CN"/>
        </w:rPr>
      </w:pPr>
    </w:p>
    <w:p>
      <w:pPr>
        <w:rPr>
          <w:rFonts w:hint="eastAsia" w:ascii="Times New Roman" w:hAnsi="Times New Roman" w:eastAsia="楷体" w:cs="Times New Roman"/>
          <w:b/>
          <w:color w:val="823C0B"/>
          <w:sz w:val="24"/>
        </w:rPr>
        <w:sectPr>
          <w:headerReference r:id="rId4" w:type="first"/>
          <w:headerReference r:id="rId3" w:type="default"/>
          <w:footerReference r:id="rId5" w:type="default"/>
          <w:pgSz w:w="11906" w:h="16838"/>
          <w:pgMar w:top="1440" w:right="1800" w:bottom="1440" w:left="1800" w:header="850" w:footer="1077" w:gutter="0"/>
          <w:cols w:space="425" w:num="1"/>
          <w:titlePg/>
          <w:docGrid w:type="lines" w:linePitch="312" w:charSpace="0"/>
        </w:sectPr>
      </w:pPr>
      <w:r>
        <w:rPr>
          <w:rFonts w:hint="eastAsia" w:ascii="Times New Roman" w:hAnsi="Times New Roman" w:eastAsia="楷体" w:cs="Times New Roman"/>
          <w:b/>
          <w:color w:val="823C0B"/>
          <w:sz w:val="24"/>
          <w:lang w:val="en-US" w:eastAsia="zh-CN"/>
        </w:rPr>
        <w:t>本文</w:t>
      </w:r>
      <w:r>
        <w:rPr>
          <w:rFonts w:hint="eastAsia" w:ascii="Times New Roman" w:hAnsi="Times New Roman" w:eastAsia="楷体" w:cs="Times New Roman"/>
          <w:b/>
          <w:color w:val="823C0B"/>
          <w:sz w:val="24"/>
        </w:rPr>
        <w:t>观点</w:t>
      </w:r>
      <w:r>
        <w:rPr>
          <w:rFonts w:hint="eastAsia" w:ascii="Times New Roman" w:hAnsi="Times New Roman" w:eastAsia="楷体" w:cs="Times New Roman"/>
          <w:b/>
          <w:color w:val="823C0B"/>
          <w:sz w:val="24"/>
          <w:lang w:eastAsia="zh-CN"/>
        </w:rPr>
        <w:t>、</w:t>
      </w:r>
      <w:r>
        <w:rPr>
          <w:rFonts w:hint="eastAsia" w:ascii="Times New Roman" w:hAnsi="Times New Roman" w:eastAsia="楷体" w:cs="Times New Roman"/>
          <w:b/>
          <w:color w:val="823C0B"/>
          <w:sz w:val="24"/>
          <w:lang w:val="en-US" w:eastAsia="zh-CN"/>
        </w:rPr>
        <w:t>结论和</w:t>
      </w:r>
      <w:r>
        <w:rPr>
          <w:rFonts w:hint="eastAsia" w:ascii="Times New Roman" w:hAnsi="Times New Roman" w:eastAsia="楷体" w:cs="Times New Roman"/>
          <w:b/>
          <w:color w:val="823C0B"/>
          <w:sz w:val="24"/>
        </w:rPr>
        <w:t>建议</w:t>
      </w:r>
      <w:r>
        <w:rPr>
          <w:rFonts w:hint="eastAsia" w:ascii="Times New Roman" w:hAnsi="Times New Roman" w:eastAsia="楷体" w:cs="Times New Roman"/>
          <w:b/>
          <w:color w:val="823C0B"/>
          <w:sz w:val="24"/>
          <w:lang w:val="en-US" w:eastAsia="zh-CN"/>
        </w:rPr>
        <w:t>等</w:t>
      </w:r>
      <w:r>
        <w:rPr>
          <w:rFonts w:hint="eastAsia" w:ascii="Times New Roman" w:hAnsi="Times New Roman" w:eastAsia="楷体" w:cs="Times New Roman"/>
          <w:b/>
          <w:color w:val="823C0B"/>
          <w:sz w:val="24"/>
        </w:rPr>
        <w:t>仅供参考，并不构成操作依据！请阅读文末免责声明。</w:t>
      </w:r>
    </w:p>
    <w:p>
      <w:pPr>
        <w:rPr>
          <w:rFonts w:hint="eastAsia" w:ascii="Times New Roman" w:hAnsi="Times New Roman" w:eastAsia="楷体" w:cs="Times New Roman"/>
          <w:b/>
          <w:color w:val="823C0B"/>
          <w:sz w:val="24"/>
        </w:rPr>
      </w:pPr>
    </w:p>
    <w:p>
      <w:pPr>
        <w:jc w:val="center"/>
        <w:rPr>
          <w:rFonts w:ascii="Times New Roman" w:hAnsi="Times New Roman" w:eastAsia="楷体"/>
          <w:b/>
          <w:color w:val="823C0B"/>
          <w:sz w:val="30"/>
          <w:szCs w:val="30"/>
        </w:rPr>
      </w:pPr>
      <w:r>
        <w:rPr>
          <w:rFonts w:hint="eastAsia" w:ascii="Times New Roman" w:hAnsi="Times New Roman" w:eastAsia="楷体"/>
          <w:b/>
          <w:color w:val="823C0B"/>
          <w:sz w:val="30"/>
          <w:szCs w:val="30"/>
        </w:rPr>
        <w:t>本日早评</w:t>
      </w:r>
    </w:p>
    <w:p>
      <w:pPr>
        <w:pBdr>
          <w:top w:val="single" w:color="auto" w:sz="4" w:space="0"/>
        </w:pBdr>
        <w:outlineLvl w:val="0"/>
        <w:rPr>
          <w:rFonts w:ascii="Times New Roman" w:hAnsi="Times New Roman" w:eastAsia="楷体"/>
          <w:b/>
          <w:color w:val="823C0B"/>
        </w:rPr>
      </w:pPr>
      <w:bookmarkStart w:id="0" w:name="_Toc19317"/>
      <w:bookmarkStart w:id="1" w:name="_Toc18033"/>
      <w:bookmarkStart w:id="2" w:name="_Toc24581"/>
      <w:bookmarkStart w:id="3" w:name="金融"/>
      <w:r>
        <w:rPr>
          <w:rFonts w:hint="eastAsia" w:ascii="Times New Roman" w:hAnsi="Times New Roman" w:eastAsia="楷体"/>
          <w:b/>
          <w:color w:val="823C0B"/>
          <w:sz w:val="30"/>
          <w:szCs w:val="30"/>
        </w:rPr>
        <w:t>[金融]</w:t>
      </w:r>
      <w:bookmarkEnd w:id="0"/>
      <w:bookmarkEnd w:id="1"/>
      <w:bookmarkEnd w:id="2"/>
    </w:p>
    <w:bookmarkEnd w:id="3"/>
    <w:p>
      <w:pPr>
        <w:ind w:left="420" w:leftChars="200"/>
        <w:outlineLvl w:val="1"/>
        <w:rPr>
          <w:rFonts w:hint="eastAsia" w:ascii="Times New Roman" w:hAnsi="Times New Roman" w:eastAsia="楷体"/>
          <w:b/>
          <w:color w:val="000000" w:themeColor="text1"/>
          <w:sz w:val="24"/>
          <w:szCs w:val="24"/>
          <w:highlight w:val="none"/>
          <w14:textFill>
            <w14:solidFill>
              <w14:schemeClr w14:val="tx1"/>
            </w14:solidFill>
          </w14:textFill>
        </w:rPr>
      </w:pPr>
      <w:bookmarkStart w:id="4" w:name="_Toc965"/>
      <w:bookmarkStart w:id="5" w:name="_Toc16295"/>
      <w:bookmarkStart w:id="6" w:name="_Toc27208"/>
      <w:r>
        <w:rPr>
          <w:rFonts w:hint="eastAsia" w:ascii="Times New Roman" w:hAnsi="Times New Roman" w:eastAsia="楷体"/>
          <w:b/>
          <w:color w:val="000000" w:themeColor="text1"/>
          <w:sz w:val="24"/>
          <w:szCs w:val="24"/>
          <w14:textFill>
            <w14:solidFill>
              <w14:schemeClr w14:val="tx1"/>
            </w14:solidFill>
          </w14:textFill>
        </w:rPr>
        <w:t>股指：</w:t>
      </w:r>
      <w:bookmarkEnd w:id="4"/>
      <w:bookmarkEnd w:id="5"/>
      <w:r>
        <w:rPr>
          <w:rFonts w:hint="eastAsia" w:ascii="Times New Roman" w:hAnsi="Times New Roman" w:eastAsia="楷体"/>
          <w:b/>
          <w:color w:val="000000" w:themeColor="text1"/>
          <w:sz w:val="24"/>
          <w:szCs w:val="24"/>
          <w:highlight w:val="none"/>
          <w14:textFill>
            <w14:solidFill>
              <w14:schemeClr w14:val="tx1"/>
            </w14:solidFill>
          </w14:textFill>
        </w:rPr>
        <w:t>IM多单持有或多IM空IH</w:t>
      </w:r>
      <w:bookmarkEnd w:id="6"/>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海外通胀扰动，短期美联储较难停止加息，人民币短期存回贬压力，外资流入斜率最陡峭的阶段或已过去，但加息放缓或暂停的中期趋势尚未被扭转。国内1月再度错过降息预期，市场资金面趋紧，大盘估值承压，内资主导的中小盘相对占优。</w:t>
      </w:r>
    </w:p>
    <w:p>
      <w:pPr>
        <w:ind w:left="630" w:leftChars="300"/>
        <w:rPr>
          <w:rFonts w:hint="eastAsia" w:ascii="Times New Roman" w:hAnsi="Times New Roman" w:eastAsia="楷体"/>
          <w:color w:val="000000" w:themeColor="text1"/>
          <w:sz w:val="24"/>
          <w:szCs w:val="24"/>
          <w14:textFill>
            <w14:solidFill>
              <w14:schemeClr w14:val="tx1"/>
            </w14:solidFill>
          </w14:textFill>
        </w:rPr>
      </w:pPr>
    </w:p>
    <w:p>
      <w:pPr>
        <w:pBdr>
          <w:top w:val="single" w:color="auto" w:sz="4" w:space="0"/>
        </w:pBdr>
        <w:outlineLvl w:val="0"/>
        <w:rPr>
          <w:rFonts w:ascii="Times New Roman" w:hAnsi="Times New Roman" w:eastAsia="楷体"/>
          <w:b/>
          <w:color w:val="823C0B"/>
        </w:rPr>
      </w:pPr>
      <w:bookmarkStart w:id="7" w:name="_Toc21096"/>
      <w:r>
        <w:rPr>
          <w:rFonts w:hint="eastAsia" w:ascii="Times New Roman" w:hAnsi="Times New Roman" w:eastAsia="楷体"/>
          <w:b/>
          <w:color w:val="823C0B"/>
          <w:sz w:val="30"/>
          <w:szCs w:val="30"/>
        </w:rPr>
        <w:t>[</w:t>
      </w:r>
      <w:r>
        <w:rPr>
          <w:rFonts w:hint="eastAsia" w:ascii="Times New Roman" w:hAnsi="Times New Roman" w:eastAsia="楷体"/>
          <w:b/>
          <w:color w:val="823C0B"/>
          <w:sz w:val="30"/>
          <w:szCs w:val="30"/>
          <w:lang w:val="en-US" w:eastAsia="zh-CN"/>
        </w:rPr>
        <w:t>贵</w:t>
      </w:r>
      <w:r>
        <w:rPr>
          <w:rFonts w:hint="eastAsia" w:ascii="Times New Roman" w:hAnsi="Times New Roman" w:eastAsia="楷体"/>
          <w:b/>
          <w:color w:val="823C0B"/>
          <w:sz w:val="30"/>
          <w:szCs w:val="30"/>
        </w:rPr>
        <w:t>金</w:t>
      </w:r>
      <w:r>
        <w:rPr>
          <w:rFonts w:hint="eastAsia" w:ascii="Times New Roman" w:hAnsi="Times New Roman" w:eastAsia="楷体"/>
          <w:b/>
          <w:color w:val="823C0B"/>
          <w:sz w:val="30"/>
          <w:szCs w:val="30"/>
          <w:lang w:val="en-US" w:eastAsia="zh-CN"/>
        </w:rPr>
        <w:t>属</w:t>
      </w:r>
      <w:r>
        <w:rPr>
          <w:rFonts w:hint="eastAsia" w:ascii="Times New Roman" w:hAnsi="Times New Roman" w:eastAsia="楷体"/>
          <w:b/>
          <w:color w:val="823C0B"/>
          <w:sz w:val="30"/>
          <w:szCs w:val="30"/>
        </w:rPr>
        <w:t>]</w:t>
      </w:r>
      <w:bookmarkEnd w:id="7"/>
    </w:p>
    <w:p>
      <w:pPr>
        <w:ind w:left="420" w:leftChars="200"/>
        <w:outlineLvl w:val="1"/>
        <w:rPr>
          <w:rFonts w:hint="eastAsia" w:ascii="Times New Roman" w:hAnsi="Times New Roman" w:eastAsia="楷体"/>
          <w:b/>
          <w:color w:val="000000" w:themeColor="text1"/>
          <w:sz w:val="24"/>
          <w:szCs w:val="24"/>
          <w:highlight w:val="none"/>
          <w14:textFill>
            <w14:solidFill>
              <w14:schemeClr w14:val="tx1"/>
            </w14:solidFill>
          </w14:textFill>
        </w:rPr>
      </w:pPr>
      <w:bookmarkStart w:id="8" w:name="_Toc10882"/>
      <w:r>
        <w:rPr>
          <w:rFonts w:hint="eastAsia" w:ascii="Times New Roman" w:hAnsi="Times New Roman" w:eastAsia="楷体"/>
          <w:b/>
          <w:color w:val="000000" w:themeColor="text1"/>
          <w:sz w:val="24"/>
          <w:szCs w:val="24"/>
          <w14:textFill>
            <w14:solidFill>
              <w14:schemeClr w14:val="tx1"/>
            </w14:solidFill>
          </w14:textFill>
        </w:rPr>
        <w:t>贵金属：</w:t>
      </w:r>
      <w:r>
        <w:rPr>
          <w:rFonts w:hint="eastAsia" w:ascii="Times New Roman" w:hAnsi="Times New Roman" w:eastAsia="楷体"/>
          <w:b/>
          <w:color w:val="000000" w:themeColor="text1"/>
          <w:sz w:val="24"/>
          <w:szCs w:val="24"/>
          <w:highlight w:val="none"/>
          <w14:textFill>
            <w14:solidFill>
              <w14:schemeClr w14:val="tx1"/>
            </w14:solidFill>
          </w14:textFill>
        </w:rPr>
        <w:t>美国零售销售数据好于预期，隔夜金价大幅回落</w:t>
      </w:r>
      <w:bookmarkEnd w:id="8"/>
    </w:p>
    <w:p>
      <w:pPr>
        <w:ind w:left="630" w:leftChars="300"/>
        <w:rPr>
          <w:rFonts w:ascii="Times New Roman" w:hAnsi="Times New Roman" w:eastAsia="楷体"/>
          <w:sz w:val="24"/>
          <w:szCs w:val="24"/>
        </w:rPr>
      </w:pPr>
      <w:r>
        <w:rPr>
          <w:rFonts w:hint="eastAsia" w:ascii="Times New Roman" w:hAnsi="Times New Roman" w:eastAsia="楷体"/>
          <w:color w:val="000000" w:themeColor="text1"/>
          <w:sz w:val="24"/>
          <w:szCs w:val="24"/>
          <w14:textFill>
            <w14:solidFill>
              <w14:schemeClr w14:val="tx1"/>
            </w14:solidFill>
          </w14:textFill>
        </w:rPr>
        <w:t>美国1月零售销售环比增3%，为近两年以来最大升幅，远超此前预期的1.8%。1月核心零售销售环比增2.3%，亦超预期。在通胀压力仍在上升的背景下，美国民众消费热情不减。受此影响，美元指数小幅反弹至103.8，外盘COMEX金价隔夜向下破位1852美元/盎司的60日均线支撑，当前暂报1846美元/盎司。COMEX银价跟跌逾1%，下方看向21.46美元/盎司的120日线支撑位，沪金、沪银跟随外盘走势。美国经济数据表现好于预期，美元指数反弹令金价承压，金价短线偏弱震荡。</w:t>
      </w:r>
    </w:p>
    <w:p>
      <w:pPr>
        <w:ind w:left="630" w:leftChars="300"/>
        <w:rPr>
          <w:rFonts w:hint="eastAsia" w:ascii="Times New Roman" w:hAnsi="Times New Roman" w:eastAsia="楷体"/>
          <w:color w:val="000000" w:themeColor="text1"/>
          <w:sz w:val="24"/>
          <w:szCs w:val="24"/>
          <w14:textFill>
            <w14:solidFill>
              <w14:schemeClr w14:val="tx1"/>
            </w14:solidFill>
          </w14:textFill>
        </w:rPr>
      </w:pPr>
    </w:p>
    <w:p>
      <w:pPr>
        <w:pBdr>
          <w:top w:val="single" w:color="auto" w:sz="4" w:space="0"/>
        </w:pBdr>
        <w:outlineLvl w:val="0"/>
        <w:rPr>
          <w:rFonts w:ascii="Times New Roman" w:hAnsi="Times New Roman" w:eastAsia="楷体"/>
          <w:b/>
          <w:color w:val="823C0B"/>
          <w:sz w:val="30"/>
          <w:szCs w:val="30"/>
        </w:rPr>
      </w:pPr>
      <w:bookmarkStart w:id="9" w:name="_Toc3096"/>
      <w:bookmarkStart w:id="10" w:name="金属"/>
      <w:bookmarkStart w:id="11" w:name="_Toc20891"/>
      <w:bookmarkStart w:id="12" w:name="_Toc16695"/>
      <w:bookmarkStart w:id="13" w:name="农产品"/>
      <w:r>
        <w:rPr>
          <w:rFonts w:hint="eastAsia" w:ascii="Times New Roman" w:hAnsi="Times New Roman" w:eastAsia="楷体"/>
          <w:b/>
          <w:color w:val="823C0B"/>
          <w:sz w:val="30"/>
          <w:szCs w:val="30"/>
        </w:rPr>
        <w:t>[金属]</w:t>
      </w:r>
      <w:bookmarkEnd w:id="9"/>
      <w:bookmarkEnd w:id="10"/>
      <w:bookmarkEnd w:id="11"/>
      <w:bookmarkEnd w:id="12"/>
    </w:p>
    <w:p>
      <w:pPr>
        <w:ind w:left="420" w:leftChars="200"/>
        <w:outlineLvl w:val="1"/>
        <w:rPr>
          <w:rFonts w:hint="eastAsia" w:ascii="楷体" w:hAnsi="楷体" w:eastAsia="楷体"/>
          <w:b/>
          <w:color w:val="000000" w:themeColor="text1"/>
          <w:sz w:val="24"/>
          <w:szCs w:val="24"/>
          <w:highlight w:val="none"/>
          <w14:textFill>
            <w14:solidFill>
              <w14:schemeClr w14:val="tx1"/>
            </w14:solidFill>
          </w14:textFill>
        </w:rPr>
      </w:pPr>
      <w:bookmarkStart w:id="14" w:name="_Toc27831"/>
      <w:bookmarkStart w:id="15" w:name="_Toc5371"/>
      <w:bookmarkStart w:id="16" w:name="_Toc28348"/>
      <w:r>
        <w:rPr>
          <w:rFonts w:hint="eastAsia" w:ascii="楷体" w:hAnsi="楷体" w:eastAsia="楷体"/>
          <w:b/>
          <w:color w:val="000000" w:themeColor="text1"/>
          <w:sz w:val="24"/>
          <w:szCs w:val="24"/>
          <w14:textFill>
            <w14:solidFill>
              <w14:schemeClr w14:val="tx1"/>
            </w14:solidFill>
          </w14:textFill>
        </w:rPr>
        <w:t>螺纹钢：</w:t>
      </w:r>
      <w:bookmarkEnd w:id="14"/>
      <w:bookmarkEnd w:id="15"/>
      <w:r>
        <w:rPr>
          <w:rFonts w:hint="eastAsia" w:ascii="楷体" w:hAnsi="楷体" w:eastAsia="楷体"/>
          <w:b/>
          <w:color w:val="000000" w:themeColor="text1"/>
          <w:sz w:val="24"/>
          <w:szCs w:val="24"/>
          <w:highlight w:val="none"/>
          <w14:textFill>
            <w14:solidFill>
              <w14:schemeClr w14:val="tx1"/>
            </w14:solidFill>
          </w14:textFill>
        </w:rPr>
        <w:t>关于上方压力位，偏强震荡</w:t>
      </w:r>
      <w:bookmarkEnd w:id="16"/>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需求整体启动速度偏慢，钢材日成交回升，但高价成交意愿不强，或继续震荡。建议轻仓参与，以波段交易为主，区间（4080,4100）压力较为明显。</w:t>
      </w:r>
    </w:p>
    <w:p>
      <w:pPr>
        <w:rPr>
          <w:rFonts w:ascii="楷体" w:hAnsi="楷体" w:eastAsia="楷体"/>
          <w:bCs/>
          <w:sz w:val="24"/>
          <w:szCs w:val="24"/>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17" w:name="_Toc4790"/>
      <w:bookmarkStart w:id="18" w:name="_Toc11356"/>
      <w:bookmarkStart w:id="19" w:name="_Toc25906"/>
      <w:r>
        <w:rPr>
          <w:rFonts w:hint="eastAsia" w:ascii="楷体" w:hAnsi="楷体" w:eastAsia="楷体"/>
          <w:b/>
          <w:color w:val="000000" w:themeColor="text1"/>
          <w:sz w:val="24"/>
          <w:szCs w:val="24"/>
          <w14:textFill>
            <w14:solidFill>
              <w14:schemeClr w14:val="tx1"/>
            </w14:solidFill>
          </w14:textFill>
        </w:rPr>
        <w:t>焦炭：</w:t>
      </w:r>
      <w:bookmarkEnd w:id="17"/>
      <w:bookmarkEnd w:id="18"/>
      <w:r>
        <w:rPr>
          <w:rFonts w:hint="eastAsia" w:ascii="楷体" w:hAnsi="楷体" w:eastAsia="楷体"/>
          <w:b/>
          <w:color w:val="000000" w:themeColor="text1"/>
          <w:sz w:val="24"/>
          <w:szCs w:val="24"/>
          <w14:textFill>
            <w14:solidFill>
              <w14:schemeClr w14:val="tx1"/>
            </w14:solidFill>
          </w14:textFill>
        </w:rPr>
        <w:t>成材需求环比好转，或继续震荡</w:t>
      </w:r>
      <w:bookmarkEnd w:id="19"/>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材方向不明确，随日耗提升钢厂控制库存压制焦炭涨价的力度或转弱，本周或成为短期钢价提降的关键时期，观察（2680,2730）震荡。</w:t>
      </w:r>
    </w:p>
    <w:p>
      <w:pPr>
        <w:ind w:left="210" w:leftChars="100"/>
        <w:rPr>
          <w:rFonts w:ascii="楷体" w:hAnsi="楷体" w:eastAsia="楷体"/>
          <w:bCs/>
          <w:sz w:val="24"/>
          <w:szCs w:val="24"/>
        </w:rPr>
      </w:pPr>
    </w:p>
    <w:p>
      <w:pPr>
        <w:ind w:left="420" w:leftChars="200"/>
        <w:outlineLvl w:val="1"/>
        <w:rPr>
          <w:rFonts w:hint="eastAsia" w:ascii="楷体" w:hAnsi="楷体" w:eastAsia="楷体"/>
          <w:b/>
          <w:sz w:val="24"/>
          <w:szCs w:val="24"/>
        </w:rPr>
      </w:pPr>
      <w:bookmarkStart w:id="20" w:name="_Toc18678"/>
      <w:r>
        <w:rPr>
          <w:rFonts w:hint="eastAsia" w:ascii="楷体" w:hAnsi="楷体" w:eastAsia="楷体"/>
          <w:b/>
          <w:color w:val="000000" w:themeColor="text1"/>
          <w:sz w:val="24"/>
          <w:szCs w:val="24"/>
          <w14:textFill>
            <w14:solidFill>
              <w14:schemeClr w14:val="tx1"/>
            </w14:solidFill>
          </w14:textFill>
        </w:rPr>
        <w:t>焦煤：</w:t>
      </w:r>
      <w:r>
        <w:rPr>
          <w:rFonts w:hint="eastAsia" w:ascii="楷体" w:hAnsi="楷体" w:eastAsia="楷体"/>
          <w:b/>
          <w:sz w:val="24"/>
          <w:szCs w:val="24"/>
        </w:rPr>
        <w:t>动力煤暂时企稳，成材需求走强下震荡运行</w:t>
      </w:r>
      <w:bookmarkEnd w:id="20"/>
    </w:p>
    <w:p>
      <w:pPr>
        <w:ind w:left="630" w:leftChars="300"/>
        <w:rPr>
          <w:rFonts w:ascii="楷体" w:hAnsi="楷体" w:eastAsia="楷体"/>
          <w:bCs/>
          <w:sz w:val="24"/>
          <w:szCs w:val="24"/>
        </w:rPr>
      </w:pPr>
      <w:r>
        <w:rPr>
          <w:rFonts w:hint="eastAsia" w:ascii="楷体" w:hAnsi="楷体" w:eastAsia="楷体"/>
          <w:sz w:val="24"/>
          <w:szCs w:val="24"/>
        </w:rPr>
        <w:t>成材需求开始启动，下游复产虽拉动需求走强，但价格传导不畅或导致向上空间不足。焦煤或继续震荡（1770,1860）。</w:t>
      </w:r>
    </w:p>
    <w:p>
      <w:pPr>
        <w:ind w:firstLine="480" w:firstLineChars="200"/>
        <w:rPr>
          <w:rFonts w:ascii="楷体" w:hAnsi="楷体" w:eastAsia="楷体"/>
          <w:sz w:val="24"/>
          <w:szCs w:val="24"/>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1" w:name="_Toc9719"/>
      <w:bookmarkStart w:id="22" w:name="_Toc25617"/>
      <w:bookmarkStart w:id="23" w:name="_Toc15271"/>
      <w:r>
        <w:rPr>
          <w:rFonts w:hint="eastAsia" w:ascii="楷体" w:hAnsi="楷体" w:eastAsia="楷体"/>
          <w:b/>
          <w:color w:val="000000" w:themeColor="text1"/>
          <w:sz w:val="24"/>
          <w:szCs w:val="24"/>
          <w14:textFill>
            <w14:solidFill>
              <w14:schemeClr w14:val="tx1"/>
            </w14:solidFill>
          </w14:textFill>
        </w:rPr>
        <w:t>铜：</w:t>
      </w:r>
      <w:bookmarkEnd w:id="21"/>
      <w:bookmarkEnd w:id="22"/>
      <w:r>
        <w:rPr>
          <w:rFonts w:hint="eastAsia" w:ascii="楷体" w:hAnsi="楷体" w:eastAsia="楷体"/>
          <w:b/>
          <w:color w:val="000000" w:themeColor="text1"/>
          <w:sz w:val="24"/>
          <w:szCs w:val="24"/>
          <w14:textFill>
            <w14:solidFill>
              <w14:schemeClr w14:val="tx1"/>
            </w14:solidFill>
          </w14:textFill>
        </w:rPr>
        <w:t>维持震荡整理，关注消费回归</w:t>
      </w:r>
      <w:bookmarkEnd w:id="23"/>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(1)产业：自由港印尼公司（Freeport Indonesia）首席执行官日前表示，在位于巴布亚东部地区的格拉斯伯格(Grasberg)铜矿的生产活动因洪水而中断后，该矿有望在2月底之前部分重启。</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(2)库存：2月15日，SHFE仓单库存132004吨，增11440吨。LME仓单库存65975吨，增2175吨。</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(3)精废价差：2月15日，Mysteel精废价差2110，扩大198。目前价差在合理价差1380之上。</w:t>
      </w:r>
    </w:p>
    <w:p>
      <w:pPr>
        <w:ind w:left="630" w:leftChars="300"/>
        <w:rPr>
          <w:rFonts w:hint="eastAsia" w:ascii="楷体" w:hAnsi="楷体" w:eastAsia="楷体"/>
          <w:color w:val="000000" w:themeColor="text1"/>
          <w:sz w:val="24"/>
          <w:szCs w:val="24"/>
          <w14:textFill>
            <w14:solidFill>
              <w14:schemeClr w14:val="tx1"/>
            </w14:solidFill>
          </w14:textFill>
        </w:rPr>
      </w:pP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综述：隔夜美元指数强势运行对铜价走势形成压制，短期基本面有支撑但对价格驱动不足，国内消费尚未明显启动，库存仍在累积中，但幅度开始放缓，海外库存持续走低的同时矿端干扰不断，利多价格。短期维持震荡整理，关注消费回归。</w:t>
      </w:r>
    </w:p>
    <w:p>
      <w:pPr>
        <w:ind w:firstLine="480" w:firstLineChars="200"/>
        <w:rPr>
          <w:rFonts w:ascii="楷体" w:hAnsi="楷体" w:eastAsia="楷体"/>
          <w:bCs/>
          <w:sz w:val="24"/>
          <w:szCs w:val="24"/>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4" w:name="_Toc8897"/>
      <w:bookmarkStart w:id="25" w:name="_Toc6247"/>
      <w:bookmarkStart w:id="26" w:name="_Toc28490"/>
      <w:r>
        <w:rPr>
          <w:rFonts w:hint="eastAsia" w:ascii="楷体" w:hAnsi="楷体" w:eastAsia="楷体"/>
          <w:b/>
          <w:color w:val="000000" w:themeColor="text1"/>
          <w:sz w:val="24"/>
          <w:szCs w:val="24"/>
          <w14:textFill>
            <w14:solidFill>
              <w14:schemeClr w14:val="tx1"/>
            </w14:solidFill>
          </w14:textFill>
        </w:rPr>
        <w:t>铝：</w:t>
      </w:r>
      <w:bookmarkEnd w:id="24"/>
      <w:bookmarkEnd w:id="25"/>
      <w:r>
        <w:rPr>
          <w:rFonts w:hint="eastAsia" w:ascii="楷体" w:hAnsi="楷体" w:eastAsia="楷体"/>
          <w:b/>
          <w:color w:val="000000" w:themeColor="text1"/>
          <w:sz w:val="24"/>
          <w:szCs w:val="24"/>
          <w14:textFill>
            <w14:solidFill>
              <w14:schemeClr w14:val="tx1"/>
            </w14:solidFill>
          </w14:textFill>
        </w:rPr>
        <w:t>宏观偏弱叠加库存累库压力，实际下方空间有限</w:t>
      </w:r>
      <w:bookmarkEnd w:id="26"/>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美联储方面表示将提高利率确保通胀继续下降，有色金属承压，国内社融数据走强，多项地产、绿色建材、新能源消费支持政策出台，宏观情绪整体偏空。供应端方面。贵州前期三度限电减产，云南枯水限电有待落实，整体铝市库存仍在历史低位，嘉能可持续交仓，伦铝库存大幅累库，国内维持交易所及社库库存增库，伴随下游消费企业节后逐步复工复产，需求仍有向好预期。综合来看，库存累库给铝价带来压力，价格围绕成本线扰动，实际下方空间有限，可逢低轻仓试多。</w:t>
      </w:r>
    </w:p>
    <w:p>
      <w:pPr>
        <w:ind w:left="630" w:leftChars="300"/>
        <w:rPr>
          <w:rFonts w:hint="eastAsia"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7" w:name="_Toc16427"/>
      <w:r>
        <w:rPr>
          <w:rFonts w:hint="eastAsia" w:ascii="楷体" w:hAnsi="楷体" w:eastAsia="楷体"/>
          <w:b/>
          <w:color w:val="000000" w:themeColor="text1"/>
          <w:sz w:val="24"/>
          <w:szCs w:val="24"/>
          <w14:textFill>
            <w14:solidFill>
              <w14:schemeClr w14:val="tx1"/>
            </w14:solidFill>
          </w14:textFill>
        </w:rPr>
        <w:t>锌：宏观偏空供需双增，锌格震荡为主</w:t>
      </w:r>
      <w:bookmarkEnd w:id="27"/>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美国CPI数据走低但仍高出市场预期，美国通胀压力仍存，预计联储加息持续，国内社融走强，市场判断内需强韧但前期预期过高，市场仍有弱现实压力。海内外锌库存累库，国内供应原料端宽松，冶炼利润高位，精炼锌供应高于预期，下游企业逐步复工复产，开工率约恢复至节前水平。短期锌价受库存增库压力走势向下，价格下跌导致企业采购需求上涨，累库增幅放缓，实际库存低位叠加需求走强，短期价格震荡为主，建议以高抛低吸思路看待。</w:t>
      </w:r>
    </w:p>
    <w:p>
      <w:pPr>
        <w:ind w:left="630" w:leftChars="300"/>
        <w:rPr>
          <w:rFonts w:hint="eastAsia"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8" w:name="_Toc7512"/>
      <w:r>
        <w:rPr>
          <w:rFonts w:hint="eastAsia" w:ascii="楷体" w:hAnsi="楷体" w:eastAsia="楷体"/>
          <w:b/>
          <w:color w:val="000000" w:themeColor="text1"/>
          <w:sz w:val="24"/>
          <w:szCs w:val="24"/>
          <w14:textFill>
            <w14:solidFill>
              <w14:schemeClr w14:val="tx1"/>
            </w14:solidFill>
          </w14:textFill>
        </w:rPr>
        <w:t>镍：高位震荡，逢高布局空单</w:t>
      </w:r>
      <w:bookmarkEnd w:id="28"/>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短暂的消息刺激后，镍价回归高位震荡状态，当前交割品库存依旧低位下，价格难有趋势性下跌行情，但在供应增加预期及需求疲弱的情况下，向上驱动亦有限，高波动局面或将延续，但基本面支撑在边际转弱，倾向于逢高布局空单。</w:t>
      </w:r>
    </w:p>
    <w:p>
      <w:pPr>
        <w:ind w:left="630" w:leftChars="300"/>
        <w:rPr>
          <w:rFonts w:hint="eastAsia"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9" w:name="_Toc7380"/>
      <w:r>
        <w:rPr>
          <w:rFonts w:hint="eastAsia" w:ascii="楷体" w:hAnsi="楷体" w:eastAsia="楷体"/>
          <w:b/>
          <w:color w:val="000000" w:themeColor="text1"/>
          <w:sz w:val="24"/>
          <w:szCs w:val="24"/>
          <w14:textFill>
            <w14:solidFill>
              <w14:schemeClr w14:val="tx1"/>
            </w14:solidFill>
          </w14:textFill>
        </w:rPr>
        <w:t>不锈钢：短期震荡运行，等待消费回归</w:t>
      </w:r>
      <w:bookmarkEnd w:id="29"/>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目前下游企业处于复工初期状态，需求尚未完全释放，高库存压力仍需要时间去缓解，不锈钢价格承压运行。近期原料价格坚挺，成本高位下对价格形成一定支撑。预计价格震荡运行，等待消费回归。操作上，逢低试多，关注库存及成本变化。</w:t>
      </w:r>
    </w:p>
    <w:p>
      <w:pPr>
        <w:rPr>
          <w:rFonts w:ascii="楷体" w:hAnsi="楷体" w:eastAsia="楷体"/>
          <w:bCs/>
          <w:sz w:val="24"/>
          <w:szCs w:val="24"/>
        </w:rPr>
      </w:pPr>
    </w:p>
    <w:p>
      <w:pPr>
        <w:ind w:left="420" w:leftChars="200"/>
        <w:outlineLvl w:val="1"/>
        <w:rPr>
          <w:rFonts w:hint="eastAsia" w:ascii="楷体" w:hAnsi="楷体" w:eastAsia="楷体"/>
          <w:b/>
          <w:sz w:val="24"/>
          <w:szCs w:val="24"/>
        </w:rPr>
      </w:pPr>
      <w:bookmarkStart w:id="30" w:name="_Toc1542"/>
      <w:r>
        <w:rPr>
          <w:rFonts w:hint="eastAsia" w:ascii="楷体" w:hAnsi="楷体" w:eastAsia="楷体"/>
          <w:b/>
          <w:color w:val="000000" w:themeColor="text1"/>
          <w:sz w:val="24"/>
          <w:szCs w:val="24"/>
          <w14:textFill>
            <w14:solidFill>
              <w14:schemeClr w14:val="tx1"/>
            </w14:solidFill>
          </w14:textFill>
        </w:rPr>
        <w:t>工业硅：</w:t>
      </w:r>
      <w:r>
        <w:rPr>
          <w:rFonts w:hint="eastAsia" w:ascii="楷体" w:hAnsi="楷体" w:eastAsia="楷体"/>
          <w:b/>
          <w:sz w:val="24"/>
          <w:szCs w:val="24"/>
        </w:rPr>
        <w:t>供需格局无明显改善，短期以反弹对待</w:t>
      </w:r>
      <w:bookmarkEnd w:id="30"/>
    </w:p>
    <w:p>
      <w:pPr>
        <w:ind w:left="630" w:leftChars="300"/>
        <w:rPr>
          <w:rFonts w:ascii="楷体" w:hAnsi="楷体" w:eastAsia="楷体"/>
          <w:sz w:val="24"/>
          <w:szCs w:val="24"/>
        </w:rPr>
      </w:pPr>
      <w:r>
        <w:rPr>
          <w:rFonts w:hint="eastAsia" w:ascii="楷体" w:hAnsi="楷体" w:eastAsia="楷体"/>
          <w:sz w:val="24"/>
          <w:szCs w:val="24"/>
        </w:rPr>
        <w:t>2月15日，Si2308主力合约呈小幅下行走势，收跌17885元/吨，较上一收盘价涨跌幅-0.33%。从现货市场来看，节后下游刚需补库及枯水期产量有所减少，目前处于季节性去库阶段，但库存整体仍旧高位运行，以及市场对补库持续性持谨慎态度，短期供需格局较难明显改善，预计反弹空间有限。从期货市场来看，下游刚需补库逻辑或阶段性告一段落，短期缺乏明显上行驱动因素，建议可尝试逢高做空。</w:t>
      </w:r>
    </w:p>
    <w:p>
      <w:pPr>
        <w:ind w:firstLine="420" w:firstLineChars="200"/>
        <w:rPr>
          <w:rFonts w:ascii="Times New Roman" w:hAnsi="Times New Roman" w:eastAsia="楷体"/>
          <w:bCs/>
        </w:rPr>
      </w:pPr>
    </w:p>
    <w:p>
      <w:pPr>
        <w:ind w:firstLine="420" w:firstLineChars="200"/>
        <w:rPr>
          <w:rFonts w:ascii="Times New Roman" w:hAnsi="Times New Roman" w:eastAsia="楷体"/>
          <w:bCs/>
        </w:rPr>
      </w:pPr>
    </w:p>
    <w:p>
      <w:pPr>
        <w:pBdr>
          <w:top w:val="single" w:color="auto" w:sz="4" w:space="0"/>
        </w:pBdr>
        <w:outlineLvl w:val="0"/>
        <w:rPr>
          <w:rFonts w:ascii="Times New Roman" w:hAnsi="Times New Roman" w:eastAsia="楷体"/>
          <w:b/>
          <w:color w:val="823C0B"/>
          <w:sz w:val="30"/>
          <w:szCs w:val="30"/>
        </w:rPr>
      </w:pPr>
      <w:bookmarkStart w:id="31" w:name="化工"/>
      <w:r>
        <w:rPr>
          <w:rFonts w:hint="eastAsia" w:ascii="Times New Roman" w:hAnsi="Times New Roman" w:eastAsia="楷体"/>
          <w:b/>
          <w:color w:val="823C0B"/>
          <w:sz w:val="30"/>
          <w:szCs w:val="30"/>
        </w:rPr>
        <w:t xml:space="preserve"> </w:t>
      </w:r>
      <w:bookmarkStart w:id="32" w:name="_Toc19822"/>
      <w:r>
        <w:rPr>
          <w:rFonts w:hint="eastAsia" w:ascii="Times New Roman" w:hAnsi="Times New Roman" w:eastAsia="楷体"/>
          <w:b/>
          <w:color w:val="823C0B"/>
          <w:sz w:val="30"/>
          <w:szCs w:val="30"/>
        </w:rPr>
        <w:t>[化工]</w:t>
      </w:r>
      <w:bookmarkEnd w:id="31"/>
      <w:bookmarkEnd w:id="32"/>
    </w:p>
    <w:p>
      <w:pPr>
        <w:ind w:firstLine="482" w:firstLineChars="200"/>
        <w:outlineLvl w:val="1"/>
        <w:rPr>
          <w:rFonts w:hint="eastAsia" w:ascii="Times New Roman" w:hAnsi="Times New Roman" w:eastAsia="楷体"/>
          <w:b/>
          <w:color w:val="000000" w:themeColor="text1"/>
          <w:sz w:val="24"/>
          <w:szCs w:val="24"/>
          <w14:textFill>
            <w14:solidFill>
              <w14:schemeClr w14:val="tx1"/>
            </w14:solidFill>
          </w14:textFill>
        </w:rPr>
      </w:pPr>
      <w:bookmarkStart w:id="33" w:name="_Toc106"/>
      <w:r>
        <w:rPr>
          <w:rFonts w:hint="eastAsia" w:ascii="Times New Roman" w:hAnsi="Times New Roman" w:eastAsia="楷体"/>
          <w:b/>
          <w:color w:val="000000" w:themeColor="text1"/>
          <w:sz w:val="24"/>
          <w:szCs w:val="24"/>
          <w14:textFill>
            <w14:solidFill>
              <w14:schemeClr w14:val="tx1"/>
            </w14:solidFill>
          </w14:textFill>
        </w:rPr>
        <w:t>天然橡胶:</w:t>
      </w:r>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w:t>
      </w:r>
      <w:r>
        <w:rPr>
          <w:rFonts w:hint="eastAsia" w:ascii="Times New Roman" w:hAnsi="Times New Roman" w:eastAsia="楷体"/>
          <w:b/>
          <w:color w:val="000000" w:themeColor="text1"/>
          <w:sz w:val="24"/>
          <w:szCs w:val="24"/>
          <w14:textFill>
            <w14:solidFill>
              <w14:schemeClr w14:val="tx1"/>
            </w14:solidFill>
          </w14:textFill>
        </w:rPr>
        <w:t>RU短期面临压力显著 或延续底部震荡为主</w:t>
      </w:r>
      <w:bookmarkEnd w:id="33"/>
    </w:p>
    <w:p>
      <w:pPr>
        <w:ind w:left="630" w:leftChars="300"/>
        <w:rPr>
          <w:rFonts w:ascii="楷体" w:hAnsi="楷体" w:eastAsia="楷体"/>
          <w:sz w:val="24"/>
          <w:szCs w:val="24"/>
        </w:rPr>
      </w:pPr>
      <w:r>
        <w:rPr>
          <w:rFonts w:hint="eastAsia" w:ascii="楷体" w:hAnsi="楷体" w:eastAsia="楷体"/>
          <w:sz w:val="24"/>
          <w:szCs w:val="24"/>
        </w:rPr>
        <w:t>点评：昨日 RU延续窄幅下跌，1月汽车产销数据大幅下滑叠加青岛库存持续累库印证橡胶下游有效需求复苏缓慢，对胶价带来显著压力。同时市场前期对于交割品流动性问题的交易结束，造成投资者信心不足。待市场逐步复苏，以及下游集中补货期到来之时，橡胶仍有上涨动力。当前全球天然橡胶主产区向季节性低产季过渡，产区供应压力减弱，国内天然橡胶库存或将迎来去库周期。此外，国内产区现已完全停割，同时越南产区已基本停割，供应端压力小幅释放。但一季度恰逢终端车市传统淡季叠加多地新能源补贴退坡，RU终端需求实质改善有限。不过河南、上海、浙江等地发布了政策支持，叠加前期疫情抑制的终端消费需求还在持续释放中。结合以上因素，投资者不宜过度悲观，预计一季度市场将符合淡季的特征，但仍对橡胶有足够支撑。后续车市将聚焦在新能源汽车补贴退坡结束后汽车需求会否出现显著的需求下滑，以及基建和地产端对商用车的提振效果。预计短期RU在成本支撑与库存高企对峙下仍有一定走弱预期，但下行空间有限，当前天胶在成本支撑下底部坚实，安全边际较高。但2月处于季节性走弱时点，同时近期汽车有效需求不足，消费滞后，建议投资者谨慎观望为主。12500为支撑位，但半年位12750较难突破，预计底部震荡为主。</w:t>
      </w:r>
    </w:p>
    <w:p>
      <w:pPr>
        <w:ind w:firstLine="480" w:firstLineChars="200"/>
        <w:rPr>
          <w:rFonts w:ascii="楷体" w:hAnsi="楷体" w:eastAsia="楷体"/>
          <w:sz w:val="24"/>
          <w:szCs w:val="24"/>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34" w:name="_Toc21837"/>
      <w:r>
        <w:rPr>
          <w:rFonts w:ascii="楷体" w:hAnsi="楷体" w:eastAsia="楷体"/>
          <w:b/>
          <w:color w:val="000000" w:themeColor="text1"/>
          <w:sz w:val="24"/>
          <w:szCs w:val="24"/>
          <w14:textFill>
            <w14:solidFill>
              <w14:schemeClr w14:val="tx1"/>
            </w14:solidFill>
          </w14:textFill>
        </w:rPr>
        <w:t>PTA</w:t>
      </w:r>
      <w:r>
        <w:rPr>
          <w:rFonts w:hint="eastAsia" w:ascii="楷体" w:hAnsi="楷体" w:eastAsia="楷体"/>
          <w:b/>
          <w:color w:val="000000" w:themeColor="text1"/>
          <w:sz w:val="24"/>
          <w:szCs w:val="24"/>
          <w14:textFill>
            <w14:solidFill>
              <w14:schemeClr w14:val="tx1"/>
            </w14:solidFill>
          </w14:textFill>
        </w:rPr>
        <w:t>：终端负反馈，回调继续</w:t>
      </w:r>
      <w:bookmarkEnd w:id="34"/>
      <w:r>
        <w:rPr>
          <w:rFonts w:hint="eastAsia" w:ascii="楷体" w:hAnsi="楷体" w:eastAsia="楷体"/>
          <w:b/>
          <w:color w:val="000000" w:themeColor="text1"/>
          <w:sz w:val="24"/>
          <w:szCs w:val="24"/>
          <w14:textFill>
            <w14:solidFill>
              <w14:schemeClr w14:val="tx1"/>
            </w14:solidFill>
          </w14:textFill>
        </w:rPr>
        <w:t xml:space="preserve"> </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原油方面，受供给端扰动二季度仍将维持高位震荡格局。近期PTA盘面走出跟原油劈叉的行情，成本端逻辑主导逐渐转化受需求端制约。供给方面，PTA国内开工率恢复至75%偏上水平，预计PTA一季度累库幅度在40万吨偏上水平。而加工费方面已经压缩至150-200元/吨。目前PTA开工率及加工费相背离，预估长时间的低加工费势必会增加PTA装置检修降负的概率。需求方面，节后聚酯现金流维持尚可，聚酯负荷开工大幅提速。终端陆续恢复中，产业预期不悲观。展望后市，成本端PX调油需求拉动及装置集中检修，二季度PTA成本支撑仍存。随着下游复工复产节奏加快，预估PTA去库节奏将加快。终端需求跟进暂时不及预期，但随着上半年需求旺季金三银四的到来，预估3月后需求将迎来全面恢复。</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在成本偏强及需求复苏预期的背景下，PTA价格或偏强运行。待下游需求迎来拐点、带动产业链库存压力大幅缓解后仍有望驱动TA上行，因此待TA回调完成后仍可考虑布局多单。</w:t>
      </w:r>
    </w:p>
    <w:p>
      <w:pPr>
        <w:ind w:left="630" w:leftChars="300"/>
        <w:rPr>
          <w:rFonts w:hint="eastAsia"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35" w:name="_Toc12499"/>
      <w:r>
        <w:rPr>
          <w:rFonts w:hint="eastAsia" w:ascii="楷体" w:hAnsi="楷体" w:eastAsia="楷体"/>
          <w:b/>
          <w:color w:val="000000" w:themeColor="text1"/>
          <w:sz w:val="24"/>
          <w:szCs w:val="24"/>
          <w:lang w:val="en-US" w:eastAsia="zh-CN"/>
          <w14:textFill>
            <w14:solidFill>
              <w14:schemeClr w14:val="tx1"/>
            </w14:solidFill>
          </w14:textFill>
        </w:rPr>
        <w:t>PVC</w:t>
      </w:r>
      <w:r>
        <w:rPr>
          <w:rFonts w:hint="eastAsia" w:ascii="楷体" w:hAnsi="楷体" w:eastAsia="楷体"/>
          <w:b/>
          <w:color w:val="000000" w:themeColor="text1"/>
          <w:sz w:val="24"/>
          <w:szCs w:val="24"/>
          <w14:textFill>
            <w14:solidFill>
              <w14:schemeClr w14:val="tx1"/>
            </w14:solidFill>
          </w14:textFill>
        </w:rPr>
        <w:t>：基建表现强于房企 关注V低多机会</w:t>
      </w:r>
      <w:bookmarkEnd w:id="35"/>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供应端开工率维持中高位，华东及华南部分样本仓库存在满库停装现象，样本仓库库存环比略降。截至2月10日华东及华南样本仓库总库存44.44万吨，较上一期减少0.69%，后续仍需重点关注PVC社会库存去化速度。目前节后需求逐步重启，随着下游制品企业的恢复生产，市场内现货刚需将逐步好转，房企资金到位较慢，但基建项目工作进度及资金到位情况良好，短期内弱现实暂没法证伪，继续给予PVC价格支撑。中国1月社融数据利多，两会前防疫措施的持续优化、房地产业及经济的扶持措施等国内政策端利好仍存，市场对未来需求改善预期较强，宏观面主导需求预期的逻辑将支撑盘面，因此当前PVC继续向下的空间相对有限，拉长周期看维持逢低偏多的观点。建议在6150-6200附近单边布局PVC多单。仅供参考。</w:t>
      </w:r>
    </w:p>
    <w:p>
      <w:pPr>
        <w:rPr>
          <w:rFonts w:ascii="楷体" w:hAnsi="楷体" w:eastAsia="楷体"/>
          <w:bCs/>
          <w:sz w:val="24"/>
          <w:szCs w:val="24"/>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36" w:name="_Toc25759"/>
      <w:r>
        <w:rPr>
          <w:rFonts w:hint="eastAsia" w:ascii="楷体" w:hAnsi="楷体" w:eastAsia="楷体"/>
          <w:b/>
          <w:color w:val="000000" w:themeColor="text1"/>
          <w:sz w:val="24"/>
          <w:szCs w:val="24"/>
          <w14:textFill>
            <w14:solidFill>
              <w14:schemeClr w14:val="tx1"/>
            </w14:solidFill>
          </w14:textFill>
        </w:rPr>
        <w:t>聚烯烃：需求支撑不及预期，聚烯烃或窄幅波动为主</w:t>
      </w:r>
      <w:bookmarkEnd w:id="36"/>
    </w:p>
    <w:p>
      <w:pPr>
        <w:ind w:left="630" w:leftChars="300"/>
        <w:rPr>
          <w:rFonts w:ascii="楷体" w:hAnsi="楷体" w:eastAsia="楷体"/>
          <w:bCs/>
          <w:sz w:val="24"/>
          <w:szCs w:val="24"/>
        </w:rPr>
      </w:pPr>
      <w:r>
        <w:rPr>
          <w:rFonts w:hint="eastAsia" w:ascii="楷体" w:hAnsi="楷体" w:eastAsia="楷体"/>
          <w:color w:val="000000" w:themeColor="text1"/>
          <w:sz w:val="24"/>
          <w:szCs w:val="24"/>
          <w14:textFill>
            <w14:solidFill>
              <w14:schemeClr w14:val="tx1"/>
            </w14:solidFill>
          </w14:textFill>
        </w:rPr>
        <w:t>近期聚烯烃在去库缓慢、交投氛围一般下窄幅波动。据最新数据显示，上周五国内PE库存环比2月3日下降1.19%，其中样本主要生产环节PE库存环比下滑1.83%，PE样本港口库存环比增加1.85%，样本贸易企业库存环比下降4.27%。上周五国内PP库存环比2月3日下降0.51%。其中主要生产环节PP库存、港口库存下降，贸易环节库存上升。成本端方面，美国能源信息署数据显示上周美国原油库存激增，汽油需求下降，欧美 原油期货小幅下跌，目前油制PE利润大约为-516.66元/吨，油制PP利润大约为-1638.40元/吨，相较早前出现一定程度回落；需求方面，PE下游方面，春棚及地膜需求缓慢跟进，部分厂家积累一定订单，开工小幅提升。PP方面，BOPP整体成交一般，下游尚未完全归市，市场成交欠佳，整体量较上一交易日减少，BOPP企业未交付订单多数在7-15天，部分至3月上旬。综合来看，下游企业陆续开工复工，产能利用率将有所提升，但资源消耗多为节前资源或前期点价资源，市场成交刚需为主，需求端支撑或不及预期。此外，当前生产企业及中间商库存偏高，考虑到库存仍未迎来有效去库，短期市场仍有下跌可能。2月PE、PP仍有多套装置等待投产，叠加进口套利窗口打开，供应压力不减。塑料供需趋弱累库下高空思路不变，上行空间有限。预计近期在供需弱平衡下聚烯烃将窄幅偏弱整理，短期PP 7800左右支撑较强和PE 8200压力位左右支撑较强。仅供参考。</w:t>
      </w:r>
    </w:p>
    <w:p>
      <w:pPr>
        <w:ind w:firstLine="480" w:firstLineChars="200"/>
        <w:rPr>
          <w:rFonts w:ascii="楷体" w:hAnsi="楷体" w:eastAsia="楷体"/>
          <w:bCs/>
          <w:sz w:val="24"/>
          <w:szCs w:val="24"/>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37" w:name="_Toc14159"/>
      <w:r>
        <w:rPr>
          <w:rFonts w:hint="eastAsia" w:ascii="楷体" w:hAnsi="楷体" w:eastAsia="楷体"/>
          <w:b/>
          <w:color w:val="000000" w:themeColor="text1"/>
          <w:sz w:val="24"/>
          <w:szCs w:val="24"/>
          <w14:textFill>
            <w14:solidFill>
              <w14:schemeClr w14:val="tx1"/>
            </w14:solidFill>
          </w14:textFill>
        </w:rPr>
        <w:t>MEG：维持4100-4300区间走势</w:t>
      </w:r>
      <w:bookmarkEnd w:id="37"/>
    </w:p>
    <w:p>
      <w:pPr>
        <w:ind w:left="630" w:leftChars="300"/>
        <w:rPr>
          <w:rFonts w:ascii="楷体" w:hAnsi="楷体" w:eastAsia="楷体"/>
          <w:bCs/>
          <w:sz w:val="24"/>
          <w:szCs w:val="24"/>
        </w:rPr>
      </w:pPr>
      <w:r>
        <w:rPr>
          <w:rFonts w:hint="eastAsia" w:ascii="楷体" w:hAnsi="楷体" w:eastAsia="楷体"/>
          <w:color w:val="000000" w:themeColor="text1"/>
          <w:sz w:val="24"/>
          <w:szCs w:val="24"/>
          <w14:textFill>
            <w14:solidFill>
              <w14:schemeClr w14:val="tx1"/>
            </w14:solidFill>
          </w14:textFill>
        </w:rPr>
        <w:t>供需情况，2.6 华东主港地区MEG港口库存约109.2万吨附近，环比上期减少0.9万吨。开工情况，多套一体化大装置意外停车，煤化工装置表现稳定。截至2月9日，中国大陆地区乙二醇整体开工负荷在61.47%（-0.93%），其中煤制乙二醇开工负荷在59.04%（+2.85%）。 煤化工装置关注天盈出料以及永城二期重启进度，负荷仍存小幅回升空间。从聚酯需求端来看，本周江浙终端开工率修复加快，江浙加弹综合开工提升至71%，江浙织机综合开工提升至62%，江浙印染综合开工提升至69%，逐渐恢复至正常水平。但终端原料备货不积极，大部分消化节前库存为主，库存天数7-10天，最长有1个月储备。综合来看，近期供应端开工率小幅回落，从后续到货节奏来看 1-2月份乙二醇仍以累库为主，在需求环节有效改善之前，现货维持宽松格局，预计短期乙二醇维持4100-4300区间走势。仅供参考。</w:t>
      </w:r>
    </w:p>
    <w:p>
      <w:pPr>
        <w:ind w:firstLine="480" w:firstLineChars="200"/>
        <w:rPr>
          <w:rFonts w:ascii="楷体" w:hAnsi="楷体" w:eastAsia="楷体"/>
          <w:bCs/>
          <w:sz w:val="24"/>
          <w:szCs w:val="24"/>
        </w:rPr>
      </w:pPr>
    </w:p>
    <w:p>
      <w:pPr>
        <w:ind w:firstLine="420" w:firstLineChars="200"/>
        <w:rPr>
          <w:rFonts w:ascii="Times New Roman" w:hAnsi="Times New Roman" w:eastAsia="楷体"/>
          <w:bCs/>
        </w:rPr>
      </w:pPr>
    </w:p>
    <w:p>
      <w:pPr>
        <w:pBdr>
          <w:top w:val="single" w:color="auto" w:sz="4" w:space="1"/>
        </w:pBdr>
        <w:outlineLvl w:val="0"/>
        <w:rPr>
          <w:rFonts w:ascii="Times New Roman" w:hAnsi="Times New Roman" w:eastAsia="楷体"/>
          <w:b/>
          <w:color w:val="823C0B"/>
          <w:sz w:val="30"/>
          <w:szCs w:val="30"/>
        </w:rPr>
      </w:pPr>
      <w:r>
        <w:rPr>
          <w:rFonts w:hint="eastAsia" w:ascii="Times New Roman" w:hAnsi="Times New Roman" w:eastAsia="楷体"/>
          <w:b/>
          <w:color w:val="823C0B"/>
          <w:sz w:val="30"/>
          <w:szCs w:val="30"/>
        </w:rPr>
        <w:t xml:space="preserve"> </w:t>
      </w:r>
      <w:bookmarkStart w:id="38" w:name="_Toc29044"/>
      <w:r>
        <w:rPr>
          <w:rFonts w:hint="eastAsia" w:ascii="Times New Roman" w:hAnsi="Times New Roman" w:eastAsia="楷体"/>
          <w:b/>
          <w:color w:val="823C0B"/>
          <w:sz w:val="30"/>
          <w:szCs w:val="30"/>
        </w:rPr>
        <w:t>[农产品]</w:t>
      </w:r>
      <w:bookmarkEnd w:id="13"/>
      <w:bookmarkEnd w:id="38"/>
    </w:p>
    <w:p>
      <w:pPr>
        <w:ind w:left="420" w:leftChars="200"/>
        <w:outlineLvl w:val="1"/>
        <w:rPr>
          <w:rFonts w:hint="eastAsia" w:ascii="楷体" w:hAnsi="楷体" w:eastAsia="楷体"/>
          <w:b/>
          <w:sz w:val="24"/>
          <w:szCs w:val="24"/>
        </w:rPr>
      </w:pPr>
      <w:bookmarkStart w:id="39" w:name="_Toc30491"/>
      <w:r>
        <w:rPr>
          <w:rFonts w:hint="eastAsia" w:ascii="楷体" w:hAnsi="楷体" w:eastAsia="楷体"/>
          <w:b/>
          <w:color w:val="000000" w:themeColor="text1"/>
          <w:sz w:val="24"/>
          <w:szCs w:val="24"/>
          <w14:textFill>
            <w14:solidFill>
              <w14:schemeClr w14:val="tx1"/>
            </w14:solidFill>
          </w14:textFill>
        </w:rPr>
        <w:t>豆粕：</w:t>
      </w:r>
      <w:r>
        <w:rPr>
          <w:rFonts w:hint="eastAsia" w:ascii="楷体" w:hAnsi="楷体" w:eastAsia="楷体"/>
          <w:b/>
          <w:sz w:val="24"/>
          <w:szCs w:val="24"/>
        </w:rPr>
        <w:t>跟随美豆走弱，暂看3800一线支撑</w:t>
      </w:r>
      <w:bookmarkEnd w:id="39"/>
    </w:p>
    <w:p>
      <w:pPr>
        <w:ind w:left="630" w:leftChars="300"/>
        <w:rPr>
          <w:rFonts w:ascii="楷体" w:hAnsi="楷体" w:eastAsia="楷体"/>
          <w:sz w:val="24"/>
          <w:szCs w:val="24"/>
        </w:rPr>
      </w:pPr>
      <w:r>
        <w:rPr>
          <w:rFonts w:hint="eastAsia" w:ascii="楷体" w:hAnsi="楷体" w:eastAsia="楷体"/>
          <w:sz w:val="24"/>
          <w:szCs w:val="24"/>
        </w:rPr>
        <w:t>外盘方面，因巴西收获进度加快，以及消息面冲击，美豆高位回落，暂看1500美分支撑。消息显示因巴西农作物丰产，在2022/23年度将面临1.17亿吨的谷物储存缺口。国内市场，近期油料供应放缓，因在进口榨利亏损下，1-2月进口预计下滑，进口回升仍需关注3月份后巴西大豆到港节奏。油厂开机及压榨在节后逐步回升，但在短期进口缺口下豆粕库存累库放缓。下游养殖利润近期表现不佳，饲企和养殖企业等以远月基差成交为主，一季度饲用需求预计表现偏弱。在供应预期增加及需求减弱下，使得豆粕上方承压，但在南美大豆集中上市前及国内基差高位下，短期豆粕随美豆维持高位波动，短期暂看是否会失守3800关口；中期维持供给恢复预期，在巴西丰产下，关注后期巴西出口节奏，或给市场构成一定压力，建议中长期可逢高布局空单。</w:t>
      </w:r>
    </w:p>
    <w:p>
      <w:pPr>
        <w:ind w:firstLine="480" w:firstLineChars="200"/>
        <w:rPr>
          <w:rFonts w:ascii="楷体" w:hAnsi="楷体" w:eastAsia="楷体"/>
          <w:bCs/>
          <w:sz w:val="24"/>
          <w:szCs w:val="24"/>
        </w:rPr>
      </w:pPr>
    </w:p>
    <w:p>
      <w:pPr>
        <w:ind w:left="420" w:leftChars="200"/>
        <w:outlineLvl w:val="1"/>
        <w:rPr>
          <w:rFonts w:hint="eastAsia" w:ascii="楷体" w:hAnsi="楷体" w:eastAsia="楷体"/>
          <w:b/>
          <w:sz w:val="24"/>
          <w:szCs w:val="24"/>
        </w:rPr>
      </w:pPr>
      <w:bookmarkStart w:id="40" w:name="_Toc10703"/>
      <w:r>
        <w:rPr>
          <w:rFonts w:hint="eastAsia" w:ascii="楷体" w:hAnsi="楷体" w:eastAsia="楷体"/>
          <w:b/>
          <w:color w:val="000000" w:themeColor="text1"/>
          <w:sz w:val="24"/>
          <w:szCs w:val="24"/>
          <w14:textFill>
            <w14:solidFill>
              <w14:schemeClr w14:val="tx1"/>
            </w14:solidFill>
          </w14:textFill>
        </w:rPr>
        <w:t>油脂：</w:t>
      </w:r>
      <w:r>
        <w:rPr>
          <w:rFonts w:hint="eastAsia" w:ascii="楷体" w:hAnsi="楷体" w:eastAsia="楷体"/>
          <w:b/>
          <w:sz w:val="24"/>
          <w:szCs w:val="24"/>
        </w:rPr>
        <w:t>处于震荡区间内，暂看下方支撑</w:t>
      </w:r>
      <w:bookmarkEnd w:id="40"/>
    </w:p>
    <w:p>
      <w:pPr>
        <w:ind w:left="630" w:leftChars="300"/>
        <w:rPr>
          <w:rFonts w:ascii="楷体" w:hAnsi="楷体" w:eastAsia="楷体"/>
          <w:sz w:val="24"/>
          <w:szCs w:val="24"/>
        </w:rPr>
      </w:pPr>
      <w:r>
        <w:rPr>
          <w:rFonts w:hint="eastAsia" w:ascii="楷体" w:hAnsi="楷体" w:eastAsia="楷体"/>
          <w:sz w:val="24"/>
          <w:szCs w:val="24"/>
        </w:rPr>
        <w:t>外盘方面，棕榈油产地马来2月初出口虽环比增加，但在1月库存环比回升下以及印尼产量增加下，供需较为宽松，印尼政策调整影响有限，叠加外盘原油走弱，也使得油脂上方承压。棕榈油方面，在产地供应趋于宽松预期下，且主要消费国库存较充裕，印尼出口政策调整影响有限。后续斋月节前备货临近，关注消费端提振力度。国内棕榈油供应较充裕，库存高位下后续进口需求相对有限，需求端在气温逐渐回暖下，餐饮需求预计逐渐好转，库存拐点或逐步出现。豆油，在政策放开后，下游整体消费需求预计向好，但目前仍处于初步阶段。供应端在1-2月大豆进口下滑下，修复仍较缓慢。但在节后油厂开机逐步恢复后，巴西丰产下，整体供应预期改善。豆油库存的修复预计仍待南美新作大量上市，因此供应增量下也限制了上方反弹空间。菜油在供应边际预期改善及需求偏弱下，整体走势疲软。虽当前菜油库存尚未明显修复，但在供应边际好转下菜油基差持续走弱。随着进口加籽到港量逐步增加，菜籽库存维持高位，12月份菜籽进口超50万吨。节后油厂开机逐步恢复，菜油库存预计逐步修复。目前市场仍未出现明显的单边驱动因素，处于震荡区间内，建议观望。</w:t>
      </w:r>
    </w:p>
    <w:p>
      <w:pPr>
        <w:ind w:firstLine="480" w:firstLineChars="200"/>
        <w:rPr>
          <w:rFonts w:ascii="楷体" w:hAnsi="楷体" w:eastAsia="楷体"/>
          <w:bCs/>
          <w:sz w:val="24"/>
          <w:szCs w:val="24"/>
        </w:rPr>
      </w:pPr>
    </w:p>
    <w:p>
      <w:pPr>
        <w:pStyle w:val="12"/>
        <w:spacing w:before="60" w:beforeAutospacing="0" w:after="60" w:afterAutospacing="0"/>
        <w:ind w:left="420" w:leftChars="200"/>
        <w:outlineLvl w:val="1"/>
        <w:rPr>
          <w:rFonts w:hint="eastAsia" w:ascii="楷体" w:hAnsi="楷体" w:eastAsia="楷体"/>
          <w:b/>
        </w:rPr>
      </w:pPr>
      <w:bookmarkStart w:id="41" w:name="_Toc26340"/>
      <w:r>
        <w:rPr>
          <w:rFonts w:hint="eastAsia" w:ascii="楷体" w:hAnsi="楷体" w:eastAsia="楷体"/>
          <w:b/>
          <w:bCs/>
          <w:color w:val="000000" w:themeColor="text1"/>
          <w14:textFill>
            <w14:solidFill>
              <w14:schemeClr w14:val="tx1"/>
            </w14:solidFill>
          </w14:textFill>
        </w:rPr>
        <w:t>玉米与淀粉：</w:t>
      </w:r>
      <w:r>
        <w:rPr>
          <w:rFonts w:hint="eastAsia" w:ascii="楷体" w:hAnsi="楷体" w:eastAsia="楷体"/>
          <w:b/>
        </w:rPr>
        <w:t>期价反弹乏力</w:t>
      </w:r>
      <w:bookmarkEnd w:id="41"/>
    </w:p>
    <w:p>
      <w:pPr>
        <w:pStyle w:val="12"/>
        <w:spacing w:before="60" w:beforeAutospacing="0" w:after="60" w:afterAutospacing="0"/>
        <w:ind w:left="630" w:leftChars="300"/>
        <w:rPr>
          <w:rFonts w:hint="eastAsia" w:ascii="楷体" w:hAnsi="楷体" w:eastAsia="楷体"/>
        </w:rPr>
      </w:pPr>
      <w:r>
        <w:rPr>
          <w:rFonts w:hint="eastAsia" w:ascii="楷体" w:hAnsi="楷体" w:eastAsia="楷体"/>
        </w:rPr>
        <w:t>对于玉米而言，近期期价表现的最大特征在于近弱远强分化运行，这主要源于节后余粮压力有待释放，即东北产区玉米销售进度慢于往年同期，而期价远期贴水，深加工玉米原料累积，南方销区进口谷物更具性价比优势，且一季度集中到港，这使得中下游补库积极性偏弱，这压制近月合约，特别是陈化水稻抛储传言带动3月期价最为弱势。但与此同时，市场对当前年度甚至下一年度产需缺口的预期依然存在，这对远月合约构成支撑。综上所述，我们持谨慎看空观点，建议投资者持有前期空单（如有的话）。</w:t>
      </w:r>
    </w:p>
    <w:p>
      <w:pPr>
        <w:pStyle w:val="12"/>
        <w:spacing w:before="60" w:beforeAutospacing="0" w:after="60" w:afterAutospacing="0"/>
        <w:ind w:left="630" w:leftChars="300"/>
        <w:rPr>
          <w:rFonts w:hint="eastAsia" w:ascii="楷体" w:hAnsi="楷体" w:eastAsia="楷体"/>
        </w:rPr>
      </w:pPr>
      <w:r>
        <w:rPr>
          <w:rFonts w:hint="eastAsia" w:ascii="楷体" w:hAnsi="楷体" w:eastAsia="楷体"/>
        </w:rPr>
        <w:t>对于淀粉而言，期价同样呈现近弱远强分化走势，除去原料成本端的因素之外，还叠加了淀粉供需端和副产品端（间接影响行业供需）的影响，这表现在现实与预期之间的博弈，即当前淀粉行业供需依然宽松，行业库存持续累积，但市场预期后期供应收紧而需求改善。在这种情况下，我们建议可考虑择机入场布局淀粉-玉米价差走扩机会。</w:t>
      </w:r>
    </w:p>
    <w:p>
      <w:pPr>
        <w:pStyle w:val="12"/>
        <w:spacing w:before="60" w:beforeAutospacing="0" w:after="60" w:afterAutospacing="0"/>
        <w:ind w:left="630" w:leftChars="300"/>
        <w:rPr>
          <w:rFonts w:hint="eastAsia" w:ascii="楷体" w:hAnsi="楷体" w:eastAsia="楷体"/>
        </w:rPr>
      </w:pPr>
    </w:p>
    <w:p>
      <w:pPr>
        <w:pStyle w:val="12"/>
        <w:spacing w:before="60" w:beforeAutospacing="0" w:after="60" w:afterAutospacing="0"/>
        <w:ind w:left="420" w:leftChars="200"/>
        <w:outlineLvl w:val="1"/>
        <w:rPr>
          <w:rFonts w:hint="eastAsia" w:ascii="楷体" w:hAnsi="楷体" w:eastAsia="楷体"/>
          <w:b/>
          <w:bCs/>
          <w:color w:val="000000" w:themeColor="text1"/>
          <w14:textFill>
            <w14:solidFill>
              <w14:schemeClr w14:val="tx1"/>
            </w14:solidFill>
          </w14:textFill>
        </w:rPr>
      </w:pPr>
      <w:bookmarkStart w:id="42" w:name="_Toc3970"/>
      <w:r>
        <w:rPr>
          <w:rFonts w:hint="eastAsia" w:ascii="楷体" w:hAnsi="楷体" w:eastAsia="楷体"/>
          <w:b/>
          <w:bCs/>
          <w:color w:val="000000" w:themeColor="text1"/>
          <w14:textFill>
            <w14:solidFill>
              <w14:schemeClr w14:val="tx1"/>
            </w14:solidFill>
          </w14:textFill>
        </w:rPr>
        <w:t>畜禽养殖：鸡蛋期价大幅反弹</w:t>
      </w:r>
      <w:bookmarkEnd w:id="42"/>
    </w:p>
    <w:p>
      <w:pPr>
        <w:pStyle w:val="12"/>
        <w:spacing w:before="60" w:beforeAutospacing="0" w:after="60" w:afterAutospacing="0"/>
        <w:ind w:left="630" w:leftChars="300"/>
        <w:rPr>
          <w:rFonts w:hint="eastAsia" w:ascii="楷体" w:hAnsi="楷体" w:eastAsia="楷体"/>
        </w:rPr>
      </w:pPr>
      <w:r>
        <w:rPr>
          <w:rFonts w:hint="eastAsia" w:ascii="楷体" w:hAnsi="楷体" w:eastAsia="楷体"/>
        </w:rPr>
        <w:t>对于生猪而言，在我们看来，去年年底生猪期现货崩盘主要源于供应集中释放和需求塌陷两个方面，供应端从能繁母猪存栏滞后推算，去年生猪供应整体尚未恢复，主要源于二次育肥导致供应集中在春节前释放；需求则主要源于防疫政策放开之后全国大范围感染导致的需求萎缩。在这种情况下，春节后市场需要重点关注两个层面，其一是需求改善或者恢复幅度，其二是供应释放的情况。前者考虑到目前处于季节性消费淡季，跟踪相对困难。后者需要关注农业农村部规模企业生猪屠宰量、涌益咨询日度屠宰量及其出栏体重等，此外，还需要关注仔猪价格及其关联品诸如鸡蛋、白羽鸡与817肉鸡的表现。综合来看，我们相对乐观，倾向于认为，后期供需有望趋于改善继而带动猪价上涨，甚至可能带动市场重归春节前后中断的产能恢复过程，这意味近月期价可能低估，而远月合约则可能被高估。考虑到国家收储消息或带动现货确定季节性低点，我们维持谨慎看多，建议前期多单继续持有，不建议追多。</w:t>
      </w:r>
    </w:p>
    <w:p>
      <w:pPr>
        <w:pStyle w:val="12"/>
        <w:spacing w:before="60" w:beforeAutospacing="0" w:after="60" w:afterAutospacing="0"/>
        <w:ind w:left="630" w:leftChars="300"/>
        <w:rPr>
          <w:rFonts w:ascii="楷体" w:hAnsi="楷体" w:eastAsia="楷体"/>
          <w:sz w:val="24"/>
          <w:szCs w:val="24"/>
        </w:rPr>
      </w:pPr>
      <w:r>
        <w:rPr>
          <w:rFonts w:hint="eastAsia" w:ascii="楷体" w:hAnsi="楷体" w:eastAsia="楷体"/>
        </w:rPr>
        <w:t>对于鸡蛋而言，在前期报告中我们指出，今年鸡蛋延续2020年以来的供需两弱格局，12月蛋鸡存补栏参考卓创资讯数据，在产蛋鸡存栏数据同比和环比均小幅下滑，期现货表现弱势更多源于需求受到疫情的扰动，后期需求改善/恢复有望带动鸡蛋期现货的反弹。更为重要也值得重点关注的是，考虑到鸡蛋供需格局延续2021年以来的供需两弱的格局，需要特别留意需求端的变化，因一旦需求恢复或者改善，那么蛋鸡养殖需要一波产能恢复的过程，这一过程往往伴随着鸡蛋现货价格上涨，及其对应的蛋鸡养殖利润的提升。在这种情况下，维持谨慎看多观点，建议前期5月合约多单（如有的话）继续持有。</w:t>
      </w:r>
    </w:p>
    <w:p>
      <w:pPr>
        <w:ind w:firstLine="480" w:firstLineChars="200"/>
        <w:rPr>
          <w:rFonts w:ascii="楷体" w:hAnsi="楷体" w:eastAsia="楷体"/>
          <w:sz w:val="24"/>
          <w:szCs w:val="24"/>
        </w:rPr>
      </w:pPr>
    </w:p>
    <w:p>
      <w:pPr>
        <w:ind w:left="420" w:leftChars="200"/>
        <w:outlineLvl w:val="1"/>
        <w:rPr>
          <w:rFonts w:hint="eastAsia" w:ascii="楷体" w:hAnsi="楷体" w:eastAsia="楷体"/>
          <w:b/>
          <w:sz w:val="24"/>
          <w:szCs w:val="24"/>
        </w:rPr>
      </w:pPr>
      <w:bookmarkStart w:id="43" w:name="_Toc6084"/>
      <w:r>
        <w:rPr>
          <w:rFonts w:hint="eastAsia" w:ascii="楷体" w:hAnsi="楷体" w:eastAsia="楷体"/>
          <w:b/>
          <w:sz w:val="24"/>
          <w:szCs w:val="24"/>
        </w:rPr>
        <w:t>郑棉：郑棉区间震荡，宽跨式期权卖权持有</w:t>
      </w:r>
      <w:bookmarkEnd w:id="43"/>
    </w:p>
    <w:p>
      <w:pPr>
        <w:ind w:left="630" w:leftChars="300"/>
        <w:rPr>
          <w:rFonts w:ascii="楷体" w:hAnsi="楷体" w:eastAsia="楷体"/>
          <w:sz w:val="24"/>
          <w:szCs w:val="24"/>
        </w:rPr>
      </w:pPr>
      <w:r>
        <w:rPr>
          <w:rFonts w:hint="eastAsia" w:ascii="楷体" w:hAnsi="楷体" w:eastAsia="楷体"/>
          <w:sz w:val="24"/>
          <w:szCs w:val="24"/>
        </w:rPr>
        <w:t>美国CPI高于预期，美棉承压下跌3%。棉花期货价格持稳，14000—14500区间震荡。新疆轧花厂套保棉花基差点价报价为期货价格加500-700元/吨，基差报价的变动不大。随着期价大幅下跌，点价吸引力大增。建议原材料库存较低的纺织企业逢低买入。</w:t>
      </w:r>
    </w:p>
    <w:p>
      <w:pPr>
        <w:ind w:firstLine="480" w:firstLineChars="200"/>
        <w:rPr>
          <w:rFonts w:ascii="楷体" w:hAnsi="楷体" w:eastAsia="楷体"/>
          <w:bCs/>
          <w:sz w:val="24"/>
          <w:szCs w:val="24"/>
        </w:rPr>
      </w:pPr>
    </w:p>
    <w:p>
      <w:pPr>
        <w:ind w:firstLine="602" w:firstLineChars="200"/>
        <w:rPr>
          <w:rFonts w:ascii="Times New Roman" w:hAnsi="Times New Roman" w:eastAsia="楷体"/>
          <w:b/>
          <w:color w:val="800000"/>
          <w:sz w:val="30"/>
          <w:szCs w:val="30"/>
        </w:rPr>
      </w:pPr>
      <w:r>
        <w:rPr>
          <w:rFonts w:ascii="Times New Roman" w:hAnsi="Times New Roman" w:eastAsia="楷体"/>
          <w:b/>
          <w:color w:val="800000"/>
          <w:sz w:val="30"/>
          <w:szCs w:val="30"/>
        </w:rPr>
        <w:br w:type="page"/>
      </w:r>
    </w:p>
    <w:p>
      <w:pPr>
        <w:spacing w:line="360" w:lineRule="auto"/>
        <w:jc w:val="center"/>
        <w:rPr>
          <w:rFonts w:ascii="Times New Roman" w:hAnsi="Times New Roman" w:eastAsia="楷体"/>
          <w:b/>
          <w:color w:val="411D05"/>
          <w:sz w:val="30"/>
          <w:szCs w:val="30"/>
        </w:rPr>
      </w:pPr>
      <w:bookmarkStart w:id="44" w:name="_Toc71212556"/>
      <w:bookmarkStart w:id="45" w:name="_Toc19667"/>
      <w:bookmarkStart w:id="46" w:name="_Toc98426751"/>
      <w:bookmarkStart w:id="47" w:name="_Toc12779"/>
      <w:bookmarkStart w:id="48" w:name="_Toc72481108"/>
      <w:r>
        <w:rPr>
          <w:rFonts w:ascii="Times New Roman" w:hAnsi="Times New Roman" w:eastAsia="楷体"/>
          <w:b/>
          <w:color w:val="411D05"/>
          <w:sz w:val="30"/>
          <w:szCs w:val="30"/>
        </w:rPr>
        <w:t>免责声明</w:t>
      </w:r>
      <w:bookmarkEnd w:id="44"/>
      <w:bookmarkEnd w:id="45"/>
      <w:bookmarkEnd w:id="46"/>
      <w:bookmarkEnd w:id="47"/>
      <w:bookmarkEnd w:id="48"/>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本报告由广州期货股份有限公司（以下简称“本公司”）编制，本公司具有中国证监会许可的期货公司投资咨询业务资格，本报告基于合法取得的信息，但本公司对这些信息的准确性和完整性不作任何保证，也不保证所包含的信息和建议不会发生任何变更。</w:t>
      </w:r>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我们已力求报告内容的客观、公正，但文中的观点、结论和建议仅供参考，并不构成所述品种的操作依据，投资者据此做出的任何投资决策与本公司和作者无关。在任何情况下，本公司以及雇员不对任何人因使用本报告中的任何内容所引发的任何直接或间接损失负任何责任。</w:t>
      </w:r>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本报告版权归本公司所有，本公司保留所有权利。未经本公司事先书面许可，任何机构和个人不得以任何形式翻版、复制、引用或转载本报告的全部或部分内容，不得再次分发给任何其他人，或以任何侵犯本公司版权的其他方式使用。如引用、刊发，须注明出处为广州期货股份有限公司，且不得对本报告进行有悖原意的引用、删节和修改。</w:t>
      </w:r>
    </w:p>
    <w:p>
      <w:pPr>
        <w:ind w:firstLine="422" w:firstLineChars="200"/>
        <w:rPr>
          <w:rFonts w:ascii="Times New Roman" w:hAnsi="Times New Roman" w:eastAsia="楷体"/>
        </w:rPr>
      </w:pPr>
      <w:r>
        <w:rPr>
          <w:rFonts w:hint="eastAsia" w:ascii="Times New Roman" w:hAnsi="Times New Roman" w:eastAsia="楷体"/>
          <w:b/>
          <w:bCs/>
          <w:color w:val="C00000"/>
        </w:rPr>
        <w:t>广州期货股份有限公司提醒广大投资者：期市有风险，入市需谨慎！</w:t>
      </w:r>
    </w:p>
    <w:p>
      <w:pPr>
        <w:ind w:firstLine="420" w:firstLineChars="200"/>
        <w:rPr>
          <w:rFonts w:ascii="Times New Roman" w:hAnsi="Times New Roman" w:eastAsia="楷体"/>
        </w:rPr>
      </w:pPr>
    </w:p>
    <w:p>
      <w:pPr>
        <w:ind w:firstLine="420" w:firstLineChars="200"/>
        <w:rPr>
          <w:rFonts w:ascii="Times New Roman" w:hAnsi="Times New Roman" w:eastAsia="楷体"/>
        </w:rPr>
      </w:pPr>
    </w:p>
    <w:p>
      <w:pPr>
        <w:jc w:val="left"/>
        <w:rPr>
          <w:rFonts w:ascii="Times New Roman" w:hAnsi="Times New Roman" w:eastAsia="楷体"/>
          <w:b/>
          <w:color w:val="823C0B"/>
          <w:sz w:val="28"/>
        </w:rPr>
      </w:pPr>
      <w:r>
        <w:rPr>
          <w:rFonts w:ascii="Times New Roman" w:hAnsi="Times New Roman" w:eastAsia="楷体"/>
          <w:b/>
          <w:color w:val="823C0B"/>
          <w:sz w:val="28"/>
        </w:rPr>
        <w:t xml:space="preserve">投资咨询业务资格:证监许可【2012】1497号 </w:t>
      </w:r>
    </w:p>
    <w:p>
      <w:pPr>
        <w:ind w:firstLine="440" w:firstLineChars="200"/>
        <w:rPr>
          <w:rFonts w:ascii="Times New Roman" w:hAnsi="Times New Roman" w:eastAsia="楷体" w:cs="Times New Roman"/>
          <w:sz w:val="22"/>
        </w:rPr>
      </w:pPr>
    </w:p>
    <w:tbl>
      <w:tblPr>
        <w:tblStyle w:val="8"/>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60"/>
        <w:gridCol w:w="42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0"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王荆杰</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F3084112</w:t>
            </w:r>
            <w:r>
              <w:rPr>
                <w:rFonts w:hint="eastAsia" w:ascii="Times New Roman" w:hAnsi="Times New Roman" w:eastAsia="楷体" w:cs="Times New Roman"/>
                <w:color w:val="823C0B"/>
                <w:sz w:val="22"/>
              </w:rPr>
              <w:t xml:space="preserve">    </w:t>
            </w:r>
          </w:p>
          <w:p>
            <w:pPr>
              <w:tabs>
                <w:tab w:val="left" w:pos="1842"/>
              </w:tabs>
              <w:rPr>
                <w:rFonts w:ascii="Times New Roman" w:hAnsi="Times New Roman" w:eastAsia="楷体" w:cs="Times New Roman"/>
                <w:b/>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Z0016329</w:t>
            </w:r>
          </w:p>
        </w:tc>
        <w:tc>
          <w:tcPr>
            <w:tcW w:w="4262"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范红军</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F03098791</w:t>
            </w:r>
          </w:p>
          <w:p>
            <w:pPr>
              <w:tabs>
                <w:tab w:val="left" w:pos="1842"/>
              </w:tabs>
              <w:rPr>
                <w:rFonts w:ascii="Times New Roman" w:hAnsi="Times New Roman" w:eastAsia="楷体" w:cs="Times New Roman"/>
                <w:b/>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：Z0017690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0"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李代</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：F03086605</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：Z0016791</w:t>
            </w:r>
          </w:p>
        </w:tc>
        <w:tc>
          <w:tcPr>
            <w:tcW w:w="4262"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许克元</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：F3022666</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：Z0013612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0"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谢紫琪</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：F3032560</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：Z0014338</w:t>
            </w:r>
          </w:p>
        </w:tc>
        <w:tc>
          <w:tcPr>
            <w:tcW w:w="4262"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薛晴</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：F3035906</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：Z0016940</w:t>
            </w:r>
          </w:p>
        </w:tc>
      </w:tr>
    </w:tbl>
    <w:p>
      <w:pPr>
        <w:ind w:firstLine="420" w:firstLineChars="200"/>
        <w:rPr>
          <w:rFonts w:ascii="Times New Roman" w:hAnsi="Times New Roman" w:eastAsia="楷体"/>
        </w:rPr>
      </w:pPr>
    </w:p>
    <w:p>
      <w:pPr>
        <w:ind w:firstLine="420" w:firstLineChars="200"/>
        <w:rPr>
          <w:rFonts w:ascii="Times New Roman" w:hAnsi="Times New Roman" w:eastAsia="楷体"/>
        </w:rPr>
      </w:pPr>
    </w:p>
    <w:p>
      <w:pPr>
        <w:ind w:firstLine="420" w:firstLineChars="200"/>
        <w:rPr>
          <w:rFonts w:ascii="Times New Roman" w:hAnsi="Times New Roman" w:eastAsia="楷体"/>
        </w:rPr>
      </w:pPr>
    </w:p>
    <w:tbl>
      <w:tblPr>
        <w:tblStyle w:val="7"/>
        <w:tblW w:w="5000" w:type="pct"/>
        <w:jc w:val="center"/>
        <w:tblLayout w:type="autofit"/>
        <w:tblCellMar>
          <w:top w:w="0" w:type="dxa"/>
          <w:left w:w="108" w:type="dxa"/>
          <w:bottom w:w="0" w:type="dxa"/>
          <w:right w:w="108" w:type="dxa"/>
        </w:tblCellMar>
      </w:tblPr>
      <w:tblGrid>
        <w:gridCol w:w="8522"/>
      </w:tblGrid>
      <w:tr>
        <w:tblPrEx>
          <w:tblCellMar>
            <w:top w:w="0" w:type="dxa"/>
            <w:left w:w="108" w:type="dxa"/>
            <w:bottom w:w="0" w:type="dxa"/>
            <w:right w:w="108" w:type="dxa"/>
          </w:tblCellMar>
        </w:tblPrEx>
        <w:trPr>
          <w:jc w:val="center"/>
        </w:trPr>
        <w:tc>
          <w:tcPr>
            <w:tcW w:w="5000" w:type="pct"/>
            <w:shd w:val="clear" w:color="auto" w:fill="auto"/>
            <w:vAlign w:val="center"/>
          </w:tcPr>
          <w:p>
            <w:pPr>
              <w:rPr>
                <w:rFonts w:hint="default" w:ascii="Times New Roman" w:hAnsi="Times New Roman" w:eastAsia="楷体"/>
                <w:b/>
                <w:bCs/>
                <w:color w:val="823C0B"/>
                <w:lang w:val="en-US" w:eastAsia="zh-CN"/>
              </w:rPr>
            </w:pPr>
            <w:r>
              <w:rPr>
                <w:rFonts w:ascii="Times New Roman" w:hAnsi="Times New Roman" w:eastAsia="楷体"/>
                <w:bCs/>
                <w:color w:val="823C0B"/>
              </w:rPr>
              <w:t>办公地址：广州市天河区</w:t>
            </w:r>
            <w:r>
              <w:rPr>
                <w:rFonts w:hint="eastAsia" w:ascii="Times New Roman" w:hAnsi="Times New Roman" w:eastAsia="楷体"/>
                <w:bCs/>
                <w:color w:val="823C0B"/>
              </w:rPr>
              <w:t>临江大道1号寺右万科中心南塔</w:t>
            </w:r>
            <w:r>
              <w:rPr>
                <w:rFonts w:ascii="Times New Roman" w:hAnsi="Times New Roman" w:eastAsia="楷体"/>
                <w:bCs/>
                <w:color w:val="823C0B"/>
              </w:rPr>
              <w:t>6</w:t>
            </w:r>
            <w:r>
              <w:rPr>
                <w:rFonts w:hint="eastAsia" w:ascii="Times New Roman" w:hAnsi="Times New Roman" w:eastAsia="楷体"/>
                <w:bCs/>
                <w:color w:val="823C0B"/>
              </w:rPr>
              <w:t>层</w:t>
            </w:r>
          </w:p>
        </w:tc>
      </w:tr>
      <w:tr>
        <w:tblPrEx>
          <w:tblCellMar>
            <w:top w:w="0" w:type="dxa"/>
            <w:left w:w="108" w:type="dxa"/>
            <w:bottom w:w="0" w:type="dxa"/>
            <w:right w:w="108" w:type="dxa"/>
          </w:tblCellMar>
        </w:tblPrEx>
        <w:trPr>
          <w:jc w:val="center"/>
        </w:trPr>
        <w:tc>
          <w:tcPr>
            <w:tcW w:w="5000" w:type="pct"/>
            <w:shd w:val="clear" w:color="auto" w:fill="auto"/>
            <w:vAlign w:val="center"/>
          </w:tcPr>
          <w:p>
            <w:pPr>
              <w:jc w:val="left"/>
              <w:rPr>
                <w:rFonts w:ascii="Times New Roman" w:hAnsi="Times New Roman" w:eastAsia="楷体"/>
                <w:color w:val="823C0B"/>
              </w:rPr>
            </w:pPr>
            <w:r>
              <w:rPr>
                <w:rFonts w:hint="eastAsia" w:ascii="Times New Roman" w:hAnsi="Times New Roman" w:eastAsia="楷体"/>
                <w:bCs/>
                <w:color w:val="823C0B"/>
              </w:rPr>
              <w:t>联系方式: (020)22836102</w:t>
            </w:r>
          </w:p>
        </w:tc>
      </w:tr>
      <w:tr>
        <w:tblPrEx>
          <w:tblCellMar>
            <w:top w:w="0" w:type="dxa"/>
            <w:left w:w="108" w:type="dxa"/>
            <w:bottom w:w="0" w:type="dxa"/>
            <w:right w:w="108" w:type="dxa"/>
          </w:tblCellMar>
        </w:tblPrEx>
        <w:trPr>
          <w:jc w:val="center"/>
        </w:trPr>
        <w:tc>
          <w:tcPr>
            <w:tcW w:w="5000" w:type="pct"/>
            <w:shd w:val="clear" w:color="auto" w:fill="auto"/>
            <w:vAlign w:val="center"/>
          </w:tcPr>
          <w:p>
            <w:pPr>
              <w:jc w:val="left"/>
              <w:rPr>
                <w:rFonts w:ascii="Times New Roman" w:hAnsi="Times New Roman" w:eastAsia="楷体"/>
                <w:bCs/>
                <w:color w:val="823C0B"/>
              </w:rPr>
            </w:pPr>
            <w:r>
              <w:rPr>
                <w:rFonts w:ascii="Times New Roman" w:hAnsi="Times New Roman" w:eastAsia="楷体"/>
                <w:bCs/>
                <w:color w:val="823C0B"/>
              </w:rPr>
              <w:t>邮政编码：510627</w:t>
            </w:r>
          </w:p>
        </w:tc>
      </w:tr>
    </w:tbl>
    <w:p>
      <w:pPr>
        <w:ind w:firstLine="420" w:firstLineChars="200"/>
        <w:rPr>
          <w:rFonts w:ascii="Times New Roman" w:hAnsi="Times New Roman" w:eastAsia="楷体"/>
        </w:rPr>
      </w:pPr>
    </w:p>
    <w:p>
      <w:pPr>
        <w:ind w:firstLine="420" w:firstLineChars="200"/>
        <w:rPr>
          <w:rFonts w:ascii="Times New Roman" w:hAnsi="Times New Roman" w:eastAsia="楷体"/>
        </w:rPr>
      </w:pPr>
    </w:p>
    <w:p>
      <w:pPr>
        <w:pBdr>
          <w:top w:val="none" w:color="auto" w:sz="0" w:space="1"/>
          <w:left w:val="none" w:color="auto" w:sz="0" w:space="4"/>
          <w:bottom w:val="none" w:color="auto" w:sz="0" w:space="1"/>
          <w:right w:val="none" w:color="auto" w:sz="0" w:space="4"/>
        </w:pBdr>
      </w:pPr>
    </w:p>
    <w:sectPr>
      <w:footerReference r:id="rId7" w:type="first"/>
      <w:footerReference r:id="rId6" w:type="default"/>
      <w:pgSz w:w="11906" w:h="16838"/>
      <w:pgMar w:top="1440" w:right="1800" w:bottom="1440" w:left="1800" w:header="850" w:footer="1077"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top w:val="single" w:color="000000" w:sz="4" w:space="0"/>
      </w:pBdr>
      <w:jc w:val="both"/>
    </w:pPr>
    <w:r>
      <w:rPr>
        <w:rFonts w:hint="eastAsia" w:ascii="楷体" w:hAnsi="楷体" w:eastAsia="楷体" w:cs="Times New Roman"/>
        <w:b/>
        <w:color w:val="833C0B"/>
        <w:sz w:val="21"/>
        <w:lang w:val="en-US" w:eastAsia="zh-CN" w:bidi="ar"/>
      </w:rPr>
      <w:t>广州期货提醒各位投资者</w:t>
    </w:r>
    <w:r>
      <w:rPr>
        <w:rFonts w:hint="eastAsia" w:ascii="楷体" w:hAnsi="楷体" w:eastAsia="楷体" w:cs="Times New Roman"/>
        <w:b/>
        <w:color w:val="833C0B"/>
        <w:sz w:val="21"/>
        <w:lang w:bidi="ar"/>
      </w:rPr>
      <w:t>，期市有风险，入市需谨慎！请阅读文末免责声明</w:t>
    </w: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imes New Roman" w:hAnsi="Times New Roman" w:eastAsia="楷体" w:cs="Times New Roman"/>
                              <w:b/>
                              <w:color w:val="833C0B"/>
                              <w:sz w:val="21"/>
                              <w:lang w:eastAsia="zh-CN" w:bidi="ar"/>
                            </w:rPr>
                          </w:pPr>
                          <w:r>
                            <w:rPr>
                              <w:rFonts w:hint="eastAsia" w:ascii="Times New Roman" w:hAnsi="Times New Roman" w:eastAsia="楷体" w:cs="Times New Roman"/>
                              <w:b/>
                              <w:color w:val="833C0B"/>
                              <w:sz w:val="21"/>
                              <w:lang w:bidi="ar"/>
                            </w:rPr>
                            <w:t xml:space="preserve">Page </w:t>
                          </w:r>
                          <w:r>
                            <w:rPr>
                              <w:rFonts w:hint="eastAsia" w:ascii="Times New Roman" w:hAnsi="Times New Roman" w:eastAsia="楷体" w:cs="Times New Roman"/>
                              <w:b/>
                              <w:color w:val="833C0B"/>
                              <w:sz w:val="21"/>
                              <w:lang w:val="en-US" w:eastAsia="zh-CN" w:bidi="ar"/>
                            </w:rPr>
                            <w:t>1</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3"/>
                      <w:rPr>
                        <w:rFonts w:hint="eastAsia" w:ascii="Times New Roman" w:hAnsi="Times New Roman" w:eastAsia="楷体" w:cs="Times New Roman"/>
                        <w:b/>
                        <w:color w:val="833C0B"/>
                        <w:sz w:val="21"/>
                        <w:lang w:eastAsia="zh-CN" w:bidi="ar"/>
                      </w:rPr>
                    </w:pPr>
                    <w:r>
                      <w:rPr>
                        <w:rFonts w:hint="eastAsia" w:ascii="Times New Roman" w:hAnsi="Times New Roman" w:eastAsia="楷体" w:cs="Times New Roman"/>
                        <w:b/>
                        <w:color w:val="833C0B"/>
                        <w:sz w:val="21"/>
                        <w:lang w:bidi="ar"/>
                      </w:rPr>
                      <w:t xml:space="preserve">Page </w:t>
                    </w:r>
                    <w:r>
                      <w:rPr>
                        <w:rFonts w:hint="eastAsia" w:ascii="Times New Roman" w:hAnsi="Times New Roman" w:eastAsia="楷体" w:cs="Times New Roman"/>
                        <w:b/>
                        <w:color w:val="833C0B"/>
                        <w:sz w:val="21"/>
                        <w:lang w:val="en-US" w:eastAsia="zh-CN" w:bidi="ar"/>
                      </w:rPr>
                      <w:t>1</w:t>
                    </w:r>
                  </w:p>
                </w:txbxContent>
              </v:textbox>
            </v:shape>
          </w:pict>
        </mc:Fallback>
      </mc:AlternateContent>
    </w:r>
    <w:r>
      <w:rPr>
        <w:rFonts w:hint="eastAsia" w:ascii="楷体" w:hAnsi="楷体" w:eastAsia="楷体" w:cs="Times New Roman"/>
        <w:b/>
        <w:color w:val="833C0B"/>
        <w:sz w:val="21"/>
        <w:lang w:bidi="ar"/>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top w:val="single" w:color="000000" w:sz="4" w:space="0"/>
      </w:pBdr>
      <w:jc w:val="both"/>
    </w:pPr>
    <w:r>
      <mc:AlternateContent>
        <mc:Choice Requires="wps">
          <w:drawing>
            <wp:anchor distT="0" distB="0" distL="114300" distR="114300" simplePos="0" relativeHeight="251662336" behindDoc="0" locked="0" layoutInCell="1" allowOverlap="1">
              <wp:simplePos x="0" y="0"/>
              <wp:positionH relativeFrom="margin">
                <wp:posOffset>4894580</wp:posOffset>
              </wp:positionH>
              <wp:positionV relativeFrom="paragraph">
                <wp:posOffset>-10795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imes New Roman" w:hAnsi="Times New Roman" w:eastAsia="楷体" w:cs="Times New Roman"/>
                              <w:b/>
                              <w:color w:val="833C0B"/>
                              <w:sz w:val="21"/>
                              <w:lang w:eastAsia="zh-CN" w:bidi="ar"/>
                            </w:rPr>
                          </w:pPr>
                          <w:r>
                            <w:rPr>
                              <w:rFonts w:hint="eastAsia" w:ascii="Times New Roman" w:hAnsi="Times New Roman" w:eastAsia="楷体" w:cs="Times New Roman"/>
                              <w:b/>
                              <w:color w:val="833C0B"/>
                              <w:sz w:val="21"/>
                              <w:lang w:bidi="ar"/>
                            </w:rPr>
                            <w:t>Page</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385.4pt;margin-top:-0.85pt;height:144pt;width:144pt;mso-position-horizontal-relative:margin;mso-wrap-style:none;z-index:251662336;mso-width-relative:page;mso-height-relative:page;" filled="f" stroked="f" coordsize="21600,21600" o:gfxdata="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MpUetTYAAAACwEAAA8AAAAAAAAAAQAgAAAAIgAAAGRycy9kb3ducmV2LnhtbFBLAQIU&#10;ABQAAAAIAIdO4kAXDIm4LAIAAFUEAAAOAAAAAAAAAAEAIAAAACcBAABkcnMvZTJvRG9jLnhtbFBL&#10;BQYAAAAABgAGAFkBAADFBQAAAAA=&#10;">
              <v:fill on="f" focussize="0,0"/>
              <v:stroke on="f" weight="0.5pt"/>
              <v:imagedata o:title=""/>
              <o:lock v:ext="edit" aspectratio="f"/>
              <v:textbox inset="0mm,0mm,0mm,0mm" style="mso-fit-shape-to-text:t;">
                <w:txbxContent>
                  <w:p>
                    <w:pPr>
                      <w:pStyle w:val="3"/>
                      <w:rPr>
                        <w:rFonts w:hint="eastAsia" w:ascii="Times New Roman" w:hAnsi="Times New Roman" w:eastAsia="楷体" w:cs="Times New Roman"/>
                        <w:b/>
                        <w:color w:val="833C0B"/>
                        <w:sz w:val="21"/>
                        <w:lang w:eastAsia="zh-CN" w:bidi="ar"/>
                      </w:rPr>
                    </w:pPr>
                    <w:r>
                      <w:rPr>
                        <w:rFonts w:hint="eastAsia" w:ascii="Times New Roman" w:hAnsi="Times New Roman" w:eastAsia="楷体" w:cs="Times New Roman"/>
                        <w:b/>
                        <w:color w:val="833C0B"/>
                        <w:sz w:val="21"/>
                        <w:lang w:bidi="ar"/>
                      </w:rPr>
                      <w:t>Page</w:t>
                    </w:r>
                  </w:p>
                </w:txbxContent>
              </v:textbox>
            </v:shape>
          </w:pict>
        </mc:Fallback>
      </mc:AlternateContent>
    </w:r>
    <w:r>
      <w:rPr>
        <w:sz w:val="21"/>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Times New Roman" w:hAnsi="Times New Roman" w:eastAsia="楷体" w:cs="Times New Roman"/>
                              <w:b/>
                              <w:color w:val="833C0B"/>
                              <w:sz w:val="21"/>
                              <w:lang w:bidi="ar"/>
                            </w:rPr>
                            <w:fldChar w:fldCharType="begin"/>
                          </w:r>
                          <w:r>
                            <w:rPr>
                              <w:rFonts w:hint="eastAsia" w:ascii="Times New Roman" w:hAnsi="Times New Roman" w:eastAsia="楷体" w:cs="Times New Roman"/>
                              <w:b/>
                              <w:color w:val="833C0B"/>
                              <w:sz w:val="21"/>
                              <w:lang w:bidi="ar"/>
                            </w:rPr>
                            <w:instrText xml:space="preserve"> PAGE  \* MERGEFORMAT </w:instrText>
                          </w:r>
                          <w:r>
                            <w:rPr>
                              <w:rFonts w:hint="eastAsia" w:ascii="Times New Roman" w:hAnsi="Times New Roman" w:eastAsia="楷体" w:cs="Times New Roman"/>
                              <w:b/>
                              <w:color w:val="833C0B"/>
                              <w:sz w:val="21"/>
                              <w:lang w:bidi="ar"/>
                            </w:rPr>
                            <w:fldChar w:fldCharType="separate"/>
                          </w:r>
                          <w:r>
                            <w:rPr>
                              <w:rFonts w:hint="eastAsia" w:ascii="Times New Roman" w:hAnsi="Times New Roman" w:eastAsia="楷体" w:cs="Times New Roman"/>
                              <w:b/>
                              <w:color w:val="833C0B"/>
                              <w:sz w:val="21"/>
                              <w:lang w:bidi="ar"/>
                            </w:rPr>
                            <w:t>3</w:t>
                          </w:r>
                          <w:r>
                            <w:rPr>
                              <w:rFonts w:hint="eastAsia" w:ascii="Times New Roman" w:hAnsi="Times New Roman" w:eastAsia="楷体" w:cs="Times New Roman"/>
                              <w:b/>
                              <w:color w:val="833C0B"/>
                              <w:sz w:val="21"/>
                              <w:lang w:bidi="ar"/>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3"/>
                    </w:pPr>
                    <w:r>
                      <w:rPr>
                        <w:rFonts w:hint="eastAsia" w:ascii="Times New Roman" w:hAnsi="Times New Roman" w:eastAsia="楷体" w:cs="Times New Roman"/>
                        <w:b/>
                        <w:color w:val="833C0B"/>
                        <w:sz w:val="21"/>
                        <w:lang w:bidi="ar"/>
                      </w:rPr>
                      <w:fldChar w:fldCharType="begin"/>
                    </w:r>
                    <w:r>
                      <w:rPr>
                        <w:rFonts w:hint="eastAsia" w:ascii="Times New Roman" w:hAnsi="Times New Roman" w:eastAsia="楷体" w:cs="Times New Roman"/>
                        <w:b/>
                        <w:color w:val="833C0B"/>
                        <w:sz w:val="21"/>
                        <w:lang w:bidi="ar"/>
                      </w:rPr>
                      <w:instrText xml:space="preserve"> PAGE  \* MERGEFORMAT </w:instrText>
                    </w:r>
                    <w:r>
                      <w:rPr>
                        <w:rFonts w:hint="eastAsia" w:ascii="Times New Roman" w:hAnsi="Times New Roman" w:eastAsia="楷体" w:cs="Times New Roman"/>
                        <w:b/>
                        <w:color w:val="833C0B"/>
                        <w:sz w:val="21"/>
                        <w:lang w:bidi="ar"/>
                      </w:rPr>
                      <w:fldChar w:fldCharType="separate"/>
                    </w:r>
                    <w:r>
                      <w:rPr>
                        <w:rFonts w:hint="eastAsia" w:ascii="Times New Roman" w:hAnsi="Times New Roman" w:eastAsia="楷体" w:cs="Times New Roman"/>
                        <w:b/>
                        <w:color w:val="833C0B"/>
                        <w:sz w:val="21"/>
                        <w:lang w:bidi="ar"/>
                      </w:rPr>
                      <w:t>3</w:t>
                    </w:r>
                    <w:r>
                      <w:rPr>
                        <w:rFonts w:hint="eastAsia" w:ascii="Times New Roman" w:hAnsi="Times New Roman" w:eastAsia="楷体" w:cs="Times New Roman"/>
                        <w:b/>
                        <w:color w:val="833C0B"/>
                        <w:sz w:val="21"/>
                        <w:lang w:bidi="ar"/>
                      </w:rPr>
                      <w:fldChar w:fldCharType="end"/>
                    </w:r>
                  </w:p>
                </w:txbxContent>
              </v:textbox>
            </v:shape>
          </w:pict>
        </mc:Fallback>
      </mc:AlternateContent>
    </w:r>
    <w:r>
      <w:rPr>
        <w:rFonts w:hint="eastAsia" w:ascii="楷体" w:hAnsi="楷体" w:eastAsia="楷体" w:cs="Times New Roman"/>
        <w:b/>
        <w:color w:val="833C0B"/>
        <w:sz w:val="21"/>
        <w:lang w:val="en-US" w:eastAsia="zh-CN" w:bidi="ar"/>
      </w:rPr>
      <w:t>广州期货提醒各位投资者</w:t>
    </w:r>
    <w:r>
      <w:rPr>
        <w:rFonts w:hint="eastAsia" w:ascii="楷体" w:hAnsi="楷体" w:eastAsia="楷体" w:cs="Times New Roman"/>
        <w:b/>
        <w:color w:val="833C0B"/>
        <w:sz w:val="21"/>
        <w:lang w:bidi="ar"/>
      </w:rPr>
      <w:t>，期市有风险，入市需谨慎！请阅读文末免责声明。</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w:drawing>
        <wp:anchor distT="0" distB="0" distL="114300" distR="114300" simplePos="0" relativeHeight="251659264" behindDoc="0" locked="0" layoutInCell="1" allowOverlap="1">
          <wp:simplePos x="0" y="0"/>
          <wp:positionH relativeFrom="column">
            <wp:posOffset>0</wp:posOffset>
          </wp:positionH>
          <wp:positionV relativeFrom="paragraph">
            <wp:posOffset>-164465</wp:posOffset>
          </wp:positionV>
          <wp:extent cx="1774190" cy="469265"/>
          <wp:effectExtent l="0" t="0" r="16510" b="698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p>
  <w:p>
    <w:pPr>
      <w:pStyle w:val="4"/>
      <w:pBdr>
        <w:bottom w:val="single" w:color="auto" w:sz="4" w:space="1"/>
      </w:pBdr>
      <w:jc w:val="right"/>
      <w:rPr>
        <w:b/>
        <w:bCs/>
      </w:rPr>
    </w:pPr>
    <w:r>
      <w:ptab w:relativeTo="margin" w:alignment="center" w:leader="none"/>
    </w:r>
    <w:r>
      <w:rPr>
        <w:rFonts w:hint="eastAsia" w:ascii="Times New Roman" w:hAnsi="Times New Roman" w:eastAsia="楷体"/>
        <w:b/>
        <w:bCs/>
        <w:color w:val="833C0B"/>
        <w:sz w:val="21"/>
      </w:rPr>
      <w:t>早间直通车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Times New Roman" w:hAnsi="Times New Roman" w:eastAsia="楷体"/>
        <w:b/>
        <w:bCs/>
        <w:color w:val="833C0B"/>
        <w:sz w:val="21"/>
      </w:rPr>
    </w:pPr>
    <w:r>
      <w:ptab w:relativeTo="margin" w:alignment="center" w:leader="none"/>
    </w:r>
    <w:r>
      <w:drawing>
        <wp:anchor distT="0" distB="0" distL="114300" distR="114300" simplePos="0" relativeHeight="251661312" behindDoc="0" locked="0" layoutInCell="1" allowOverlap="1">
          <wp:simplePos x="0" y="0"/>
          <wp:positionH relativeFrom="column">
            <wp:posOffset>0</wp:posOffset>
          </wp:positionH>
          <wp:positionV relativeFrom="paragraph">
            <wp:posOffset>-180975</wp:posOffset>
          </wp:positionV>
          <wp:extent cx="1774190" cy="469265"/>
          <wp:effectExtent l="0" t="0" r="16510" b="6985"/>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r>
      <w:rPr>
        <w:rFonts w:hint="eastAsia" w:ascii="Times New Roman" w:hAnsi="Times New Roman" w:eastAsia="楷体"/>
        <w:b/>
        <w:bCs/>
        <w:color w:val="833C0B"/>
        <w:sz w:val="21"/>
      </w:rPr>
      <w:t>早间直通车</w:t>
    </w:r>
  </w:p>
  <w:p>
    <w:pPr>
      <w:pStyle w:val="4"/>
      <w:pBdr>
        <w:bottom w:val="single" w:color="auto" w:sz="4" w:space="1"/>
      </w:pBdr>
      <w:jc w:val="right"/>
    </w:pPr>
    <w:r>
      <w:rPr>
        <w:rFonts w:ascii="Times New Roman" w:hAnsi="Times New Roman" w:eastAsia="楷体"/>
        <w:b/>
        <w:bCs/>
        <w:color w:val="833C0B"/>
        <w:sz w:val="21"/>
      </w:rPr>
      <w:fldChar w:fldCharType="begin"/>
    </w:r>
    <w:r>
      <w:rPr>
        <w:rFonts w:ascii="Times New Roman" w:hAnsi="Times New Roman" w:eastAsia="楷体"/>
        <w:b/>
        <w:bCs/>
        <w:color w:val="833C0B"/>
        <w:sz w:val="21"/>
      </w:rPr>
      <w:instrText xml:space="preserve"> </w:instrText>
    </w:r>
    <w:r>
      <w:rPr>
        <w:rFonts w:hint="eastAsia" w:ascii="Times New Roman" w:hAnsi="Times New Roman" w:eastAsia="楷体"/>
        <w:b/>
        <w:bCs/>
        <w:color w:val="833C0B"/>
        <w:sz w:val="21"/>
      </w:rPr>
      <w:instrText xml:space="preserve">TIME \@ "yyyy年M月d日星期W"</w:instrText>
    </w:r>
    <w:r>
      <w:rPr>
        <w:rFonts w:ascii="Times New Roman" w:hAnsi="Times New Roman" w:eastAsia="楷体"/>
        <w:b/>
        <w:bCs/>
        <w:color w:val="833C0B"/>
        <w:sz w:val="21"/>
      </w:rPr>
      <w:instrText xml:space="preserve"> </w:instrText>
    </w:r>
    <w:r>
      <w:rPr>
        <w:rFonts w:ascii="Times New Roman" w:hAnsi="Times New Roman" w:eastAsia="楷体"/>
        <w:b/>
        <w:bCs/>
        <w:color w:val="833C0B"/>
        <w:sz w:val="21"/>
      </w:rPr>
      <w:fldChar w:fldCharType="separate"/>
    </w:r>
    <w:r>
      <w:rPr>
        <w:rFonts w:hint="eastAsia" w:ascii="Times New Roman" w:hAnsi="Times New Roman" w:eastAsia="楷体"/>
        <w:b/>
        <w:bCs/>
        <w:color w:val="833C0B"/>
        <w:sz w:val="21"/>
      </w:rPr>
      <w:t>2023年2月16日星期四</w:t>
    </w:r>
    <w:r>
      <w:rPr>
        <w:rFonts w:ascii="Times New Roman" w:hAnsi="Times New Roman" w:eastAsia="楷体"/>
        <w:b/>
        <w:bCs/>
        <w:color w:val="833C0B"/>
        <w:sz w:val="21"/>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ljYzUzMWQ4OWI0YzBkYjYzMDRhZTY5ZjZkYmFmYTgifQ=="/>
  </w:docVars>
  <w:rsids>
    <w:rsidRoot w:val="3B3306F0"/>
    <w:rsid w:val="0000534E"/>
    <w:rsid w:val="000058D8"/>
    <w:rsid w:val="00006269"/>
    <w:rsid w:val="00012A9A"/>
    <w:rsid w:val="00020E82"/>
    <w:rsid w:val="0005286B"/>
    <w:rsid w:val="00076420"/>
    <w:rsid w:val="000820C6"/>
    <w:rsid w:val="000D36DC"/>
    <w:rsid w:val="000E0C15"/>
    <w:rsid w:val="001B1904"/>
    <w:rsid w:val="001B2D4C"/>
    <w:rsid w:val="001B6394"/>
    <w:rsid w:val="001C77D0"/>
    <w:rsid w:val="001F5438"/>
    <w:rsid w:val="002074A1"/>
    <w:rsid w:val="002A0670"/>
    <w:rsid w:val="002B2257"/>
    <w:rsid w:val="002F075C"/>
    <w:rsid w:val="002F6AD1"/>
    <w:rsid w:val="00323550"/>
    <w:rsid w:val="00332F22"/>
    <w:rsid w:val="003416C2"/>
    <w:rsid w:val="00341727"/>
    <w:rsid w:val="003471F4"/>
    <w:rsid w:val="00375F0B"/>
    <w:rsid w:val="00376AF1"/>
    <w:rsid w:val="003A3DB4"/>
    <w:rsid w:val="003C5F91"/>
    <w:rsid w:val="003D3A9E"/>
    <w:rsid w:val="004230AC"/>
    <w:rsid w:val="00440FBE"/>
    <w:rsid w:val="00461147"/>
    <w:rsid w:val="00485A3F"/>
    <w:rsid w:val="004977A9"/>
    <w:rsid w:val="004A65B5"/>
    <w:rsid w:val="004E58A5"/>
    <w:rsid w:val="00541F3F"/>
    <w:rsid w:val="005818A8"/>
    <w:rsid w:val="00591B89"/>
    <w:rsid w:val="00593B03"/>
    <w:rsid w:val="00593F40"/>
    <w:rsid w:val="005B5BDF"/>
    <w:rsid w:val="005C05F7"/>
    <w:rsid w:val="005C05FA"/>
    <w:rsid w:val="005E1CE0"/>
    <w:rsid w:val="005F45A8"/>
    <w:rsid w:val="00610C41"/>
    <w:rsid w:val="00657B01"/>
    <w:rsid w:val="006B4A5D"/>
    <w:rsid w:val="006D21ED"/>
    <w:rsid w:val="00710028"/>
    <w:rsid w:val="0072164F"/>
    <w:rsid w:val="007253E7"/>
    <w:rsid w:val="007315D8"/>
    <w:rsid w:val="00743CFD"/>
    <w:rsid w:val="007A66FE"/>
    <w:rsid w:val="007D29EC"/>
    <w:rsid w:val="007D4BBD"/>
    <w:rsid w:val="007F1327"/>
    <w:rsid w:val="007F140C"/>
    <w:rsid w:val="0080692E"/>
    <w:rsid w:val="00806F4A"/>
    <w:rsid w:val="00815011"/>
    <w:rsid w:val="00815817"/>
    <w:rsid w:val="00822591"/>
    <w:rsid w:val="00867CA5"/>
    <w:rsid w:val="00873ECE"/>
    <w:rsid w:val="0087785E"/>
    <w:rsid w:val="008A1D22"/>
    <w:rsid w:val="008B361D"/>
    <w:rsid w:val="008E2B15"/>
    <w:rsid w:val="00906E0C"/>
    <w:rsid w:val="00907943"/>
    <w:rsid w:val="00916E97"/>
    <w:rsid w:val="009316EC"/>
    <w:rsid w:val="009644D9"/>
    <w:rsid w:val="009870E4"/>
    <w:rsid w:val="009A12FA"/>
    <w:rsid w:val="009B591A"/>
    <w:rsid w:val="009D5253"/>
    <w:rsid w:val="009D64FE"/>
    <w:rsid w:val="009E4452"/>
    <w:rsid w:val="009F5C7B"/>
    <w:rsid w:val="00A63022"/>
    <w:rsid w:val="00A96E37"/>
    <w:rsid w:val="00A97444"/>
    <w:rsid w:val="00AA29E5"/>
    <w:rsid w:val="00AB0678"/>
    <w:rsid w:val="00AC7ECD"/>
    <w:rsid w:val="00AD009F"/>
    <w:rsid w:val="00B15418"/>
    <w:rsid w:val="00B443CE"/>
    <w:rsid w:val="00B53C56"/>
    <w:rsid w:val="00B618F8"/>
    <w:rsid w:val="00B72E2D"/>
    <w:rsid w:val="00B805BD"/>
    <w:rsid w:val="00BC71D6"/>
    <w:rsid w:val="00BF3137"/>
    <w:rsid w:val="00C240C3"/>
    <w:rsid w:val="00C66C6C"/>
    <w:rsid w:val="00C82E4D"/>
    <w:rsid w:val="00CB1F18"/>
    <w:rsid w:val="00CB3015"/>
    <w:rsid w:val="00CC3E40"/>
    <w:rsid w:val="00CD5DE8"/>
    <w:rsid w:val="00CE7903"/>
    <w:rsid w:val="00CF6C71"/>
    <w:rsid w:val="00D00D60"/>
    <w:rsid w:val="00D01A19"/>
    <w:rsid w:val="00D309C4"/>
    <w:rsid w:val="00D75630"/>
    <w:rsid w:val="00D87130"/>
    <w:rsid w:val="00DF56EC"/>
    <w:rsid w:val="00E020F2"/>
    <w:rsid w:val="00E12059"/>
    <w:rsid w:val="00E25D21"/>
    <w:rsid w:val="00E55B22"/>
    <w:rsid w:val="00E64502"/>
    <w:rsid w:val="00E928BB"/>
    <w:rsid w:val="00EB56F2"/>
    <w:rsid w:val="00F234BF"/>
    <w:rsid w:val="00F31CCA"/>
    <w:rsid w:val="00F43E0E"/>
    <w:rsid w:val="00F622ED"/>
    <w:rsid w:val="00F65EEA"/>
    <w:rsid w:val="00FB3956"/>
    <w:rsid w:val="02E32A5D"/>
    <w:rsid w:val="057D13AE"/>
    <w:rsid w:val="06B2613D"/>
    <w:rsid w:val="06B753E3"/>
    <w:rsid w:val="09B849A4"/>
    <w:rsid w:val="09F160E3"/>
    <w:rsid w:val="0AC64130"/>
    <w:rsid w:val="0B42525D"/>
    <w:rsid w:val="0C1F7DEE"/>
    <w:rsid w:val="0CDE660D"/>
    <w:rsid w:val="0D032A7C"/>
    <w:rsid w:val="0F662138"/>
    <w:rsid w:val="100732C8"/>
    <w:rsid w:val="10DA6205"/>
    <w:rsid w:val="113D3FD2"/>
    <w:rsid w:val="121F7D21"/>
    <w:rsid w:val="129B2E20"/>
    <w:rsid w:val="12AA5DF8"/>
    <w:rsid w:val="134E6356"/>
    <w:rsid w:val="15364A7C"/>
    <w:rsid w:val="15D52593"/>
    <w:rsid w:val="197E6634"/>
    <w:rsid w:val="1B8A2034"/>
    <w:rsid w:val="1BC72FF7"/>
    <w:rsid w:val="1D03226A"/>
    <w:rsid w:val="1D5030CD"/>
    <w:rsid w:val="1D876087"/>
    <w:rsid w:val="1DFF64E4"/>
    <w:rsid w:val="2056595D"/>
    <w:rsid w:val="20AE4DE8"/>
    <w:rsid w:val="216834DE"/>
    <w:rsid w:val="21996AC1"/>
    <w:rsid w:val="219F3EE2"/>
    <w:rsid w:val="22BB5089"/>
    <w:rsid w:val="24321B2E"/>
    <w:rsid w:val="244B21DE"/>
    <w:rsid w:val="247F3074"/>
    <w:rsid w:val="24B82D9D"/>
    <w:rsid w:val="258A2E5C"/>
    <w:rsid w:val="25B924F3"/>
    <w:rsid w:val="268419CF"/>
    <w:rsid w:val="26AC2D80"/>
    <w:rsid w:val="26F95364"/>
    <w:rsid w:val="2C6C12B9"/>
    <w:rsid w:val="2CA93C52"/>
    <w:rsid w:val="2D912E3A"/>
    <w:rsid w:val="2DC02C2B"/>
    <w:rsid w:val="2DE440F7"/>
    <w:rsid w:val="2FA70F17"/>
    <w:rsid w:val="340E7198"/>
    <w:rsid w:val="34A75784"/>
    <w:rsid w:val="373F75CC"/>
    <w:rsid w:val="3A2F6D68"/>
    <w:rsid w:val="3AC9385E"/>
    <w:rsid w:val="3B3306F0"/>
    <w:rsid w:val="3B563B4D"/>
    <w:rsid w:val="3C2825B0"/>
    <w:rsid w:val="3C2B26B7"/>
    <w:rsid w:val="3D8B796D"/>
    <w:rsid w:val="3DA80A30"/>
    <w:rsid w:val="3EC32453"/>
    <w:rsid w:val="3ECC520D"/>
    <w:rsid w:val="3EE0186C"/>
    <w:rsid w:val="3EFE09FD"/>
    <w:rsid w:val="3F345DBE"/>
    <w:rsid w:val="40F15753"/>
    <w:rsid w:val="43F63E0D"/>
    <w:rsid w:val="44092E2E"/>
    <w:rsid w:val="441077D2"/>
    <w:rsid w:val="44396064"/>
    <w:rsid w:val="459609D9"/>
    <w:rsid w:val="45A37566"/>
    <w:rsid w:val="45CF0A85"/>
    <w:rsid w:val="46194A11"/>
    <w:rsid w:val="47752ACA"/>
    <w:rsid w:val="47C813F2"/>
    <w:rsid w:val="4AB74C38"/>
    <w:rsid w:val="4B6224E5"/>
    <w:rsid w:val="4B8C4A56"/>
    <w:rsid w:val="4BF97936"/>
    <w:rsid w:val="4C457E30"/>
    <w:rsid w:val="4D2A3925"/>
    <w:rsid w:val="4DB20386"/>
    <w:rsid w:val="4DF02D90"/>
    <w:rsid w:val="5005695E"/>
    <w:rsid w:val="50286811"/>
    <w:rsid w:val="51266B84"/>
    <w:rsid w:val="546B5509"/>
    <w:rsid w:val="548642E9"/>
    <w:rsid w:val="54C12E33"/>
    <w:rsid w:val="55633225"/>
    <w:rsid w:val="56DD4D3A"/>
    <w:rsid w:val="57555A7B"/>
    <w:rsid w:val="57CB522F"/>
    <w:rsid w:val="58246D5D"/>
    <w:rsid w:val="59C52328"/>
    <w:rsid w:val="5B906095"/>
    <w:rsid w:val="5BF60A75"/>
    <w:rsid w:val="5C9F2D01"/>
    <w:rsid w:val="5D5617A6"/>
    <w:rsid w:val="5EA7685B"/>
    <w:rsid w:val="61DF02D0"/>
    <w:rsid w:val="62710E5F"/>
    <w:rsid w:val="64C32497"/>
    <w:rsid w:val="66D04BBC"/>
    <w:rsid w:val="685D4EEE"/>
    <w:rsid w:val="68D53E8D"/>
    <w:rsid w:val="6B292599"/>
    <w:rsid w:val="6ECB7DD2"/>
    <w:rsid w:val="70675779"/>
    <w:rsid w:val="713E0334"/>
    <w:rsid w:val="716F5E64"/>
    <w:rsid w:val="729B5F03"/>
    <w:rsid w:val="72F62A89"/>
    <w:rsid w:val="737357AF"/>
    <w:rsid w:val="74163BE4"/>
    <w:rsid w:val="75292EAC"/>
    <w:rsid w:val="75775016"/>
    <w:rsid w:val="7626762C"/>
    <w:rsid w:val="778F5135"/>
    <w:rsid w:val="784F7772"/>
    <w:rsid w:val="78E55995"/>
    <w:rsid w:val="79267C0B"/>
    <w:rsid w:val="7ABE4B56"/>
    <w:rsid w:val="7B264F79"/>
    <w:rsid w:val="7B3E5659"/>
    <w:rsid w:val="7CD80967"/>
    <w:rsid w:val="7EAF78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1"/>
      <w:lang w:val="en-US" w:eastAsia="zh-CN" w:bidi="ar-SA"/>
    </w:rPr>
  </w:style>
  <w:style w:type="paragraph" w:styleId="2">
    <w:name w:val="heading 1"/>
    <w:basedOn w:val="1"/>
    <w:next w:val="1"/>
    <w:link w:val="16"/>
    <w:qFormat/>
    <w:uiPriority w:val="0"/>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toc 1"/>
    <w:basedOn w:val="1"/>
    <w:next w:val="1"/>
    <w:qFormat/>
    <w:uiPriority w:val="39"/>
  </w:style>
  <w:style w:type="paragraph" w:styleId="6">
    <w:name w:val="toc 2"/>
    <w:basedOn w:val="1"/>
    <w:next w:val="1"/>
    <w:qFormat/>
    <w:uiPriority w:val="39"/>
    <w:pPr>
      <w:ind w:left="420" w:leftChars="200"/>
    </w:pPr>
  </w:style>
  <w:style w:type="table" w:styleId="8">
    <w:name w:val="Table Grid"/>
    <w:basedOn w:val="7"/>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FollowedHyperlink"/>
    <w:basedOn w:val="9"/>
    <w:qFormat/>
    <w:uiPriority w:val="0"/>
    <w:rPr>
      <w:color w:val="954F72" w:themeColor="followedHyperlink"/>
      <w:u w:val="single"/>
      <w14:textFill>
        <w14:solidFill>
          <w14:schemeClr w14:val="folHlink"/>
        </w14:solidFill>
      </w14:textFill>
    </w:rPr>
  </w:style>
  <w:style w:type="character" w:styleId="11">
    <w:name w:val="Hyperlink"/>
    <w:basedOn w:val="9"/>
    <w:qFormat/>
    <w:uiPriority w:val="99"/>
    <w:rPr>
      <w:color w:val="0563C1" w:themeColor="hyperlink"/>
      <w:u w:val="single"/>
      <w14:textFill>
        <w14:solidFill>
          <w14:schemeClr w14:val="hlink"/>
        </w14:solidFill>
      </w14:textFill>
    </w:rPr>
  </w:style>
  <w:style w:type="paragraph" w:customStyle="1" w:styleId="12">
    <w:name w:val="paragraph"/>
    <w:basedOn w:val="1"/>
    <w:qFormat/>
    <w:uiPriority w:val="0"/>
    <w:pPr>
      <w:widowControl/>
      <w:spacing w:before="100" w:beforeAutospacing="1" w:after="100" w:afterAutospacing="1"/>
      <w:jc w:val="left"/>
    </w:pPr>
    <w:rPr>
      <w:rFonts w:ascii="宋体" w:hAnsi="宋体" w:cs="宋体"/>
      <w:kern w:val="0"/>
      <w:sz w:val="24"/>
      <w:szCs w:val="24"/>
    </w:rPr>
  </w:style>
  <w:style w:type="paragraph" w:styleId="13">
    <w:name w:val="List Paragraph"/>
    <w:basedOn w:val="1"/>
    <w:qFormat/>
    <w:uiPriority w:val="99"/>
    <w:pPr>
      <w:ind w:firstLine="420" w:firstLineChars="200"/>
    </w:pPr>
  </w:style>
  <w:style w:type="paragraph" w:customStyle="1" w:styleId="14">
    <w:name w:val="WPSOffice手动目录 1"/>
    <w:qFormat/>
    <w:uiPriority w:val="0"/>
    <w:rPr>
      <w:rFonts w:ascii="Times New Roman" w:hAnsi="Times New Roman" w:eastAsia="宋体" w:cs="Times New Roman"/>
      <w:lang w:val="en-US" w:eastAsia="zh-CN" w:bidi="ar-SA"/>
    </w:rPr>
  </w:style>
  <w:style w:type="paragraph" w:customStyle="1" w:styleId="15">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16">
    <w:name w:val="标题 1 字符"/>
    <w:basedOn w:val="9"/>
    <w:link w:val="2"/>
    <w:qFormat/>
    <w:uiPriority w:val="0"/>
    <w:rPr>
      <w:rFonts w:asciiTheme="minorHAnsi" w:hAnsiTheme="minorHAnsi" w:cstheme="minorBidi"/>
      <w:b/>
      <w:bCs/>
      <w:kern w:val="44"/>
      <w:sz w:val="44"/>
      <w:szCs w:val="44"/>
    </w:rPr>
  </w:style>
  <w:style w:type="paragraph" w:customStyle="1" w:styleId="17">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27B271F-CE5D-421B-9A46-E52BFC81BD46}">
  <ds:schemaRefs/>
</ds:datastoreItem>
</file>

<file path=docProps/app.xml><?xml version="1.0" encoding="utf-8"?>
<Properties xmlns="http://schemas.openxmlformats.org/officeDocument/2006/extended-properties" xmlns:vt="http://schemas.openxmlformats.org/officeDocument/2006/docPropsVTypes">
  <Template>Normal</Template>
  <Pages>8</Pages>
  <Words>7276</Words>
  <Characters>7823</Characters>
  <Lines>50</Lines>
  <Paragraphs>14</Paragraphs>
  <TotalTime>0</TotalTime>
  <ScaleCrop>false</ScaleCrop>
  <LinksUpToDate>false</LinksUpToDate>
  <CharactersWithSpaces>7845</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2022-11-15T10:06:00Z</dcterms:created>
  <dc:creator>yanjiusuo</dc:creator>
  <cp:lastModifiedBy>yang.jiahong</cp:lastModifiedBy>
  <cp:lastPrinted>2022-07-01T02:28:00Z</cp:lastPrinted>
  <dcterms:modified xsi:type="dcterms:W3CDTF">2023-02-16T01:52:10Z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88F59B570830480FBD960522A6F97CC7</vt:lpwstr>
  </property>
</Properties>
</file>