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8" w:name="_GoBack"/>
          <w:bookmarkEnd w:id="48"/>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_Toc15766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_Toc16545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低多IM</w:t>
          </w:r>
          <w:r>
            <w:rPr>
              <w:bCs/>
            </w:rPr>
            <w:fldChar w:fldCharType="end"/>
          </w:r>
        </w:p>
        <w:p>
          <w:pPr>
            <w:pStyle w:val="5"/>
            <w:tabs>
              <w:tab w:val="right" w:leader="dot" w:pos="8306"/>
            </w:tabs>
          </w:pPr>
          <w:r>
            <w:rPr>
              <w:bCs/>
            </w:rPr>
            <w:fldChar w:fldCharType="begin"/>
          </w:r>
          <w:r>
            <w:rPr>
              <w:bCs/>
            </w:rPr>
            <w:instrText xml:space="preserve"> HYPERLINK \l _Toc26219 </w:instrText>
          </w:r>
          <w:r>
            <w:rPr>
              <w:bCs/>
            </w:rPr>
            <w:fldChar w:fldCharType="separate"/>
          </w:r>
          <w:r>
            <w:rPr>
              <w:rFonts w:hint="eastAsia" w:ascii="Times New Roman" w:hAnsi="Times New Roman" w:eastAsia="楷体"/>
              <w:szCs w:val="30"/>
            </w:rPr>
            <w:t>[</w:t>
          </w:r>
          <w:r>
            <w:rPr>
              <w:rFonts w:hint="eastAsia" w:ascii="Times New Roman" w:hAnsi="Times New Roman" w:eastAsia="楷体"/>
              <w:szCs w:val="30"/>
              <w:lang w:val="en-US" w:eastAsia="zh-CN"/>
            </w:rPr>
            <w:t>贵</w:t>
          </w:r>
          <w:r>
            <w:rPr>
              <w:rFonts w:hint="eastAsia" w:ascii="Times New Roman" w:hAnsi="Times New Roman" w:eastAsia="楷体"/>
              <w:szCs w:val="30"/>
            </w:rPr>
            <w:t>金</w:t>
          </w:r>
          <w:r>
            <w:rPr>
              <w:rFonts w:hint="eastAsia" w:ascii="Times New Roman" w:hAnsi="Times New Roman" w:eastAsia="楷体"/>
              <w:szCs w:val="30"/>
              <w:lang w:val="en-US" w:eastAsia="zh-CN"/>
            </w:rPr>
            <w:t>属</w:t>
          </w:r>
          <w:r>
            <w:rPr>
              <w:rFonts w:hint="eastAsia" w:ascii="Times New Roman" w:hAnsi="Times New Roman" w:eastAsia="楷体"/>
              <w:szCs w:val="30"/>
            </w:rPr>
            <w:t>]</w:t>
          </w:r>
          <w:r>
            <w:rPr>
              <w:bCs/>
            </w:rPr>
            <w:fldChar w:fldCharType="end"/>
          </w:r>
        </w:p>
        <w:p>
          <w:pPr>
            <w:pStyle w:val="6"/>
            <w:tabs>
              <w:tab w:val="right" w:leader="dot" w:pos="8306"/>
            </w:tabs>
          </w:pPr>
          <w:r>
            <w:rPr>
              <w:bCs/>
            </w:rPr>
            <w:fldChar w:fldCharType="begin"/>
          </w:r>
          <w:r>
            <w:rPr>
              <w:bCs/>
            </w:rPr>
            <w:instrText xml:space="preserve"> HYPERLINK \l _Toc15549 </w:instrText>
          </w:r>
          <w:r>
            <w:rPr>
              <w:bCs/>
            </w:rPr>
            <w:fldChar w:fldCharType="separate"/>
          </w:r>
          <w:r>
            <w:rPr>
              <w:rFonts w:hint="eastAsia" w:ascii="Times New Roman" w:hAnsi="Times New Roman" w:eastAsia="楷体"/>
              <w:szCs w:val="24"/>
            </w:rPr>
            <w:t>贵金属：</w:t>
          </w:r>
          <w:r>
            <w:rPr>
              <w:rFonts w:hint="eastAsia" w:ascii="Times New Roman" w:hAnsi="Times New Roman" w:eastAsia="楷体"/>
              <w:szCs w:val="24"/>
              <w:highlight w:val="none"/>
            </w:rPr>
            <w:t>美国四季度GDP增速高于预期，外盘金价小幅回调</w:t>
          </w:r>
          <w:r>
            <w:rPr>
              <w:bCs/>
            </w:rPr>
            <w:fldChar w:fldCharType="end"/>
          </w:r>
        </w:p>
        <w:p>
          <w:pPr>
            <w:pStyle w:val="5"/>
            <w:tabs>
              <w:tab w:val="right" w:leader="dot" w:pos="8306"/>
            </w:tabs>
          </w:pPr>
          <w:r>
            <w:rPr>
              <w:bCs/>
            </w:rPr>
            <w:fldChar w:fldCharType="begin"/>
          </w:r>
          <w:r>
            <w:rPr>
              <w:bCs/>
            </w:rPr>
            <w:instrText xml:space="preserve"> HYPERLINK \l _Toc9574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_Toc8323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预期较好，开门红概率较大</w:t>
          </w:r>
          <w:r>
            <w:rPr>
              <w:bCs/>
            </w:rPr>
            <w:fldChar w:fldCharType="end"/>
          </w:r>
        </w:p>
        <w:p>
          <w:pPr>
            <w:pStyle w:val="6"/>
            <w:tabs>
              <w:tab w:val="right" w:leader="dot" w:pos="8306"/>
            </w:tabs>
          </w:pPr>
          <w:r>
            <w:rPr>
              <w:bCs/>
            </w:rPr>
            <w:fldChar w:fldCharType="begin"/>
          </w:r>
          <w:r>
            <w:rPr>
              <w:bCs/>
            </w:rPr>
            <w:instrText xml:space="preserve"> HYPERLINK \l _Toc26642 </w:instrText>
          </w:r>
          <w:r>
            <w:rPr>
              <w:bCs/>
            </w:rPr>
            <w:fldChar w:fldCharType="separate"/>
          </w:r>
          <w:r>
            <w:rPr>
              <w:rFonts w:hint="eastAsia" w:ascii="楷体" w:hAnsi="楷体" w:eastAsia="楷体"/>
              <w:szCs w:val="24"/>
            </w:rPr>
            <w:t>焦炭：随成材波动，偏强运行</w:t>
          </w:r>
          <w:r>
            <w:rPr>
              <w:bCs/>
            </w:rPr>
            <w:fldChar w:fldCharType="end"/>
          </w:r>
        </w:p>
        <w:p>
          <w:pPr>
            <w:pStyle w:val="6"/>
            <w:tabs>
              <w:tab w:val="right" w:leader="dot" w:pos="8306"/>
            </w:tabs>
          </w:pPr>
          <w:r>
            <w:rPr>
              <w:bCs/>
            </w:rPr>
            <w:fldChar w:fldCharType="begin"/>
          </w:r>
          <w:r>
            <w:rPr>
              <w:bCs/>
            </w:rPr>
            <w:instrText xml:space="preserve"> HYPERLINK \l _Toc7712 </w:instrText>
          </w:r>
          <w:r>
            <w:rPr>
              <w:bCs/>
            </w:rPr>
            <w:fldChar w:fldCharType="separate"/>
          </w:r>
          <w:r>
            <w:rPr>
              <w:rFonts w:hint="eastAsia" w:ascii="楷体" w:hAnsi="楷体" w:eastAsia="楷体"/>
              <w:szCs w:val="24"/>
            </w:rPr>
            <w:t>焦煤：补库较为确定，偏强运行</w:t>
          </w:r>
          <w:r>
            <w:rPr>
              <w:bCs/>
            </w:rPr>
            <w:fldChar w:fldCharType="end"/>
          </w:r>
        </w:p>
        <w:p>
          <w:pPr>
            <w:pStyle w:val="6"/>
            <w:tabs>
              <w:tab w:val="right" w:leader="dot" w:pos="8306"/>
            </w:tabs>
          </w:pPr>
          <w:r>
            <w:rPr>
              <w:bCs/>
            </w:rPr>
            <w:fldChar w:fldCharType="begin"/>
          </w:r>
          <w:r>
            <w:rPr>
              <w:bCs/>
            </w:rPr>
            <w:instrText xml:space="preserve"> HYPERLINK \l _Toc28533 </w:instrText>
          </w:r>
          <w:r>
            <w:rPr>
              <w:bCs/>
            </w:rPr>
            <w:fldChar w:fldCharType="separate"/>
          </w:r>
          <w:r>
            <w:rPr>
              <w:rFonts w:hint="eastAsia" w:ascii="楷体" w:hAnsi="楷体" w:eastAsia="楷体"/>
              <w:szCs w:val="24"/>
            </w:rPr>
            <w:t>铜：国内强复苏预期将驱动铜价维持偏强运行</w:t>
          </w:r>
          <w:r>
            <w:rPr>
              <w:bCs/>
            </w:rPr>
            <w:fldChar w:fldCharType="end"/>
          </w:r>
        </w:p>
        <w:p>
          <w:pPr>
            <w:pStyle w:val="6"/>
            <w:tabs>
              <w:tab w:val="right" w:leader="dot" w:pos="8306"/>
            </w:tabs>
          </w:pPr>
          <w:r>
            <w:rPr>
              <w:bCs/>
            </w:rPr>
            <w:fldChar w:fldCharType="begin"/>
          </w:r>
          <w:r>
            <w:rPr>
              <w:bCs/>
            </w:rPr>
            <w:instrText xml:space="preserve"> HYPERLINK \l _Toc5096 </w:instrText>
          </w:r>
          <w:r>
            <w:rPr>
              <w:bCs/>
            </w:rPr>
            <w:fldChar w:fldCharType="separate"/>
          </w:r>
          <w:r>
            <w:rPr>
              <w:rFonts w:hint="eastAsia" w:ascii="楷体" w:hAnsi="楷体" w:eastAsia="楷体"/>
              <w:szCs w:val="24"/>
            </w:rPr>
            <w:t>铝：假期伦铝先涨后跌，节后价格变化需求主导</w:t>
          </w:r>
          <w:r>
            <w:rPr>
              <w:bCs/>
            </w:rPr>
            <w:fldChar w:fldCharType="end"/>
          </w:r>
        </w:p>
        <w:p>
          <w:pPr>
            <w:pStyle w:val="6"/>
            <w:tabs>
              <w:tab w:val="right" w:leader="dot" w:pos="8306"/>
            </w:tabs>
          </w:pPr>
          <w:r>
            <w:rPr>
              <w:bCs/>
            </w:rPr>
            <w:fldChar w:fldCharType="begin"/>
          </w:r>
          <w:r>
            <w:rPr>
              <w:bCs/>
            </w:rPr>
            <w:instrText xml:space="preserve"> HYPERLINK \l _Toc17519 </w:instrText>
          </w:r>
          <w:r>
            <w:rPr>
              <w:bCs/>
            </w:rPr>
            <w:fldChar w:fldCharType="separate"/>
          </w:r>
          <w:r>
            <w:rPr>
              <w:rFonts w:hint="eastAsia" w:ascii="楷体" w:hAnsi="楷体" w:eastAsia="楷体"/>
              <w:szCs w:val="24"/>
            </w:rPr>
            <w:t>锌：锌市供需修复可期，短期价格仍以震荡为主</w:t>
          </w:r>
          <w:r>
            <w:rPr>
              <w:bCs/>
            </w:rPr>
            <w:fldChar w:fldCharType="end"/>
          </w:r>
        </w:p>
        <w:p>
          <w:pPr>
            <w:pStyle w:val="6"/>
            <w:tabs>
              <w:tab w:val="right" w:leader="dot" w:pos="8306"/>
            </w:tabs>
          </w:pPr>
          <w:r>
            <w:rPr>
              <w:bCs/>
            </w:rPr>
            <w:fldChar w:fldCharType="begin"/>
          </w:r>
          <w:r>
            <w:rPr>
              <w:bCs/>
            </w:rPr>
            <w:instrText xml:space="preserve"> HYPERLINK \l _Toc25514 </w:instrText>
          </w:r>
          <w:r>
            <w:rPr>
              <w:bCs/>
            </w:rPr>
            <w:fldChar w:fldCharType="separate"/>
          </w:r>
          <w:r>
            <w:rPr>
              <w:rFonts w:hint="eastAsia" w:ascii="楷体" w:hAnsi="楷体" w:eastAsia="楷体"/>
              <w:szCs w:val="24"/>
            </w:rPr>
            <w:t>镍：低库存及复苏强预期支撑短期价格高位运行</w:t>
          </w:r>
          <w:r>
            <w:rPr>
              <w:bCs/>
            </w:rPr>
            <w:fldChar w:fldCharType="end"/>
          </w:r>
        </w:p>
        <w:p>
          <w:pPr>
            <w:pStyle w:val="6"/>
            <w:tabs>
              <w:tab w:val="right" w:leader="dot" w:pos="8306"/>
            </w:tabs>
          </w:pPr>
          <w:r>
            <w:rPr>
              <w:bCs/>
            </w:rPr>
            <w:fldChar w:fldCharType="begin"/>
          </w:r>
          <w:r>
            <w:rPr>
              <w:bCs/>
            </w:rPr>
            <w:instrText xml:space="preserve"> HYPERLINK \l _Toc5176 </w:instrText>
          </w:r>
          <w:r>
            <w:rPr>
              <w:bCs/>
            </w:rPr>
            <w:fldChar w:fldCharType="separate"/>
          </w:r>
          <w:r>
            <w:rPr>
              <w:rFonts w:hint="eastAsia" w:ascii="楷体" w:hAnsi="楷体" w:eastAsia="楷体"/>
              <w:szCs w:val="24"/>
            </w:rPr>
            <w:t>不锈钢：社库累积持续施压价格，震荡为主</w:t>
          </w:r>
          <w:r>
            <w:rPr>
              <w:bCs/>
            </w:rPr>
            <w:fldChar w:fldCharType="end"/>
          </w:r>
        </w:p>
        <w:p>
          <w:pPr>
            <w:pStyle w:val="6"/>
            <w:tabs>
              <w:tab w:val="right" w:leader="dot" w:pos="8306"/>
            </w:tabs>
          </w:pPr>
          <w:r>
            <w:rPr>
              <w:bCs/>
            </w:rPr>
            <w:fldChar w:fldCharType="begin"/>
          </w:r>
          <w:r>
            <w:rPr>
              <w:bCs/>
            </w:rPr>
            <w:instrText xml:space="preserve"> HYPERLINK \l _Toc13760 </w:instrText>
          </w:r>
          <w:r>
            <w:rPr>
              <w:bCs/>
            </w:rPr>
            <w:fldChar w:fldCharType="separate"/>
          </w:r>
          <w:r>
            <w:rPr>
              <w:rFonts w:hint="eastAsia" w:ascii="楷体" w:hAnsi="楷体" w:eastAsia="楷体"/>
              <w:szCs w:val="24"/>
            </w:rPr>
            <w:t>工业硅：强预期支撑硅价，弱现实或仍将压制持续反弹空间</w:t>
          </w:r>
          <w:r>
            <w:rPr>
              <w:bCs/>
            </w:rPr>
            <w:fldChar w:fldCharType="end"/>
          </w:r>
        </w:p>
        <w:p>
          <w:pPr>
            <w:pStyle w:val="5"/>
            <w:tabs>
              <w:tab w:val="right" w:leader="dot" w:pos="8306"/>
            </w:tabs>
          </w:pPr>
          <w:r>
            <w:rPr>
              <w:bCs/>
            </w:rPr>
            <w:fldChar w:fldCharType="begin"/>
          </w:r>
          <w:r>
            <w:rPr>
              <w:bCs/>
            </w:rPr>
            <w:instrText xml:space="preserve"> HYPERLINK \l _Toc23998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_Toc3446 </w:instrText>
          </w:r>
          <w:r>
            <w:rPr>
              <w:bCs/>
            </w:rPr>
            <w:fldChar w:fldCharType="separate"/>
          </w:r>
          <w:r>
            <w:rPr>
              <w:rFonts w:hint="eastAsia" w:ascii="Times New Roman" w:hAnsi="Times New Roman" w:eastAsia="楷体"/>
              <w:szCs w:val="24"/>
            </w:rPr>
            <w:t>乙二醇：节前维持区间操作</w:t>
          </w:r>
          <w:r>
            <w:rPr>
              <w:bCs/>
            </w:rPr>
            <w:fldChar w:fldCharType="end"/>
          </w:r>
        </w:p>
        <w:p>
          <w:pPr>
            <w:pStyle w:val="6"/>
            <w:tabs>
              <w:tab w:val="right" w:leader="dot" w:pos="8306"/>
            </w:tabs>
          </w:pPr>
          <w:r>
            <w:rPr>
              <w:bCs/>
            </w:rPr>
            <w:fldChar w:fldCharType="begin"/>
          </w:r>
          <w:r>
            <w:rPr>
              <w:bCs/>
            </w:rPr>
            <w:instrText xml:space="preserve"> HYPERLINK \l _Toc24295 </w:instrText>
          </w:r>
          <w:r>
            <w:rPr>
              <w:bCs/>
            </w:rPr>
            <w:fldChar w:fldCharType="separate"/>
          </w:r>
          <w:r>
            <w:rPr>
              <w:rFonts w:ascii="楷体" w:hAnsi="楷体" w:eastAsia="楷体"/>
              <w:szCs w:val="24"/>
            </w:rPr>
            <w:t>PTA</w:t>
          </w:r>
          <w:r>
            <w:rPr>
              <w:rFonts w:hint="eastAsia" w:ascii="楷体" w:hAnsi="楷体" w:eastAsia="楷体"/>
              <w:szCs w:val="24"/>
            </w:rPr>
            <w:t>：市场看涨情绪高涨  早盘有望高开</w:t>
          </w:r>
          <w:r>
            <w:rPr>
              <w:bCs/>
            </w:rPr>
            <w:fldChar w:fldCharType="end"/>
          </w:r>
        </w:p>
        <w:p>
          <w:pPr>
            <w:pStyle w:val="6"/>
            <w:tabs>
              <w:tab w:val="right" w:leader="dot" w:pos="8306"/>
            </w:tabs>
          </w:pPr>
          <w:r>
            <w:rPr>
              <w:bCs/>
            </w:rPr>
            <w:fldChar w:fldCharType="begin"/>
          </w:r>
          <w:r>
            <w:rPr>
              <w:bCs/>
            </w:rPr>
            <w:instrText xml:space="preserve"> HYPERLINK \l _Toc438 </w:instrText>
          </w:r>
          <w:r>
            <w:rPr>
              <w:bCs/>
            </w:rPr>
            <w:fldChar w:fldCharType="separate"/>
          </w:r>
          <w:r>
            <w:rPr>
              <w:rFonts w:hint="eastAsia" w:ascii="楷体" w:hAnsi="楷体" w:eastAsia="楷体"/>
              <w:szCs w:val="24"/>
            </w:rPr>
            <w:t>PVC:</w:t>
          </w:r>
          <w:r>
            <w:rPr>
              <w:rFonts w:hint="eastAsia" w:ascii="楷体" w:hAnsi="楷体" w:eastAsia="楷体"/>
              <w:szCs w:val="24"/>
              <w:lang w:val="en-US" w:eastAsia="zh-CN"/>
            </w:rPr>
            <w:t xml:space="preserve"> </w:t>
          </w:r>
          <w:r>
            <w:rPr>
              <w:rFonts w:hint="eastAsia" w:ascii="楷体" w:hAnsi="楷体" w:eastAsia="楷体"/>
              <w:szCs w:val="24"/>
            </w:rPr>
            <w:t>强预期及出口增量提振 关注回调加多的机会</w:t>
          </w:r>
          <w:r>
            <w:rPr>
              <w:bCs/>
            </w:rPr>
            <w:fldChar w:fldCharType="end"/>
          </w:r>
        </w:p>
        <w:p>
          <w:pPr>
            <w:pStyle w:val="6"/>
            <w:tabs>
              <w:tab w:val="right" w:leader="dot" w:pos="8306"/>
            </w:tabs>
          </w:pPr>
          <w:r>
            <w:rPr>
              <w:bCs/>
            </w:rPr>
            <w:fldChar w:fldCharType="begin"/>
          </w:r>
          <w:r>
            <w:rPr>
              <w:bCs/>
            </w:rPr>
            <w:instrText xml:space="preserve"> HYPERLINK \l _Toc26895 </w:instrText>
          </w:r>
          <w:r>
            <w:rPr>
              <w:bCs/>
            </w:rPr>
            <w:fldChar w:fldCharType="separate"/>
          </w:r>
          <w:r>
            <w:rPr>
              <w:rFonts w:hint="eastAsia" w:ascii="楷体" w:hAnsi="楷体" w:eastAsia="楷体"/>
              <w:szCs w:val="24"/>
            </w:rPr>
            <w:t>聚烯烃：节后下游产能利用率回升，聚烯烃或窄幅整理</w:t>
          </w:r>
          <w:r>
            <w:rPr>
              <w:bCs/>
            </w:rPr>
            <w:fldChar w:fldCharType="end"/>
          </w:r>
        </w:p>
        <w:p>
          <w:pPr>
            <w:pStyle w:val="5"/>
            <w:tabs>
              <w:tab w:val="right" w:leader="dot" w:pos="8306"/>
            </w:tabs>
          </w:pPr>
          <w:r>
            <w:rPr>
              <w:bCs/>
            </w:rPr>
            <w:fldChar w:fldCharType="begin"/>
          </w:r>
          <w:r>
            <w:rPr>
              <w:bCs/>
            </w:rPr>
            <w:instrText xml:space="preserve"> HYPERLINK \l _Toc17446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_Toc15919 </w:instrText>
          </w:r>
          <w:r>
            <w:rPr>
              <w:bCs/>
            </w:rPr>
            <w:fldChar w:fldCharType="separate"/>
          </w:r>
          <w:r>
            <w:rPr>
              <w:rFonts w:hint="eastAsia" w:ascii="楷体" w:hAnsi="楷体" w:eastAsia="楷体"/>
              <w:szCs w:val="24"/>
            </w:rPr>
            <w:t>豆粕：短期维持高位波动，跌幅有限</w:t>
          </w:r>
          <w:r>
            <w:rPr>
              <w:bCs/>
            </w:rPr>
            <w:fldChar w:fldCharType="end"/>
          </w:r>
        </w:p>
        <w:p>
          <w:pPr>
            <w:pStyle w:val="6"/>
            <w:tabs>
              <w:tab w:val="right" w:leader="dot" w:pos="8306"/>
            </w:tabs>
          </w:pPr>
          <w:r>
            <w:rPr>
              <w:bCs/>
            </w:rPr>
            <w:fldChar w:fldCharType="begin"/>
          </w:r>
          <w:r>
            <w:rPr>
              <w:bCs/>
            </w:rPr>
            <w:instrText xml:space="preserve"> HYPERLINK \l _Toc12820 </w:instrText>
          </w:r>
          <w:r>
            <w:rPr>
              <w:bCs/>
            </w:rPr>
            <w:fldChar w:fldCharType="separate"/>
          </w:r>
          <w:r>
            <w:rPr>
              <w:rFonts w:hint="eastAsia" w:ascii="楷体" w:hAnsi="楷体" w:eastAsia="楷体"/>
              <w:szCs w:val="24"/>
            </w:rPr>
            <w:t>油脂：需求修复或带来支撑</w:t>
          </w:r>
          <w:r>
            <w:rPr>
              <w:bCs/>
            </w:rPr>
            <w:fldChar w:fldCharType="end"/>
          </w:r>
        </w:p>
        <w:p>
          <w:pPr>
            <w:pStyle w:val="6"/>
            <w:tabs>
              <w:tab w:val="right" w:leader="dot" w:pos="8306"/>
            </w:tabs>
          </w:pPr>
          <w:r>
            <w:rPr>
              <w:bCs/>
            </w:rPr>
            <w:fldChar w:fldCharType="begin"/>
          </w:r>
          <w:r>
            <w:rPr>
              <w:bCs/>
            </w:rPr>
            <w:instrText xml:space="preserve"> HYPERLINK \l _Toc25753 </w:instrText>
          </w:r>
          <w:r>
            <w:rPr>
              <w:bCs/>
            </w:rPr>
            <w:fldChar w:fldCharType="separate"/>
          </w:r>
          <w:r>
            <w:rPr>
              <w:rFonts w:hint="eastAsia" w:ascii="楷体" w:hAnsi="楷体" w:eastAsia="楷体"/>
              <w:bCs/>
            </w:rPr>
            <w:t>玉米与淀粉：</w:t>
          </w:r>
          <w:r>
            <w:rPr>
              <w:rFonts w:hint="eastAsia" w:ascii="楷体" w:hAnsi="楷体" w:eastAsia="楷体"/>
            </w:rPr>
            <w:t>关注节后余粮压力</w:t>
          </w:r>
          <w:r>
            <w:rPr>
              <w:bCs/>
            </w:rPr>
            <w:fldChar w:fldCharType="end"/>
          </w:r>
        </w:p>
        <w:p>
          <w:pPr>
            <w:pStyle w:val="6"/>
            <w:tabs>
              <w:tab w:val="right" w:leader="dot" w:pos="8306"/>
            </w:tabs>
          </w:pPr>
          <w:r>
            <w:rPr>
              <w:bCs/>
            </w:rPr>
            <w:fldChar w:fldCharType="begin"/>
          </w:r>
          <w:r>
            <w:rPr>
              <w:bCs/>
            </w:rPr>
            <w:instrText xml:space="preserve"> HYPERLINK \l _Toc17891 </w:instrText>
          </w:r>
          <w:r>
            <w:rPr>
              <w:bCs/>
            </w:rPr>
            <w:fldChar w:fldCharType="separate"/>
          </w:r>
          <w:r>
            <w:rPr>
              <w:rFonts w:hint="eastAsia" w:ascii="楷体" w:hAnsi="楷体" w:eastAsia="楷体"/>
              <w:bCs/>
            </w:rPr>
            <w:t>畜禽养殖：鸡蛋现货止跌反弹</w:t>
          </w:r>
          <w:r>
            <w:rPr>
              <w:bCs/>
            </w:rPr>
            <w:fldChar w:fldCharType="end"/>
          </w:r>
        </w:p>
        <w:p>
          <w:pPr>
            <w:pStyle w:val="6"/>
            <w:tabs>
              <w:tab w:val="right" w:leader="dot" w:pos="8306"/>
            </w:tabs>
          </w:pPr>
          <w:r>
            <w:rPr>
              <w:bCs/>
            </w:rPr>
            <w:fldChar w:fldCharType="begin"/>
          </w:r>
          <w:r>
            <w:rPr>
              <w:bCs/>
            </w:rPr>
            <w:instrText xml:space="preserve"> HYPERLINK \l _Toc3368 </w:instrText>
          </w:r>
          <w:r>
            <w:rPr>
              <w:bCs/>
            </w:rPr>
            <w:fldChar w:fldCharType="separate"/>
          </w:r>
          <w:r>
            <w:rPr>
              <w:rFonts w:hint="eastAsia" w:ascii="楷体" w:hAnsi="楷体" w:eastAsia="楷体"/>
              <w:szCs w:val="24"/>
            </w:rPr>
            <w:t>郑棉：预计高开后震荡，节前多单继续持有，也可部分提前止盈</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15766"/>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965"/>
      <w:bookmarkStart w:id="5" w:name="_Toc16295"/>
      <w:bookmarkStart w:id="6" w:name="_Toc16545"/>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低多IM</w:t>
      </w:r>
      <w:bookmarkEnd w:id="6"/>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春节期间，各方表现基本与节前市场共识吻合，海外权益市场整体震荡上行，人民币汇率保持强势，节后国内市场大概率延续春季行情演绎。考虑节前部分板块市场情绪已处于相对高位，且未来一段时间仍处于数据验证窗口期，市场对于疫后复苏情况会提出更高的要求，短期冲高后或有一定压力，而在两会窗口及“中强美弱”逻辑支撑下，一季度市场整体或呈震荡上行态势。建议仍以低位布局思路IM为主，多单持有者可适当进行高抛低吸波段操作。</w:t>
      </w:r>
    </w:p>
    <w:p>
      <w:pPr>
        <w:pBdr>
          <w:top w:val="single" w:color="auto" w:sz="4" w:space="0"/>
        </w:pBdr>
        <w:outlineLvl w:val="0"/>
        <w:rPr>
          <w:rFonts w:ascii="Times New Roman" w:hAnsi="Times New Roman" w:eastAsia="楷体"/>
          <w:b/>
          <w:color w:val="823C0B"/>
        </w:rPr>
      </w:pPr>
      <w:bookmarkStart w:id="7" w:name="_Toc26219"/>
      <w:r>
        <w:rPr>
          <w:rFonts w:hint="eastAsia" w:ascii="Times New Roman" w:hAnsi="Times New Roman" w:eastAsia="楷体"/>
          <w:b/>
          <w:color w:val="823C0B"/>
          <w:sz w:val="30"/>
          <w:szCs w:val="30"/>
        </w:rPr>
        <w:t>[</w:t>
      </w:r>
      <w:r>
        <w:rPr>
          <w:rFonts w:hint="eastAsia" w:ascii="Times New Roman" w:hAnsi="Times New Roman" w:eastAsia="楷体"/>
          <w:b/>
          <w:color w:val="823C0B"/>
          <w:sz w:val="30"/>
          <w:szCs w:val="30"/>
          <w:lang w:val="en-US" w:eastAsia="zh-CN"/>
        </w:rPr>
        <w:t>贵</w:t>
      </w:r>
      <w:r>
        <w:rPr>
          <w:rFonts w:hint="eastAsia" w:ascii="Times New Roman" w:hAnsi="Times New Roman" w:eastAsia="楷体"/>
          <w:b/>
          <w:color w:val="823C0B"/>
          <w:sz w:val="30"/>
          <w:szCs w:val="30"/>
        </w:rPr>
        <w:t>金</w:t>
      </w:r>
      <w:r>
        <w:rPr>
          <w:rFonts w:hint="eastAsia" w:ascii="Times New Roman" w:hAnsi="Times New Roman" w:eastAsia="楷体"/>
          <w:b/>
          <w:color w:val="823C0B"/>
          <w:sz w:val="30"/>
          <w:szCs w:val="30"/>
          <w:lang w:val="en-US" w:eastAsia="zh-CN"/>
        </w:rPr>
        <w:t>属</w:t>
      </w:r>
      <w:r>
        <w:rPr>
          <w:rFonts w:hint="eastAsia" w:ascii="Times New Roman" w:hAnsi="Times New Roman" w:eastAsia="楷体"/>
          <w:b/>
          <w:color w:val="823C0B"/>
          <w:sz w:val="30"/>
          <w:szCs w:val="30"/>
        </w:rPr>
        <w:t>]</w:t>
      </w:r>
      <w:bookmarkEnd w:id="7"/>
    </w:p>
    <w:p>
      <w:pPr>
        <w:ind w:left="420" w:leftChars="200"/>
        <w:outlineLvl w:val="1"/>
        <w:rPr>
          <w:rFonts w:hint="eastAsia" w:ascii="Times New Roman" w:hAnsi="Times New Roman" w:eastAsia="楷体"/>
          <w:b/>
          <w:color w:val="000000" w:themeColor="text1"/>
          <w:sz w:val="24"/>
          <w:szCs w:val="24"/>
          <w:highlight w:val="none"/>
          <w14:textFill>
            <w14:solidFill>
              <w14:schemeClr w14:val="tx1"/>
            </w14:solidFill>
          </w14:textFill>
        </w:rPr>
      </w:pPr>
      <w:bookmarkStart w:id="8" w:name="_Toc15549"/>
      <w:r>
        <w:rPr>
          <w:rFonts w:hint="eastAsia" w:ascii="Times New Roman" w:hAnsi="Times New Roman" w:eastAsia="楷体"/>
          <w:b/>
          <w:color w:val="000000" w:themeColor="text1"/>
          <w:sz w:val="24"/>
          <w:szCs w:val="24"/>
          <w14:textFill>
            <w14:solidFill>
              <w14:schemeClr w14:val="tx1"/>
            </w14:solidFill>
          </w14:textFill>
        </w:rPr>
        <w:t>贵金属：</w:t>
      </w:r>
      <w:r>
        <w:rPr>
          <w:rFonts w:hint="eastAsia" w:ascii="Times New Roman" w:hAnsi="Times New Roman" w:eastAsia="楷体"/>
          <w:b/>
          <w:color w:val="000000" w:themeColor="text1"/>
          <w:sz w:val="24"/>
          <w:szCs w:val="24"/>
          <w:highlight w:val="none"/>
          <w14:textFill>
            <w14:solidFill>
              <w14:schemeClr w14:val="tx1"/>
            </w14:solidFill>
          </w14:textFill>
        </w:rPr>
        <w:t>美国四季度GDP增速高于预期，外盘金价小幅回调</w:t>
      </w:r>
      <w:bookmarkEnd w:id="8"/>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截止1月27日收盘，外盘COMEX黄金期货主力月涨5.33%，报1927.6美元/盎司；COMEX白银期货主力月跌1.88%，报23.725美元/盎司；内盘春节期间休市，沪金主力1月20日下午收盘报423.50元/克，月涨3.11%；沪银主力报5311元/千克，月跌0.97%。春节期间公布的美国四季度GDP、核心通胀数据表现好于市场预期，贵金属价格冲高回落。美联储货币政策边际放缓相对利好金价表现，随着国内经济稳步复苏，人民币汇率或维持偏强走势，内盘贵金属价格或相对略弱于外盘，开盘后贵金属价格或小幅跳空低开，随后维持偏强震荡。操作建议沪金、沪银回踩逢低做多，多单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9" w:name="金属"/>
      <w:bookmarkStart w:id="10" w:name="_Toc3096"/>
      <w:bookmarkStart w:id="11" w:name="_Toc20891"/>
      <w:bookmarkStart w:id="12" w:name="_Toc9574"/>
      <w:bookmarkStart w:id="13" w:name="农产品"/>
      <w:r>
        <w:rPr>
          <w:rFonts w:hint="eastAsia" w:ascii="Times New Roman" w:hAnsi="Times New Roman" w:eastAsia="楷体"/>
          <w:b/>
          <w:color w:val="823C0B"/>
          <w:sz w:val="30"/>
          <w:szCs w:val="30"/>
        </w:rPr>
        <w:t>[金属]</w:t>
      </w:r>
      <w:bookmarkEnd w:id="9"/>
      <w:bookmarkEnd w:id="10"/>
      <w:bookmarkEnd w:id="11"/>
      <w:bookmarkEnd w:id="12"/>
    </w:p>
    <w:p>
      <w:pPr>
        <w:ind w:left="420" w:leftChars="200"/>
        <w:outlineLvl w:val="1"/>
        <w:rPr>
          <w:rFonts w:ascii="楷体" w:hAnsi="楷体" w:eastAsia="楷体"/>
          <w:b/>
          <w:color w:val="000000" w:themeColor="text1"/>
          <w:sz w:val="24"/>
          <w:szCs w:val="24"/>
          <w14:textFill>
            <w14:solidFill>
              <w14:schemeClr w14:val="tx1"/>
            </w14:solidFill>
          </w14:textFill>
        </w:rPr>
      </w:pPr>
      <w:bookmarkStart w:id="14" w:name="_Toc27831"/>
      <w:bookmarkStart w:id="15" w:name="_Toc5371"/>
      <w:bookmarkStart w:id="16" w:name="_Toc8323"/>
      <w:r>
        <w:rPr>
          <w:rFonts w:hint="eastAsia" w:ascii="楷体" w:hAnsi="楷体" w:eastAsia="楷体"/>
          <w:b/>
          <w:color w:val="000000" w:themeColor="text1"/>
          <w:sz w:val="24"/>
          <w:szCs w:val="24"/>
          <w14:textFill>
            <w14:solidFill>
              <w14:schemeClr w14:val="tx1"/>
            </w14:solidFill>
          </w14:textFill>
        </w:rPr>
        <w:t>螺纹钢：</w:t>
      </w:r>
      <w:bookmarkEnd w:id="14"/>
      <w:bookmarkEnd w:id="15"/>
      <w:r>
        <w:rPr>
          <w:rFonts w:hint="eastAsia" w:ascii="楷体" w:hAnsi="楷体" w:eastAsia="楷体"/>
          <w:b/>
          <w:color w:val="000000" w:themeColor="text1"/>
          <w:sz w:val="24"/>
          <w:szCs w:val="24"/>
          <w:highlight w:val="none"/>
          <w14:textFill>
            <w14:solidFill>
              <w14:schemeClr w14:val="tx1"/>
            </w14:solidFill>
          </w14:textFill>
        </w:rPr>
        <w:t>预期较好，开门红概率较大</w:t>
      </w:r>
      <w:bookmarkEnd w:id="1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国内电影票房、旅游等消费复苏表现较好，春运交通返工情况较好，强预期或持续。建议以短线逢低轻仓试多为主，螺纹钢波动区间（4100,4250）。</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7" w:name="_Toc4790"/>
      <w:bookmarkStart w:id="18" w:name="_Toc11356"/>
      <w:bookmarkStart w:id="19" w:name="_Toc26642"/>
      <w:r>
        <w:rPr>
          <w:rFonts w:hint="eastAsia" w:ascii="楷体" w:hAnsi="楷体" w:eastAsia="楷体"/>
          <w:b/>
          <w:color w:val="000000" w:themeColor="text1"/>
          <w:sz w:val="24"/>
          <w:szCs w:val="24"/>
          <w14:textFill>
            <w14:solidFill>
              <w14:schemeClr w14:val="tx1"/>
            </w14:solidFill>
          </w14:textFill>
        </w:rPr>
        <w:t>焦炭：</w:t>
      </w:r>
      <w:bookmarkEnd w:id="17"/>
      <w:bookmarkEnd w:id="18"/>
      <w:r>
        <w:rPr>
          <w:rFonts w:hint="eastAsia" w:ascii="楷体" w:hAnsi="楷体" w:eastAsia="楷体"/>
          <w:b/>
          <w:color w:val="000000" w:themeColor="text1"/>
          <w:sz w:val="24"/>
          <w:szCs w:val="24"/>
          <w14:textFill>
            <w14:solidFill>
              <w14:schemeClr w14:val="tx1"/>
            </w14:solidFill>
          </w14:textFill>
        </w:rPr>
        <w:t>随成材波动，偏强运行</w:t>
      </w:r>
      <w:bookmarkEnd w:id="1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盘面修复基差后随成材震荡运行，现货提涨提降博弈较重，但补库预期较强下，预计盘面震荡运行区间（2830,2980）。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20" w:name="_Toc7712"/>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补库较为确定，偏强运行</w:t>
      </w:r>
      <w:bookmarkEnd w:id="20"/>
    </w:p>
    <w:p>
      <w:pPr>
        <w:ind w:left="630" w:leftChars="300"/>
        <w:rPr>
          <w:rFonts w:ascii="楷体" w:hAnsi="楷体" w:eastAsia="楷体"/>
          <w:bCs/>
          <w:sz w:val="24"/>
          <w:szCs w:val="24"/>
        </w:rPr>
      </w:pPr>
      <w:r>
        <w:rPr>
          <w:rFonts w:hint="eastAsia" w:ascii="楷体" w:hAnsi="楷体" w:eastAsia="楷体"/>
          <w:sz w:val="24"/>
          <w:szCs w:val="24"/>
        </w:rPr>
        <w:t>蒙煤涨跌互现，下游低库存、高产量下补库需求较为确定，随成材偏强震荡，预计运行区间（1850,1950）。</w:t>
      </w:r>
    </w:p>
    <w:p>
      <w:pPr>
        <w:ind w:firstLine="480" w:firstLineChars="200"/>
        <w:rPr>
          <w:rFonts w:ascii="楷体" w:hAnsi="楷体" w:eastAsia="楷体"/>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5617"/>
      <w:bookmarkStart w:id="22" w:name="_Toc9719"/>
      <w:bookmarkStart w:id="23" w:name="_Toc28533"/>
      <w:r>
        <w:rPr>
          <w:rFonts w:hint="eastAsia" w:ascii="楷体" w:hAnsi="楷体" w:eastAsia="楷体"/>
          <w:b/>
          <w:color w:val="000000" w:themeColor="text1"/>
          <w:sz w:val="24"/>
          <w:szCs w:val="24"/>
          <w14:textFill>
            <w14:solidFill>
              <w14:schemeClr w14:val="tx1"/>
            </w14:solidFill>
          </w14:textFill>
        </w:rPr>
        <w:t>铜：</w:t>
      </w:r>
      <w:bookmarkEnd w:id="21"/>
      <w:bookmarkEnd w:id="22"/>
      <w:r>
        <w:rPr>
          <w:rFonts w:hint="eastAsia" w:ascii="楷体" w:hAnsi="楷体" w:eastAsia="楷体"/>
          <w:b/>
          <w:color w:val="000000" w:themeColor="text1"/>
          <w:sz w:val="24"/>
          <w:szCs w:val="24"/>
          <w14:textFill>
            <w14:solidFill>
              <w14:schemeClr w14:val="tx1"/>
            </w14:solidFill>
          </w14:textFill>
        </w:rPr>
        <w:t>国内强复苏预期将驱动铜价维持偏强运行</w:t>
      </w:r>
      <w:bookmarkEnd w:id="23"/>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(1)宏观：美国第四季度核心PCE物价指数年化季率初值为3.9%，为2021年第一季度以来新低；预期4%，前值4.70%。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(2)库存：截止1月27日LME库存为73975吨，较节前80025吨下降 6050吨。</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春节期间，上期所休市，市场消息面清淡，伦铜高位窄幅运行，区间9280—9420美元，对比节前变动细微。假期期间LME库存也在不断走低，对价格仍有支撑。美国通胀持续回落，联储加息节奏放缓预期进一步强化。国内鉴于宏观政策和疫情放开后保存的强复苏预期，预计节后一段时间铜价或维持偏强运行状态。关注本周联储议息会议。</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6247"/>
      <w:bookmarkStart w:id="25" w:name="_Toc8897"/>
      <w:bookmarkStart w:id="26" w:name="_Toc5096"/>
      <w:r>
        <w:rPr>
          <w:rFonts w:hint="eastAsia" w:ascii="楷体" w:hAnsi="楷体" w:eastAsia="楷体"/>
          <w:b/>
          <w:color w:val="000000" w:themeColor="text1"/>
          <w:sz w:val="24"/>
          <w:szCs w:val="24"/>
          <w14:textFill>
            <w14:solidFill>
              <w14:schemeClr w14:val="tx1"/>
            </w14:solidFill>
          </w14:textFill>
        </w:rPr>
        <w:t>铝：</w:t>
      </w:r>
      <w:bookmarkEnd w:id="24"/>
      <w:bookmarkEnd w:id="25"/>
      <w:r>
        <w:rPr>
          <w:rFonts w:hint="eastAsia" w:ascii="楷体" w:hAnsi="楷体" w:eastAsia="楷体"/>
          <w:b/>
          <w:color w:val="000000" w:themeColor="text1"/>
          <w:sz w:val="24"/>
          <w:szCs w:val="24"/>
          <w14:textFill>
            <w14:solidFill>
              <w14:schemeClr w14:val="tx1"/>
            </w14:solidFill>
          </w14:textFill>
        </w:rPr>
        <w:t>假期伦铝先涨后跌，节后价格变化需求主导</w:t>
      </w:r>
      <w:bookmarkEnd w:id="26"/>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假期美股三大指数齐走高，大宗交投情绪热烈，但有色板块整体表现较为平稳。海内外宏观情绪走强，供需面情况延续节前供需双弱情况仍未改变，节前内盘大幅走高，主导盘面价格走升因子为未来需求有乐观预期，实际节后价格表现仍需密切关注多地产能复工及库存累库情况，预计节后开盘价格直接高开向上可能性较小，短期铝价或在18500-19800区间波动，中长线谨慎看多，建议节后操作逢高做空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7519"/>
      <w:r>
        <w:rPr>
          <w:rFonts w:hint="eastAsia" w:ascii="楷体" w:hAnsi="楷体" w:eastAsia="楷体"/>
          <w:b/>
          <w:color w:val="000000" w:themeColor="text1"/>
          <w:sz w:val="24"/>
          <w:szCs w:val="24"/>
          <w14:textFill>
            <w14:solidFill>
              <w14:schemeClr w14:val="tx1"/>
            </w14:solidFill>
          </w14:textFill>
        </w:rPr>
        <w:t>锌：锌市供需修复可期，短期价格仍以震荡为主</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海内外宏观环境持续改善，海外锌市供需均弱，国内锌市供修需疲，海外电力能源价格走低叠加国内冶炼高利润刺激，减停产能复苏可期，目前伦锌库存持续去库，国内库存季节性累库，国内需求端受到国内地产及基建等经济利好政策支撑，市场对国内需求保持乐观预期。节前内盘价格走势震荡走升，价格上升驱动为低位库存及宏观情绪推动，节后需密接关注锌市供需边际变化情况，短期锌价走势预期将维持宽幅震荡，锌价波动区间为24000-25200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8" w:name="_Toc25514"/>
      <w:r>
        <w:rPr>
          <w:rFonts w:hint="eastAsia" w:ascii="楷体" w:hAnsi="楷体" w:eastAsia="楷体"/>
          <w:b/>
          <w:color w:val="000000" w:themeColor="text1"/>
          <w:sz w:val="24"/>
          <w:szCs w:val="24"/>
          <w14:textFill>
            <w14:solidFill>
              <w14:schemeClr w14:val="tx1"/>
            </w14:solidFill>
          </w14:textFill>
        </w:rPr>
        <w:t>镍：低库存及复苏强预期支撑短期价格高位运行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春节期间，上期所休市，伦镍呈先抑后扬走势，收跌1.33%至29090美元。LME镍库存减少2214吨至49542吨，交割品绝对低库存下，挤仓风险仍未完全解除，短期内仍为多头有力支撑。中长期看，随着高利润驱动一级镍及二级镍产能加速投产，2023年原生镍供应过剩幅度将进一步扩大。镍价重心下移是大概率事件。但在交割品库存回升前，镍价弹性仍大，高波动局面仍将延续。年度节奏预计为前高后低。</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9" w:name="_Toc5176"/>
      <w:r>
        <w:rPr>
          <w:rFonts w:hint="eastAsia" w:ascii="楷体" w:hAnsi="楷体" w:eastAsia="楷体"/>
          <w:b/>
          <w:color w:val="000000" w:themeColor="text1"/>
          <w:sz w:val="24"/>
          <w:szCs w:val="24"/>
          <w14:textFill>
            <w14:solidFill>
              <w14:schemeClr w14:val="tx1"/>
            </w14:solidFill>
          </w14:textFill>
        </w:rPr>
        <w:t>不锈钢：社库累积持续施压价格，震荡为主</w:t>
      </w:r>
      <w:bookmarkEnd w:id="29"/>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受到短期疫情冲击影响，叠加淡季，不锈钢需求疲弱，社会库存持续明显增加，短期价格仍将承压运行。但向下亦存在较强成本支撑，下跌空间亦不大。当前价格跟随宏观情绪波动，短期缺乏方向性，预计震荡为主。</w:t>
      </w:r>
    </w:p>
    <w:p>
      <w:pPr>
        <w:rPr>
          <w:rFonts w:ascii="楷体" w:hAnsi="楷体" w:eastAsia="楷体"/>
          <w:bCs/>
          <w:sz w:val="24"/>
          <w:szCs w:val="24"/>
        </w:rPr>
      </w:pPr>
    </w:p>
    <w:p>
      <w:pPr>
        <w:ind w:left="420" w:leftChars="200"/>
        <w:outlineLvl w:val="1"/>
        <w:rPr>
          <w:rFonts w:hint="eastAsia" w:ascii="楷体" w:hAnsi="楷体" w:eastAsia="楷体"/>
          <w:b/>
          <w:sz w:val="24"/>
          <w:szCs w:val="24"/>
        </w:rPr>
      </w:pPr>
      <w:bookmarkStart w:id="30" w:name="_Toc1376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强预期支撑硅价，弱现实或仍将压制持续反弹空间</w:t>
      </w:r>
      <w:bookmarkEnd w:id="30"/>
    </w:p>
    <w:p>
      <w:pPr>
        <w:ind w:left="630" w:leftChars="300"/>
        <w:rPr>
          <w:rFonts w:ascii="楷体" w:hAnsi="楷体" w:eastAsia="楷体"/>
          <w:sz w:val="24"/>
          <w:szCs w:val="24"/>
        </w:rPr>
      </w:pPr>
      <w:r>
        <w:rPr>
          <w:rFonts w:hint="eastAsia" w:ascii="楷体" w:hAnsi="楷体" w:eastAsia="楷体"/>
          <w:sz w:val="24"/>
          <w:szCs w:val="24"/>
        </w:rPr>
        <w:t>1月20日，Si2308主力合约维持大幅上涨走势，尾盘拉涨突破18500压力位，收涨18590元/吨，较上一收盘价涨幅1.42%，持仓量继续增加突破9万手,成交量达到5.5万手，市场流动性持续提高。从基本面看，节前现货市场整体偏弱，但市场对节后需求修复有较强预期，随着年后终端企业进行复工复产，现货市场有望迎来反 弹，短期价格有支撑，但年前需求修复预期已较充分反应到盘面价格，后续持续上涨空间或相对有限，预计运行区间(17800，19000)，建议可尝试区间上下沿附近波段操作。</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1" w:name="化工"/>
      <w:r>
        <w:rPr>
          <w:rFonts w:hint="eastAsia" w:ascii="Times New Roman" w:hAnsi="Times New Roman" w:eastAsia="楷体"/>
          <w:b/>
          <w:color w:val="823C0B"/>
          <w:sz w:val="30"/>
          <w:szCs w:val="30"/>
        </w:rPr>
        <w:t xml:space="preserve"> </w:t>
      </w:r>
      <w:bookmarkStart w:id="32" w:name="_Toc23998"/>
      <w:r>
        <w:rPr>
          <w:rFonts w:hint="eastAsia" w:ascii="Times New Roman" w:hAnsi="Times New Roman" w:eastAsia="楷体"/>
          <w:b/>
          <w:color w:val="823C0B"/>
          <w:sz w:val="30"/>
          <w:szCs w:val="30"/>
        </w:rPr>
        <w:t>[化工]</w:t>
      </w:r>
      <w:bookmarkEnd w:id="31"/>
      <w:bookmarkEnd w:id="32"/>
    </w:p>
    <w:p>
      <w:pPr>
        <w:ind w:firstLine="482" w:firstLineChars="200"/>
        <w:outlineLvl w:val="1"/>
        <w:rPr>
          <w:rFonts w:hint="eastAsia" w:ascii="Times New Roman" w:hAnsi="Times New Roman" w:eastAsia="楷体"/>
          <w:b/>
          <w:sz w:val="24"/>
          <w:szCs w:val="24"/>
        </w:rPr>
      </w:pPr>
      <w:bookmarkStart w:id="33" w:name="_Toc3446"/>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节前维持区间操作</w:t>
      </w:r>
      <w:bookmarkEnd w:id="33"/>
    </w:p>
    <w:p>
      <w:pPr>
        <w:ind w:left="630" w:leftChars="300"/>
        <w:rPr>
          <w:rFonts w:ascii="楷体" w:hAnsi="楷体" w:eastAsia="楷体"/>
          <w:sz w:val="24"/>
          <w:szCs w:val="24"/>
        </w:rPr>
      </w:pPr>
      <w:r>
        <w:rPr>
          <w:rFonts w:hint="eastAsia" w:ascii="楷体" w:hAnsi="楷体" w:eastAsia="楷体"/>
          <w:sz w:val="24"/>
          <w:szCs w:val="24"/>
        </w:rPr>
        <w:t>供需情况，1.9 华东主港地区MEG港口库存约90.3万吨附近，环比上期减少3万吨。近期港口到货尚可，港口发货良好，本周港口库存小幅去化。1.15国内乙二醇华东总到港量预计在13.35万吨，较上一期减少0.15万吨，到港持续偏少。 开工情况，截至1月12日，中国大陆地区乙二醇整体开工负荷在62.81%（-1.37%），其中煤制乙二醇开工负荷在56.52%（+0.22%）。从聚酯需求端来看，本周聚酯检修基本按照计划执行，同时也有部分前期检修的装置陆续恢复。截至本周四国内大陆地区聚酯负荷在66.1%。截至1.13，江浙加弹开工率4%（-10%）、江浙织机开工率1%（-13%）、浙江印染开工率0%（-24%)。综合来看，近期供应端开工率小幅下滑，且年度检修计划显示5月前后大装置检修较多。江浙下游加弹仅存一些聚合配套的大厂还在正常开车运行，各地织造和印染全面放假。近期下游节前有一定的备货行为，港口去化没有持续累库及成本端煤价走高提振盘面走势。临近春节，乙二醇空头大幅度减仓反弹。预估节前维持4100-4400区间震荡。</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4" w:name="_Toc24295"/>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：市场看涨情绪高涨  早盘有望高开</w:t>
      </w:r>
      <w:bookmarkEnd w:id="34"/>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在看涨和需求恢复预期下，PTA开工率提升明显。春节假期期间，下游聚酯负荷偏低运行，特别是长丝在5成偏下水平。随着终端补货需求提升，聚酯产品库存已经下降至较低水平。聚酯减产及检修计划已达到极值，节后直纺长丝负荷有拐点提升预期。预计1月底聚酯将陆续开车，至2月上旬基本恢复。节后终端需求有望出现短期爆发，据悉现货市场涤纶长丝普涨。预估元宵节过后聚酯工厂开工率将回升至75%左右，市场交易油价提振及短期供需错配逻辑仍将驱动PTA单边流畅上涨行情。在上游原油走势强势、成本端PX支撑及短期供需错配格局下仍会给TA带来投资机会。节后盘面预估高开，维持回调加多思路操作。</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5" w:name="_Toc438"/>
      <w:r>
        <w:rPr>
          <w:rFonts w:hint="eastAsia" w:ascii="楷体" w:hAnsi="楷体" w:eastAsia="楷体"/>
          <w:b/>
          <w:color w:val="000000" w:themeColor="text1"/>
          <w:sz w:val="24"/>
          <w:szCs w:val="24"/>
          <w14:textFill>
            <w14:solidFill>
              <w14:schemeClr w14:val="tx1"/>
            </w14:solidFill>
          </w14:textFill>
        </w:rPr>
        <w:t>PVC:</w:t>
      </w:r>
      <w:r>
        <w:rPr>
          <w:rFonts w:hint="eastAsia" w:ascii="楷体" w:hAnsi="楷体"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color w:val="000000" w:themeColor="text1"/>
          <w:sz w:val="24"/>
          <w:szCs w:val="24"/>
          <w14:textFill>
            <w14:solidFill>
              <w14:schemeClr w14:val="tx1"/>
            </w14:solidFill>
          </w14:textFill>
        </w:rPr>
        <w:t>强预期及出口增量提振 关注回调加多的机会</w:t>
      </w:r>
      <w:bookmarkEnd w:id="35"/>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供应方面，随着装置利润明显修复，PVC生产企业检修损失量明显下降，行业开工负荷率逐步提升。 本周期国内PVC行业整体开工负荷率继续提升，周内无新增检修企业，部分前期停车及偏低负荷运行企业本周产量有所提升。据卓创资讯数据显示，截止1.06 PVC整体开工负荷率77.94%，环比提升1.98%；其中电石法PVC开工负荷率76.5%，环比提升2.03%；乙烯法PVC开工负荷率83.11%，环比提升1.86%。除了存量开工提升以外，1月份还有信发、聚隆、广西华谊累计120万吨新装置部分将量产。社会库存方面，随着在途货源及待卸货源的逐步入库，近期社库累库幅度加快，但12月份部分生产企业出口接单量25万左右，出口订单若在1月出现集中交付将延缓社库的累库进程。听闻印度市场采购仍十分积极，季节性旺季补库还未到尾，短期来看出口增量对于价格仍能起到边际利好驱动。需求方面，1月份下半月多数制品企业将多数放假，整体需求将明显减弱。但考虑到当前价格偏低，制品企业或将在1月份存在适当备货现象。总的来说，虽供需边际仍在走弱，但PVC强预期及出口增量仍主导盘面走势。在宏观氛围仍旧偏好及低价补库预期下，把握回调后加多的机会。仅供参考。</w:t>
      </w:r>
    </w:p>
    <w:p>
      <w:pPr>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36" w:name="_Toc26895"/>
      <w:r>
        <w:rPr>
          <w:rFonts w:hint="eastAsia" w:ascii="楷体" w:hAnsi="楷体" w:eastAsia="楷体"/>
          <w:b/>
          <w:color w:val="000000" w:themeColor="text1"/>
          <w:sz w:val="24"/>
          <w:szCs w:val="24"/>
          <w14:textFill>
            <w14:solidFill>
              <w14:schemeClr w14:val="tx1"/>
            </w14:solidFill>
          </w14:textFill>
        </w:rPr>
        <w:t>聚烯烃：节后下游产能利用率回升，聚烯烃或窄幅整理</w:t>
      </w:r>
      <w:bookmarkEnd w:id="36"/>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节前聚烯烃冲高。库存方面，1月20日国内PE库存环比1月13日增加，其中样本生产环节库、样本港口库存和样本贸易商库存环比均呈现增加趋势。1月20日国内PP库存环比1月13日上升6.04%。其中主要生产环节PP库存、贸易商库存、港口库存均有上升。。成本端方面，俄罗斯石油供应强劲，抵消了美国经济增长数据及需求增长预期带来的利好支撑，交易商获利回吐，欧美原油期货盘中涨后收低，目前油制PE利润大约为-459.97元/吨，油制PP利润大约为-1499.18元/吨，相较年度偏低位置已有较大恢复；需求方面，PE下游方面，棚膜需求持续减弱，地膜订单跟进缓慢，农膜厂家仍略显谨慎，坚持刚需采购。PP方面，BOPP整体成交一般，BOPP企业未交付订单多数在10-20天，部分至2月中旬。综合来看，节前市场宏观预期持续改善，资金情绪转暖带动盘面震荡走高，节后下游企业陆续开工复工，产能利用率将有所提升，需求端支撑预计增强。原油成本端走势小幅回落，成本支撑偏一般，预计今日聚烯烃窄幅整理。短期暂时维持小幅调整，中长期依旧有下行风险。年初PE、PP仍有多套装置等待投产，叠加进口套利窗口打开，供应压力不减。塑料供需趋弱累库下高空思路不变，上行空间有限。预计近期在供需弱平衡下聚烯烃将窄幅偏弱整理，短期PP 8100左右支撑较强和PE 8300压力位左右支撑较强。仅供参考。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7" w:name="_Toc17446"/>
      <w:r>
        <w:rPr>
          <w:rFonts w:hint="eastAsia" w:ascii="Times New Roman" w:hAnsi="Times New Roman" w:eastAsia="楷体"/>
          <w:b/>
          <w:color w:val="823C0B"/>
          <w:sz w:val="30"/>
          <w:szCs w:val="30"/>
        </w:rPr>
        <w:t>[农产品]</w:t>
      </w:r>
      <w:bookmarkEnd w:id="13"/>
      <w:bookmarkEnd w:id="37"/>
    </w:p>
    <w:p>
      <w:pPr>
        <w:ind w:left="420" w:leftChars="200"/>
        <w:outlineLvl w:val="1"/>
        <w:rPr>
          <w:rFonts w:hint="eastAsia" w:ascii="楷体" w:hAnsi="楷体" w:eastAsia="楷体"/>
          <w:b/>
          <w:sz w:val="24"/>
          <w:szCs w:val="24"/>
        </w:rPr>
      </w:pPr>
      <w:bookmarkStart w:id="38" w:name="_Toc15919"/>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短期维持高位波动，跌幅有限</w:t>
      </w:r>
      <w:bookmarkEnd w:id="38"/>
    </w:p>
    <w:p>
      <w:pPr>
        <w:ind w:left="630" w:leftChars="300"/>
        <w:rPr>
          <w:rFonts w:ascii="楷体" w:hAnsi="楷体" w:eastAsia="楷体"/>
          <w:sz w:val="24"/>
          <w:szCs w:val="24"/>
        </w:rPr>
      </w:pPr>
      <w:r>
        <w:rPr>
          <w:rFonts w:hint="eastAsia" w:ascii="楷体" w:hAnsi="楷体" w:eastAsia="楷体"/>
          <w:sz w:val="24"/>
          <w:szCs w:val="24"/>
        </w:rPr>
        <w:t>外盘方面，在国内春节期间美豆先抑后扬，在阿根廷迎来有利降雨及巴西丰产压力下大幅下挫，但在美豆出口数据利好提振下再度站上1500美分关口。后续仍要持续跟踪南美天气以及巴西收获情况。国内市场，节前在进口大豆到港修复下，大豆港口库存累库有所增加，但在进口榨利亏损下，1-2月进口预计下滑。油厂开机及压榨在节后开工后，预计将逐步回升。下游养殖利润近期表现不佳，饲企和养殖企业等对豆粕预计维持刚需补库，且一季度饲用需求预计偏弱。在供应预期增加及需求减弱下，使得豆粕上方承压，但在南美上市前及基差高位下，短期豆粕随美豆震荡整理，下跌空间有限；中期维持供给恢复预期，在巴西丰产下，关注后期巴西出口节奏，或给市场构成一定压力，建议逢高布局空单或关注5-9反套机会。</w:t>
      </w:r>
    </w:p>
    <w:p>
      <w:pPr>
        <w:ind w:firstLine="480" w:firstLineChars="200"/>
        <w:rPr>
          <w:rFonts w:ascii="楷体" w:hAnsi="楷体" w:eastAsia="楷体"/>
          <w:bCs/>
          <w:sz w:val="24"/>
          <w:szCs w:val="24"/>
        </w:rPr>
      </w:pPr>
    </w:p>
    <w:p>
      <w:pPr>
        <w:ind w:left="420" w:leftChars="200"/>
        <w:outlineLvl w:val="1"/>
        <w:rPr>
          <w:rFonts w:hint="eastAsia" w:ascii="楷体" w:hAnsi="楷体" w:eastAsia="楷体"/>
          <w:b/>
          <w:sz w:val="24"/>
          <w:szCs w:val="24"/>
        </w:rPr>
      </w:pPr>
      <w:bookmarkStart w:id="39" w:name="_Toc12820"/>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需求修复或带来支撑</w:t>
      </w:r>
      <w:bookmarkEnd w:id="39"/>
    </w:p>
    <w:p>
      <w:pPr>
        <w:ind w:left="630" w:leftChars="300"/>
        <w:rPr>
          <w:rFonts w:ascii="楷体" w:hAnsi="楷体" w:eastAsia="楷体"/>
          <w:sz w:val="24"/>
          <w:szCs w:val="24"/>
        </w:rPr>
      </w:pPr>
      <w:r>
        <w:rPr>
          <w:rFonts w:hint="eastAsia" w:ascii="楷体" w:hAnsi="楷体" w:eastAsia="楷体"/>
          <w:sz w:val="24"/>
          <w:szCs w:val="24"/>
        </w:rPr>
        <w:t>外盘方面，在春节期间外盘油脂在多空交织下呈现宽幅震荡，宏观氛围有所回暖，对油脂构成支撑。棕榈油方面，产区马来一月份棕榈油出口数据环比下降34.68%，但MPOA数据显示马来一月份预计减产11%。一季度仍处于棕榈油减产周期，同时在印尼政策利好下，仍对棕榈油构成支撑。国内棕榈油供应较充裕，需求方面在冬季消费淡季下增量有限，棕榈油库存当前在进口下滑下，逐步进入去库阶段，去库速度仍需关注节后消费需求。豆油，在政策放开后，节后餐饮消费预计逐渐修复，将利好下游油脂消费需求。供应端随着12月到港修复，进口大豆库存持续回升，油厂压榨维持高位后边际供应预计逐渐好转，豆油预计进入累库阶段库存修复仍待需关注，短期在库存低位下延续近强远弱格局。菜油在供应边际预期改善下，同时在轮储计划下近月承压。但在库存尚未明显修复下，基差维持高位。随着进口加籽到港量逐步增加，菜籽库存维持高位。在节后油厂开机逐步恢复下，菜油库存预计逐步修复，但短期内缺口仍存。预计油脂在供应边际增加及下游消费回暖下，延续宽幅波动，建议波段操作，逢低布局多单。</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40" w:name="_Toc2575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关注节后余粮压力</w:t>
      </w:r>
      <w:bookmarkEnd w:id="40"/>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重点在于产区是否仍存在余粮压力，钢联数据显示，截至春节前一周，东北产区玉米销售进度48%，为近年来偏低水平。考虑到玉米期价呈现远期贴水结构，深加工企业玉米库存最近四周从230万吨大幅上升至410万吨，且目前淀粉加工企业已经进入亏损状态；饲料养殖企业玉米库存虽环比下滑，但市场预计一季度饲用谷物进口到港量较大，再加上内外价差超过300元，进口谷物更具性价比优势，这些都将抑制中下游需求和贸易企业的补库积极性。在这种情况下，我们倾向于认为，今年春节后更可能类似于2019年，节后余粮压力或将带动国内玉米期现货价格出现阶段性回落。综上所述，我们持谨慎看空观点，建议谨慎投资者观望，激进投资者入场做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节前淀粉-玉米价差表现分化，主要源于市场现实与预期的不同，当前现实是目前下游需求依然疲弱，行业库存处于历史同期高位，而预期则趋于乐观，主要源于疫情担忧缓解下的需求改善预期，副产品价差近期加速下跌带动现货生产利润转为亏损，有望通过行业开机率收缩供应，继而带动供需改善。后期变数在于成本端，特别春节前市场会否转而担心节后仍有余粮压力。在这种情况下，我们建议观望为宜，等待后期入场机会。</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7891"/>
      <w:r>
        <w:rPr>
          <w:rFonts w:hint="eastAsia" w:ascii="楷体" w:hAnsi="楷体" w:eastAsia="楷体"/>
          <w:b/>
          <w:bCs/>
          <w:color w:val="000000" w:themeColor="text1"/>
          <w14:textFill>
            <w14:solidFill>
              <w14:schemeClr w14:val="tx1"/>
            </w14:solidFill>
          </w14:textFill>
        </w:rPr>
        <w:t>畜禽养殖：鸡蛋现货止跌反弹</w:t>
      </w:r>
      <w:bookmarkEnd w:id="41"/>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在月报中我们指出，短期即春节前市场供需及其现货走势有望带来市场预期的变动，这包括两个层面，其一是需求改善或者恢复的幅度，其二是供应已经及其有待释放的部分。中期还需要猪价对生猪周期潜在影响的可能性，因12月以来猪价跌破成本线大概率打破前期产能恢复节奏，但后期供需改善带动猪价上涨，会否再度恢复能繁母猪补栏值得重点留意，这意味近月期价如3月和5月合约可能低估，而远月合约则可能被高估。在这种情况下，考虑到节后现货较为弱势，表明其供需尚有待改善，暂持中性观点，建议观望为宜。</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前期报告中我们指出，今年鸡蛋延续2020年以来的供需两弱格局，12月蛋鸡存补栏参考卓创资讯数据，在产蛋鸡存栏数据同比和环比均小幅下滑，期现货表现弱势更多源于需求受到疫情的扰动，后期需求改善/恢复有望带动鸡蛋期现货的反弹。更为重要也值得重点关注的是，考虑到鸡蛋供需格局延续2021年以来的供需两弱的格局，需要特别留意需求端的变化，因一旦需求恢复或者改善，那么蛋鸡养殖需要一波产能恢复的过程，这一过程往往伴随着鸡蛋现货价格上涨，及其对应的蛋鸡养殖利润的提升。在这种情况下，维持谨慎看多观点，建议前期5月合约多单（如有的话）继续持有。</w:t>
      </w:r>
    </w:p>
    <w:p>
      <w:pPr>
        <w:ind w:firstLine="480" w:firstLineChars="200"/>
        <w:rPr>
          <w:rFonts w:ascii="楷体" w:hAnsi="楷体" w:eastAsia="楷体"/>
          <w:sz w:val="24"/>
          <w:szCs w:val="24"/>
        </w:rPr>
      </w:pP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42" w:name="_Toc3368"/>
      <w:r>
        <w:rPr>
          <w:rFonts w:hint="eastAsia" w:ascii="楷体" w:hAnsi="楷体" w:eastAsia="楷体"/>
          <w:b/>
          <w:sz w:val="24"/>
          <w:szCs w:val="24"/>
        </w:rPr>
        <w:t>郑棉：预计高开后震荡，节前多单继续持有，也可部分提前止盈</w:t>
      </w:r>
      <w:bookmarkEnd w:id="42"/>
    </w:p>
    <w:p>
      <w:pPr>
        <w:ind w:left="630" w:leftChars="300"/>
        <w:rPr>
          <w:rFonts w:ascii="楷体" w:hAnsi="楷体" w:eastAsia="楷体"/>
          <w:sz w:val="24"/>
          <w:szCs w:val="24"/>
        </w:rPr>
      </w:pPr>
      <w:r>
        <w:rPr>
          <w:rFonts w:hint="eastAsia" w:ascii="楷体" w:hAnsi="楷体" w:eastAsia="楷体"/>
          <w:sz w:val="24"/>
          <w:szCs w:val="24"/>
        </w:rPr>
        <w:t>据美国农业部（USDA)周四公布的出口销售报告显示，1月19日止当周，美国2022/2023市场年度陆地棉出口销售净增21.37万包，较之前一周增加2%,较前四周均值显著增加。美棉出口销售表现强劲，创下四个月以来最高水平，也使春节期间美棉价格维持在月内高点。外围市场对于中国市场的恢复充满期待，中国接下来的消费数据将是外盘可能上涨的主要影响因素。国内对年后行情充满期待，各地区纱厂的开机率均逐步向上调整。新疆及河南地区的大型纱厂开机在65%左右，江浙、山东、安徽沿江地区的大型纱厂，维持在60%左右，个别可达到80%-90%，中小型纱厂开机维持低位，在30-40%左右。由于节前原料较低，且前期员工有所流失，节后补充人员和原料库存将是纺织企业的目标，对于棉花价格也起到提振作用。不过，纺织企业对于补充的原料价格依然较为谨慎。</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3" w:name="_Toc12779"/>
      <w:bookmarkStart w:id="44" w:name="_Toc72481108"/>
      <w:bookmarkStart w:id="45" w:name="_Toc98426751"/>
      <w:bookmarkStart w:id="46" w:name="_Toc19667"/>
      <w:bookmarkStart w:id="47" w:name="_Toc71212556"/>
      <w:r>
        <w:rPr>
          <w:rFonts w:ascii="Times New Roman" w:hAnsi="Times New Roman" w:eastAsia="楷体"/>
          <w:b/>
          <w:color w:val="411D05"/>
          <w:sz w:val="30"/>
          <w:szCs w:val="30"/>
        </w:rPr>
        <w:t>免责声明</w:t>
      </w:r>
      <w:bookmarkEnd w:id="43"/>
      <w:bookmarkEnd w:id="44"/>
      <w:bookmarkEnd w:id="45"/>
      <w:bookmarkEnd w:id="46"/>
      <w:bookmarkEnd w:id="47"/>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2023年1月30日星期一</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92E"/>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2E32A5D"/>
    <w:rsid w:val="06B2613D"/>
    <w:rsid w:val="06B753E3"/>
    <w:rsid w:val="09F160E3"/>
    <w:rsid w:val="0C1F7DEE"/>
    <w:rsid w:val="0CDE660D"/>
    <w:rsid w:val="0D032A7C"/>
    <w:rsid w:val="0F662138"/>
    <w:rsid w:val="100732C8"/>
    <w:rsid w:val="10DA6205"/>
    <w:rsid w:val="121F7D21"/>
    <w:rsid w:val="129B2E20"/>
    <w:rsid w:val="12AA5DF8"/>
    <w:rsid w:val="15364A7C"/>
    <w:rsid w:val="15D52593"/>
    <w:rsid w:val="197E6634"/>
    <w:rsid w:val="1B8A2034"/>
    <w:rsid w:val="1BC72FF7"/>
    <w:rsid w:val="1D5030CD"/>
    <w:rsid w:val="1DFF64E4"/>
    <w:rsid w:val="2056595D"/>
    <w:rsid w:val="20AE4DE8"/>
    <w:rsid w:val="21996AC1"/>
    <w:rsid w:val="219F3EE2"/>
    <w:rsid w:val="24321B2E"/>
    <w:rsid w:val="244B21DE"/>
    <w:rsid w:val="247F3074"/>
    <w:rsid w:val="24B82D9D"/>
    <w:rsid w:val="258A2E5C"/>
    <w:rsid w:val="25B924F3"/>
    <w:rsid w:val="26F95364"/>
    <w:rsid w:val="2CA93C52"/>
    <w:rsid w:val="2D912E3A"/>
    <w:rsid w:val="2DC02C2B"/>
    <w:rsid w:val="2DE440F7"/>
    <w:rsid w:val="2FA70F17"/>
    <w:rsid w:val="340E7198"/>
    <w:rsid w:val="34A75784"/>
    <w:rsid w:val="373F75CC"/>
    <w:rsid w:val="3AC9385E"/>
    <w:rsid w:val="3B3306F0"/>
    <w:rsid w:val="3B563B4D"/>
    <w:rsid w:val="3C2825B0"/>
    <w:rsid w:val="3C2B26B7"/>
    <w:rsid w:val="3D8B796D"/>
    <w:rsid w:val="3DA80A30"/>
    <w:rsid w:val="3EC32453"/>
    <w:rsid w:val="3ECC520D"/>
    <w:rsid w:val="3EE0186C"/>
    <w:rsid w:val="3F345DBE"/>
    <w:rsid w:val="441077D2"/>
    <w:rsid w:val="44396064"/>
    <w:rsid w:val="459609D9"/>
    <w:rsid w:val="45A37566"/>
    <w:rsid w:val="45CF0A85"/>
    <w:rsid w:val="46194A11"/>
    <w:rsid w:val="47752ACA"/>
    <w:rsid w:val="4AB74C38"/>
    <w:rsid w:val="4B6224E5"/>
    <w:rsid w:val="4B8C4A56"/>
    <w:rsid w:val="4D2A3925"/>
    <w:rsid w:val="4DB20386"/>
    <w:rsid w:val="5005695E"/>
    <w:rsid w:val="50286811"/>
    <w:rsid w:val="51266B84"/>
    <w:rsid w:val="546B5509"/>
    <w:rsid w:val="548642E9"/>
    <w:rsid w:val="55633225"/>
    <w:rsid w:val="56DD4D3A"/>
    <w:rsid w:val="57555A7B"/>
    <w:rsid w:val="57CB522F"/>
    <w:rsid w:val="59C52328"/>
    <w:rsid w:val="5D5617A6"/>
    <w:rsid w:val="5EA7685B"/>
    <w:rsid w:val="62710E5F"/>
    <w:rsid w:val="64C32497"/>
    <w:rsid w:val="66D04BBC"/>
    <w:rsid w:val="685D4EEE"/>
    <w:rsid w:val="6B292599"/>
    <w:rsid w:val="6ECB7DD2"/>
    <w:rsid w:val="713E0334"/>
    <w:rsid w:val="729B5F03"/>
    <w:rsid w:val="72F62A89"/>
    <w:rsid w:val="737357AF"/>
    <w:rsid w:val="75292EAC"/>
    <w:rsid w:val="75775016"/>
    <w:rsid w:val="778F5135"/>
    <w:rsid w:val="78E55995"/>
    <w:rsid w:val="7ABE4B56"/>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8</Pages>
  <Words>6788</Words>
  <Characters>7309</Characters>
  <Lines>50</Lines>
  <Paragraphs>14</Paragraphs>
  <TotalTime>0</TotalTime>
  <ScaleCrop>false</ScaleCrop>
  <LinksUpToDate>false</LinksUpToDate>
  <CharactersWithSpaces>7335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2023-01-30T05:40:45Z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