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bookmarkStart w:id="48" w:name="_GoBack"/>
    </w:p>
    <w:bookmarkEnd w:id="48"/>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_Toc20055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_Toc29834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逢调整低多IM</w:t>
          </w:r>
          <w:r>
            <w:rPr>
              <w:bCs/>
            </w:rPr>
            <w:fldChar w:fldCharType="end"/>
          </w:r>
        </w:p>
        <w:p>
          <w:pPr>
            <w:pStyle w:val="5"/>
            <w:tabs>
              <w:tab w:val="right" w:leader="dot" w:pos="8306"/>
            </w:tabs>
          </w:pPr>
          <w:r>
            <w:rPr>
              <w:bCs/>
            </w:rPr>
            <w:fldChar w:fldCharType="begin"/>
          </w:r>
          <w:r>
            <w:rPr>
              <w:bCs/>
            </w:rPr>
            <w:instrText xml:space="preserve"> HYPERLINK \l _Toc17817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_Toc26149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美国生产端通胀下行，沪金冲高回落</w:t>
          </w:r>
          <w:r>
            <w:rPr>
              <w:bCs/>
            </w:rPr>
            <w:fldChar w:fldCharType="end"/>
          </w:r>
        </w:p>
        <w:p>
          <w:pPr>
            <w:pStyle w:val="5"/>
            <w:tabs>
              <w:tab w:val="right" w:leader="dot" w:pos="8306"/>
            </w:tabs>
          </w:pPr>
          <w:r>
            <w:rPr>
              <w:bCs/>
            </w:rPr>
            <w:fldChar w:fldCharType="begin"/>
          </w:r>
          <w:r>
            <w:rPr>
              <w:bCs/>
            </w:rPr>
            <w:instrText xml:space="preserve"> HYPERLINK \l _Toc27976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_Toc29113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提报下情绪较强，钢价震荡运行</w:t>
          </w:r>
          <w:r>
            <w:rPr>
              <w:bCs/>
            </w:rPr>
            <w:fldChar w:fldCharType="end"/>
          </w:r>
        </w:p>
        <w:p>
          <w:pPr>
            <w:pStyle w:val="6"/>
            <w:tabs>
              <w:tab w:val="right" w:leader="dot" w:pos="8306"/>
            </w:tabs>
          </w:pPr>
          <w:r>
            <w:rPr>
              <w:bCs/>
            </w:rPr>
            <w:fldChar w:fldCharType="begin"/>
          </w:r>
          <w:r>
            <w:rPr>
              <w:bCs/>
            </w:rPr>
            <w:instrText xml:space="preserve"> HYPERLINK \l _Toc23112 </w:instrText>
          </w:r>
          <w:r>
            <w:rPr>
              <w:bCs/>
            </w:rPr>
            <w:fldChar w:fldCharType="separate"/>
          </w:r>
          <w:r>
            <w:rPr>
              <w:rFonts w:hint="eastAsia" w:ascii="楷体" w:hAnsi="楷体" w:eastAsia="楷体"/>
              <w:szCs w:val="24"/>
            </w:rPr>
            <w:t>焦炭：暂无升水驱动，盘面随钢价波动</w:t>
          </w:r>
          <w:r>
            <w:rPr>
              <w:bCs/>
            </w:rPr>
            <w:fldChar w:fldCharType="end"/>
          </w:r>
        </w:p>
        <w:p>
          <w:pPr>
            <w:pStyle w:val="6"/>
            <w:tabs>
              <w:tab w:val="right" w:leader="dot" w:pos="8306"/>
            </w:tabs>
          </w:pPr>
          <w:r>
            <w:rPr>
              <w:bCs/>
            </w:rPr>
            <w:fldChar w:fldCharType="begin"/>
          </w:r>
          <w:r>
            <w:rPr>
              <w:bCs/>
            </w:rPr>
            <w:instrText xml:space="preserve"> HYPERLINK \l _Toc13478 </w:instrText>
          </w:r>
          <w:r>
            <w:rPr>
              <w:bCs/>
            </w:rPr>
            <w:fldChar w:fldCharType="separate"/>
          </w:r>
          <w:r>
            <w:rPr>
              <w:rFonts w:hint="eastAsia" w:ascii="楷体" w:hAnsi="楷体" w:eastAsia="楷体"/>
              <w:szCs w:val="24"/>
            </w:rPr>
            <w:t>焦煤：估值修复后偏强震荡</w:t>
          </w:r>
          <w:r>
            <w:rPr>
              <w:bCs/>
            </w:rPr>
            <w:fldChar w:fldCharType="end"/>
          </w:r>
        </w:p>
        <w:p>
          <w:pPr>
            <w:pStyle w:val="6"/>
            <w:tabs>
              <w:tab w:val="right" w:leader="dot" w:pos="8306"/>
            </w:tabs>
          </w:pPr>
          <w:r>
            <w:rPr>
              <w:bCs/>
            </w:rPr>
            <w:fldChar w:fldCharType="begin"/>
          </w:r>
          <w:r>
            <w:rPr>
              <w:bCs/>
            </w:rPr>
            <w:instrText xml:space="preserve"> HYPERLINK \l _Toc18524 </w:instrText>
          </w:r>
          <w:r>
            <w:rPr>
              <w:bCs/>
            </w:rPr>
            <w:fldChar w:fldCharType="separate"/>
          </w:r>
          <w:r>
            <w:rPr>
              <w:rFonts w:hint="eastAsia" w:ascii="楷体" w:hAnsi="楷体" w:eastAsia="楷体"/>
              <w:szCs w:val="24"/>
            </w:rPr>
            <w:t>铜：美指低位波动， 铜价延续高位运行</w:t>
          </w:r>
          <w:r>
            <w:rPr>
              <w:bCs/>
            </w:rPr>
            <w:fldChar w:fldCharType="end"/>
          </w:r>
        </w:p>
        <w:p>
          <w:pPr>
            <w:pStyle w:val="6"/>
            <w:tabs>
              <w:tab w:val="right" w:leader="dot" w:pos="8306"/>
            </w:tabs>
          </w:pPr>
          <w:r>
            <w:rPr>
              <w:bCs/>
            </w:rPr>
            <w:fldChar w:fldCharType="begin"/>
          </w:r>
          <w:r>
            <w:rPr>
              <w:bCs/>
            </w:rPr>
            <w:instrText xml:space="preserve"> HYPERLINK \l _Toc18427 </w:instrText>
          </w:r>
          <w:r>
            <w:rPr>
              <w:bCs/>
            </w:rPr>
            <w:fldChar w:fldCharType="separate"/>
          </w:r>
          <w:r>
            <w:rPr>
              <w:rFonts w:hint="eastAsia" w:ascii="楷体" w:hAnsi="楷体" w:eastAsia="楷体"/>
              <w:szCs w:val="24"/>
            </w:rPr>
            <w:t>铝：乐观预期推上价格，实际供需情况支撑乏力</w:t>
          </w:r>
          <w:r>
            <w:rPr>
              <w:bCs/>
            </w:rPr>
            <w:fldChar w:fldCharType="end"/>
          </w:r>
        </w:p>
        <w:p>
          <w:pPr>
            <w:pStyle w:val="6"/>
            <w:tabs>
              <w:tab w:val="right" w:leader="dot" w:pos="8306"/>
            </w:tabs>
          </w:pPr>
          <w:r>
            <w:rPr>
              <w:bCs/>
            </w:rPr>
            <w:fldChar w:fldCharType="begin"/>
          </w:r>
          <w:r>
            <w:rPr>
              <w:bCs/>
            </w:rPr>
            <w:instrText xml:space="preserve"> HYPERLINK \l _Toc28486 </w:instrText>
          </w:r>
          <w:r>
            <w:rPr>
              <w:bCs/>
            </w:rPr>
            <w:fldChar w:fldCharType="separate"/>
          </w:r>
          <w:r>
            <w:rPr>
              <w:rFonts w:hint="eastAsia" w:ascii="楷体" w:hAnsi="楷体" w:eastAsia="楷体"/>
              <w:szCs w:val="24"/>
            </w:rPr>
            <w:t>锌：宏观情绪走强带动价格，上驱动力核心仍待节后供需证伪</w:t>
          </w:r>
          <w:r>
            <w:rPr>
              <w:bCs/>
            </w:rPr>
            <w:fldChar w:fldCharType="end"/>
          </w:r>
        </w:p>
        <w:p>
          <w:pPr>
            <w:pStyle w:val="6"/>
            <w:tabs>
              <w:tab w:val="right" w:leader="dot" w:pos="8306"/>
            </w:tabs>
          </w:pPr>
          <w:r>
            <w:rPr>
              <w:bCs/>
            </w:rPr>
            <w:fldChar w:fldCharType="begin"/>
          </w:r>
          <w:r>
            <w:rPr>
              <w:bCs/>
            </w:rPr>
            <w:instrText xml:space="preserve"> HYPERLINK \l _Toc17310 </w:instrText>
          </w:r>
          <w:r>
            <w:rPr>
              <w:bCs/>
            </w:rPr>
            <w:fldChar w:fldCharType="separate"/>
          </w:r>
          <w:r>
            <w:rPr>
              <w:rFonts w:hint="eastAsia" w:ascii="楷体" w:hAnsi="楷体" w:eastAsia="楷体"/>
              <w:szCs w:val="24"/>
            </w:rPr>
            <w:t>镍：短期存震荡整理需求，前期高位空单可考虑止盈</w:t>
          </w:r>
          <w:r>
            <w:rPr>
              <w:bCs/>
            </w:rPr>
            <w:fldChar w:fldCharType="end"/>
          </w:r>
        </w:p>
        <w:p>
          <w:pPr>
            <w:pStyle w:val="6"/>
            <w:tabs>
              <w:tab w:val="right" w:leader="dot" w:pos="8306"/>
            </w:tabs>
          </w:pPr>
          <w:r>
            <w:rPr>
              <w:bCs/>
            </w:rPr>
            <w:fldChar w:fldCharType="begin"/>
          </w:r>
          <w:r>
            <w:rPr>
              <w:bCs/>
            </w:rPr>
            <w:instrText xml:space="preserve"> HYPERLINK \l _Toc29146 </w:instrText>
          </w:r>
          <w:r>
            <w:rPr>
              <w:bCs/>
            </w:rPr>
            <w:fldChar w:fldCharType="separate"/>
          </w:r>
          <w:r>
            <w:rPr>
              <w:rFonts w:hint="eastAsia" w:ascii="楷体" w:hAnsi="楷体" w:eastAsia="楷体"/>
              <w:szCs w:val="24"/>
            </w:rPr>
            <w:t>不锈钢：社库累积持续施压价格，震荡为主</w:t>
          </w:r>
          <w:r>
            <w:rPr>
              <w:bCs/>
            </w:rPr>
            <w:fldChar w:fldCharType="end"/>
          </w:r>
        </w:p>
        <w:p>
          <w:pPr>
            <w:pStyle w:val="6"/>
            <w:tabs>
              <w:tab w:val="right" w:leader="dot" w:pos="8306"/>
            </w:tabs>
          </w:pPr>
          <w:r>
            <w:rPr>
              <w:bCs/>
            </w:rPr>
            <w:fldChar w:fldCharType="begin"/>
          </w:r>
          <w:r>
            <w:rPr>
              <w:bCs/>
            </w:rPr>
            <w:instrText xml:space="preserve"> HYPERLINK \l _Toc1933 </w:instrText>
          </w:r>
          <w:r>
            <w:rPr>
              <w:bCs/>
            </w:rPr>
            <w:fldChar w:fldCharType="separate"/>
          </w:r>
          <w:r>
            <w:rPr>
              <w:rFonts w:hint="eastAsia" w:ascii="楷体" w:hAnsi="楷体" w:eastAsia="楷体"/>
              <w:szCs w:val="24"/>
            </w:rPr>
            <w:t>工业硅：年前基本面偏弱，硅价万8上方压力明显</w:t>
          </w:r>
          <w:r>
            <w:rPr>
              <w:bCs/>
            </w:rPr>
            <w:fldChar w:fldCharType="end"/>
          </w:r>
        </w:p>
        <w:p>
          <w:pPr>
            <w:pStyle w:val="5"/>
            <w:tabs>
              <w:tab w:val="right" w:leader="dot" w:pos="8306"/>
            </w:tabs>
          </w:pPr>
          <w:r>
            <w:rPr>
              <w:bCs/>
            </w:rPr>
            <w:fldChar w:fldCharType="begin"/>
          </w:r>
          <w:r>
            <w:rPr>
              <w:bCs/>
            </w:rPr>
            <w:instrText xml:space="preserve"> HYPERLINK \l _Toc16046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_Toc25678 </w:instrText>
          </w:r>
          <w:r>
            <w:rPr>
              <w:bCs/>
            </w:rPr>
            <w:fldChar w:fldCharType="separate"/>
          </w:r>
          <w:r>
            <w:rPr>
              <w:rFonts w:hint="eastAsia" w:ascii="Times New Roman" w:hAnsi="Times New Roman" w:eastAsia="楷体"/>
              <w:szCs w:val="24"/>
            </w:rPr>
            <w:t>乙二醇：节前维持区间操作</w:t>
          </w:r>
          <w:r>
            <w:rPr>
              <w:bCs/>
            </w:rPr>
            <w:fldChar w:fldCharType="end"/>
          </w:r>
        </w:p>
        <w:p>
          <w:pPr>
            <w:pStyle w:val="6"/>
            <w:tabs>
              <w:tab w:val="right" w:leader="dot" w:pos="8306"/>
            </w:tabs>
          </w:pPr>
          <w:r>
            <w:rPr>
              <w:bCs/>
            </w:rPr>
            <w:fldChar w:fldCharType="begin"/>
          </w:r>
          <w:r>
            <w:rPr>
              <w:bCs/>
            </w:rPr>
            <w:instrText xml:space="preserve"> HYPERLINK \l _Toc14162 </w:instrText>
          </w:r>
          <w:r>
            <w:rPr>
              <w:bCs/>
            </w:rPr>
            <w:fldChar w:fldCharType="separate"/>
          </w:r>
          <w:r>
            <w:rPr>
              <w:rFonts w:ascii="楷体" w:hAnsi="楷体" w:eastAsia="楷体"/>
              <w:szCs w:val="24"/>
            </w:rPr>
            <w:t>PTA</w:t>
          </w:r>
          <w:r>
            <w:rPr>
              <w:rFonts w:hint="eastAsia" w:ascii="楷体" w:hAnsi="楷体" w:eastAsia="楷体"/>
              <w:szCs w:val="24"/>
            </w:rPr>
            <w:t>：跟随成本端回调</w:t>
          </w:r>
          <w:r>
            <w:rPr>
              <w:bCs/>
            </w:rPr>
            <w:fldChar w:fldCharType="end"/>
          </w:r>
        </w:p>
        <w:p>
          <w:pPr>
            <w:pStyle w:val="6"/>
            <w:tabs>
              <w:tab w:val="right" w:leader="dot" w:pos="8306"/>
            </w:tabs>
          </w:pPr>
          <w:r>
            <w:rPr>
              <w:bCs/>
            </w:rPr>
            <w:fldChar w:fldCharType="begin"/>
          </w:r>
          <w:r>
            <w:rPr>
              <w:bCs/>
            </w:rPr>
            <w:instrText xml:space="preserve"> HYPERLINK \l _Toc17359 </w:instrText>
          </w:r>
          <w:r>
            <w:rPr>
              <w:bCs/>
            </w:rPr>
            <w:fldChar w:fldCharType="separate"/>
          </w:r>
          <w:r>
            <w:rPr>
              <w:rFonts w:hint="eastAsia" w:ascii="楷体" w:hAnsi="楷体" w:eastAsia="楷体"/>
              <w:szCs w:val="24"/>
            </w:rPr>
            <w:t>PVC:</w:t>
          </w:r>
          <w:r>
            <w:rPr>
              <w:rFonts w:hint="eastAsia" w:ascii="楷体" w:hAnsi="楷体" w:eastAsia="楷体"/>
              <w:szCs w:val="24"/>
              <w:lang w:val="en-US" w:eastAsia="zh-CN"/>
            </w:rPr>
            <w:t xml:space="preserve"> </w:t>
          </w:r>
          <w:r>
            <w:rPr>
              <w:rFonts w:hint="eastAsia" w:ascii="楷体" w:hAnsi="楷体" w:eastAsia="楷体"/>
              <w:szCs w:val="24"/>
            </w:rPr>
            <w:t>强预期及出口增量提振 关注回调加多的机会</w:t>
          </w:r>
          <w:r>
            <w:rPr>
              <w:bCs/>
            </w:rPr>
            <w:fldChar w:fldCharType="end"/>
          </w:r>
        </w:p>
        <w:p>
          <w:pPr>
            <w:pStyle w:val="6"/>
            <w:tabs>
              <w:tab w:val="right" w:leader="dot" w:pos="8306"/>
            </w:tabs>
          </w:pPr>
          <w:r>
            <w:rPr>
              <w:bCs/>
            </w:rPr>
            <w:fldChar w:fldCharType="begin"/>
          </w:r>
          <w:r>
            <w:rPr>
              <w:bCs/>
            </w:rPr>
            <w:instrText xml:space="preserve"> HYPERLINK \l _Toc23086 </w:instrText>
          </w:r>
          <w:r>
            <w:rPr>
              <w:bCs/>
            </w:rPr>
            <w:fldChar w:fldCharType="separate"/>
          </w:r>
          <w:r>
            <w:rPr>
              <w:rFonts w:hint="eastAsia" w:ascii="楷体" w:hAnsi="楷体" w:eastAsia="楷体"/>
              <w:szCs w:val="24"/>
            </w:rPr>
            <w:t>聚烯烃：节前终端需求降至低位，聚烯烃或窄幅整理</w:t>
          </w:r>
          <w:r>
            <w:rPr>
              <w:bCs/>
            </w:rPr>
            <w:fldChar w:fldCharType="end"/>
          </w:r>
        </w:p>
        <w:p>
          <w:pPr>
            <w:pStyle w:val="5"/>
            <w:tabs>
              <w:tab w:val="right" w:leader="dot" w:pos="8306"/>
            </w:tabs>
          </w:pPr>
          <w:r>
            <w:rPr>
              <w:bCs/>
            </w:rPr>
            <w:fldChar w:fldCharType="begin"/>
          </w:r>
          <w:r>
            <w:rPr>
              <w:bCs/>
            </w:rPr>
            <w:instrText xml:space="preserve"> HYPERLINK \l _Toc15932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_Toc19584 </w:instrText>
          </w:r>
          <w:r>
            <w:rPr>
              <w:bCs/>
            </w:rPr>
            <w:fldChar w:fldCharType="separate"/>
          </w:r>
          <w:r>
            <w:rPr>
              <w:rFonts w:hint="eastAsia" w:ascii="楷体" w:hAnsi="楷体" w:eastAsia="楷体"/>
              <w:szCs w:val="24"/>
            </w:rPr>
            <w:t>豆粕：产区天气炒作，短期维持高位波动</w:t>
          </w:r>
          <w:r>
            <w:rPr>
              <w:bCs/>
            </w:rPr>
            <w:fldChar w:fldCharType="end"/>
          </w:r>
        </w:p>
        <w:p>
          <w:pPr>
            <w:pStyle w:val="6"/>
            <w:tabs>
              <w:tab w:val="right" w:leader="dot" w:pos="8306"/>
            </w:tabs>
          </w:pPr>
          <w:r>
            <w:rPr>
              <w:bCs/>
            </w:rPr>
            <w:fldChar w:fldCharType="begin"/>
          </w:r>
          <w:r>
            <w:rPr>
              <w:bCs/>
            </w:rPr>
            <w:instrText xml:space="preserve"> HYPERLINK \l _Toc8859 </w:instrText>
          </w:r>
          <w:r>
            <w:rPr>
              <w:bCs/>
            </w:rPr>
            <w:fldChar w:fldCharType="separate"/>
          </w:r>
          <w:r>
            <w:rPr>
              <w:rFonts w:hint="eastAsia" w:ascii="楷体" w:hAnsi="楷体" w:eastAsia="楷体"/>
              <w:szCs w:val="24"/>
            </w:rPr>
            <w:t>油脂：短期驱动不足，建议观望</w:t>
          </w:r>
          <w:r>
            <w:rPr>
              <w:bCs/>
            </w:rPr>
            <w:fldChar w:fldCharType="end"/>
          </w:r>
        </w:p>
        <w:p>
          <w:pPr>
            <w:pStyle w:val="6"/>
            <w:tabs>
              <w:tab w:val="right" w:leader="dot" w:pos="8306"/>
            </w:tabs>
          </w:pPr>
          <w:r>
            <w:rPr>
              <w:bCs/>
            </w:rPr>
            <w:fldChar w:fldCharType="begin"/>
          </w:r>
          <w:r>
            <w:rPr>
              <w:bCs/>
            </w:rPr>
            <w:instrText xml:space="preserve"> HYPERLINK \l _Toc19722 </w:instrText>
          </w:r>
          <w:r>
            <w:rPr>
              <w:bCs/>
            </w:rPr>
            <w:fldChar w:fldCharType="separate"/>
          </w:r>
          <w:r>
            <w:rPr>
              <w:rFonts w:hint="eastAsia" w:ascii="楷体" w:hAnsi="楷体" w:eastAsia="楷体"/>
              <w:bCs/>
            </w:rPr>
            <w:t>玉米与淀粉：</w:t>
          </w:r>
          <w:r>
            <w:rPr>
              <w:rFonts w:hint="eastAsia" w:ascii="楷体" w:hAnsi="楷体" w:eastAsia="楷体"/>
            </w:rPr>
            <w:t>期价继续震荡走势</w:t>
          </w:r>
          <w:r>
            <w:rPr>
              <w:bCs/>
            </w:rPr>
            <w:fldChar w:fldCharType="end"/>
          </w:r>
        </w:p>
        <w:p>
          <w:pPr>
            <w:pStyle w:val="6"/>
            <w:tabs>
              <w:tab w:val="right" w:leader="dot" w:pos="8306"/>
            </w:tabs>
          </w:pPr>
          <w:r>
            <w:rPr>
              <w:bCs/>
            </w:rPr>
            <w:fldChar w:fldCharType="begin"/>
          </w:r>
          <w:r>
            <w:rPr>
              <w:bCs/>
            </w:rPr>
            <w:instrText xml:space="preserve"> HYPERLINK \l _Toc31017 </w:instrText>
          </w:r>
          <w:r>
            <w:rPr>
              <w:bCs/>
            </w:rPr>
            <w:fldChar w:fldCharType="separate"/>
          </w:r>
          <w:r>
            <w:rPr>
              <w:rFonts w:hint="eastAsia" w:ascii="楷体" w:hAnsi="楷体" w:eastAsia="楷体"/>
              <w:bCs/>
            </w:rPr>
            <w:t>畜禽养殖：期价震荡偏强运行</w:t>
          </w:r>
          <w:r>
            <w:rPr>
              <w:bCs/>
            </w:rPr>
            <w:fldChar w:fldCharType="end"/>
          </w:r>
        </w:p>
        <w:p>
          <w:pPr>
            <w:pStyle w:val="6"/>
            <w:tabs>
              <w:tab w:val="right" w:leader="dot" w:pos="8306"/>
            </w:tabs>
          </w:pPr>
          <w:r>
            <w:rPr>
              <w:bCs/>
            </w:rPr>
            <w:fldChar w:fldCharType="begin"/>
          </w:r>
          <w:r>
            <w:rPr>
              <w:bCs/>
            </w:rPr>
            <w:instrText xml:space="preserve"> HYPERLINK \l _Toc7538 </w:instrText>
          </w:r>
          <w:r>
            <w:rPr>
              <w:bCs/>
            </w:rPr>
            <w:fldChar w:fldCharType="separate"/>
          </w:r>
          <w:r>
            <w:rPr>
              <w:rFonts w:hint="eastAsia" w:ascii="楷体" w:hAnsi="楷体" w:eastAsia="楷体"/>
              <w:szCs w:val="24"/>
            </w:rPr>
            <w:t>郑棉：震荡上行，节前提前开启上涨模式，多单持有</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20055"/>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29834"/>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逢调整低多IM</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当前市场仍处于政策红利期，海外环境改善亦处于无法证伪阶段，叠加人民币持续升值，外资持续加大流人。使得节前A股市场呈现稳定的 大盘风格引领市场的特征。春节期间海外市场大概来将继续演绎衰退&amp;紧缩细和逻辑，地缘政治等风险再起概率也相对较低。春节后大概会面临疫后更加超预期的假期数据。从历史规律统计看，春节前布局春季行情胜率校大，节后内资回补使得中证500，中证1000在春节后胜率相对更高。我们认为，修复行情尚未结束，节前以IH，IF为代表的大盘风格相对占优，但节后市场反弹或以1C，IM中小成长风格为主。建议逢低布局春季行情。</w:t>
      </w:r>
    </w:p>
    <w:p>
      <w:pPr>
        <w:pBdr>
          <w:top w:val="single" w:color="auto" w:sz="4" w:space="0"/>
        </w:pBdr>
        <w:outlineLvl w:val="0"/>
        <w:rPr>
          <w:rFonts w:ascii="Times New Roman" w:hAnsi="Times New Roman" w:eastAsia="楷体"/>
          <w:b/>
          <w:color w:val="823C0B"/>
        </w:rPr>
      </w:pPr>
      <w:bookmarkStart w:id="7" w:name="_Toc17817"/>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8" w:name="_Toc26149"/>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美国生产端通胀下行，沪金冲高回落</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国生产端通胀进一步下行，12月PPI环比下降0.5%，同比增6.2%，均低于此前预期。美联储经济状况褐皮书显示，美国经济活动整体上相对持平，大部分地区的物价及就业温和增长。昨日多位美联储官员均表态称，预计将加息至5%上方。美国通胀环比下降，美联储货币政策鸽派预期提振贵金属价格表现，但联储官员鹰派讲话对金价涨幅有所限制，夜盘沪金冲高回落。此前思路不变，建议沪金、沪银回踩逢低做多，此前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金属"/>
      <w:bookmarkStart w:id="10" w:name="_Toc3096"/>
      <w:bookmarkStart w:id="11" w:name="_Toc20891"/>
      <w:bookmarkStart w:id="12" w:name="_Toc27976"/>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5371"/>
      <w:bookmarkStart w:id="15" w:name="_Toc27831"/>
      <w:bookmarkStart w:id="16" w:name="_Toc29113"/>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提报下情绪较强，钢价震荡运行</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节前交易更多以情绪为主，监管冲击落地后，提保下盘面偏强震荡。预计钢价在（4100,4200）区间继续震荡。</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11356"/>
      <w:bookmarkStart w:id="18" w:name="_Toc4790"/>
      <w:bookmarkStart w:id="19" w:name="_Toc23112"/>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暂无升水驱动，盘面随钢价波动</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节前提涨两轮后，铁水见底回升，现货或偏稳运行，盘面修复基差后随成材震荡运行，提保下盘面情绪偏强，预计震荡运行区间（2780,2900）。</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13478"/>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估值修复后偏强震荡</w:t>
      </w:r>
      <w:bookmarkEnd w:id="20"/>
    </w:p>
    <w:p>
      <w:pPr>
        <w:ind w:left="630" w:leftChars="300"/>
        <w:rPr>
          <w:rFonts w:ascii="楷体" w:hAnsi="楷体" w:eastAsia="楷体"/>
          <w:bCs/>
          <w:sz w:val="24"/>
          <w:szCs w:val="24"/>
        </w:rPr>
      </w:pPr>
      <w:r>
        <w:rPr>
          <w:rFonts w:hint="eastAsia" w:ascii="楷体" w:hAnsi="楷体" w:eastAsia="楷体"/>
          <w:sz w:val="24"/>
          <w:szCs w:val="24"/>
        </w:rPr>
        <w:t>盘面提前反应下悲观情绪，焦炭现货止跌后反弹修复基差，后续随钢价或震荡运行，预计运行区间（1850,1950）。</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9719"/>
      <w:bookmarkStart w:id="22" w:name="_Toc25617"/>
      <w:bookmarkStart w:id="23" w:name="_Toc18524"/>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美指低位波动， 铜价延续高位运行</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劳工部周三的数据显示，上月生产者价格指数下跌0.5%，为2020年4月以来的最大跌幅，较上年同期上涨6.2%。经济学家的预期为环比下滑0.18%。剔除波动较大的食品和能源成分，12月份核心PPI同比上涨0.1%，同比涨幅5.5%。</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(2)库存：1月18日，SHFE仓单库存81172吨，增1975吨；LME 仓单库存81925吨，减1400吨。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(3)精废价差：1月18日，Mysteel精废价差3113，扩大729。目前价差在合理价差1397之上。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12月PPI通胀加速回落，美元徘徊七个月低位，隔夜铜价跟随美元指数大幅波动。春节将至，下游企业基本已经放假，需求预计难有起色，成交将维持低迷。库存仍处季节性累积中，沪铜近月合约维持contango结构，月差在200上下波动，强预期弱现实仍在演绎，短期需求难以证伪，价格或延续高位运行。节前建议谨慎观望为主。</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6247"/>
      <w:bookmarkStart w:id="25" w:name="_Toc8897"/>
      <w:bookmarkStart w:id="26" w:name="_Toc18427"/>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乐观预期推上价格，实际供需情况支撑乏力</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日本央行公布利率决议未如市场预期调整YCC，欧美加息转向偏鸽，市场情绪大受提振，国内金融市场近期北水资金流入，国内多项地产、消费利好政策持续出台，经济运行基调维持宽松，海内外交投情绪持续走强，铝价再度突破万九向上承压。铝市仍为供需两弱，供应端有西南地区产能减产，需求有疫情叠加节前传统淡季影响压制，海内外库存分化，海外去库国内累库，从基本面上看供应缺口对价格有所支撑，需求疲弱抑制价格，建议逢高做空，注意价格回落风险。</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28486"/>
      <w:r>
        <w:rPr>
          <w:rFonts w:hint="eastAsia" w:ascii="楷体" w:hAnsi="楷体" w:eastAsia="楷体"/>
          <w:b/>
          <w:color w:val="000000" w:themeColor="text1"/>
          <w:sz w:val="24"/>
          <w:szCs w:val="24"/>
          <w14:textFill>
            <w14:solidFill>
              <w14:schemeClr w14:val="tx1"/>
            </w14:solidFill>
          </w14:textFill>
        </w:rPr>
        <w:t>锌：宏观情绪走强带动价格，上驱动力核心仍待节后供需证伪</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18日沪锌隔夜收盘价格24410元/吨，涨幅0.6%，上海有色网0#锌锭（Zn99.995）现货报价24050元/吨，较上一统计日报价上涨20元/吨。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欧美鹰派加息情绪走弱，日本预计仍延续宽松政策，国内经济运行基调鼓励向好，宏观情绪走升极大提振市场交投。锌市供修需疲，国内库存进入季节性累库阶段，长期供给增加，然而需求相对偏弱，节前企业开工下滑，基本面情况短期难有较大变化，价格仍有较强支撑但上驱动力不强，锌价偏强震荡，逢高可轻仓试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17310"/>
      <w:r>
        <w:rPr>
          <w:rFonts w:hint="eastAsia" w:ascii="楷体" w:hAnsi="楷体" w:eastAsia="楷体"/>
          <w:b/>
          <w:color w:val="000000" w:themeColor="text1"/>
          <w:sz w:val="24"/>
          <w:szCs w:val="24"/>
          <w14:textFill>
            <w14:solidFill>
              <w14:schemeClr w14:val="tx1"/>
            </w14:solidFill>
          </w14:textFill>
        </w:rPr>
        <w:t>镍：短期存震荡整理需求，前期高位空单可考虑止盈</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次镍价大跌，主因青山国内电积镍代加工产能投产，为镍元素供应向纯镍供应传导增加了新的渠道，供应持续增加，可以缓解仓单不足的问题，整体预期和情绪有所改变。但当前交割品库存、市场现货流动性依旧很低，镍价继续下跌或不会太流畅，短期存震荡整理需求。操作上，前期高位空单可考虑止盈。</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29146"/>
      <w:r>
        <w:rPr>
          <w:rFonts w:hint="eastAsia" w:ascii="楷体" w:hAnsi="楷体" w:eastAsia="楷体"/>
          <w:b/>
          <w:color w:val="000000" w:themeColor="text1"/>
          <w:sz w:val="24"/>
          <w:szCs w:val="24"/>
          <w14:textFill>
            <w14:solidFill>
              <w14:schemeClr w14:val="tx1"/>
            </w14:solidFill>
          </w14:textFill>
        </w:rPr>
        <w:t>不锈钢：社库累积持续施压价格，震荡为主</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到短期疫情冲击影响，叠加淡季，不锈钢需求疲弱，社会库存持续明显增加，短期价格仍将承压运行。但向下亦存在较强成本支撑，下跌空间亦不大。当前价格跟随宏观情绪波动，短期缺乏方向性，预计震荡为主。</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193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年前基本面偏弱，硅价万8上方压力明显</w:t>
      </w:r>
      <w:bookmarkEnd w:id="30"/>
    </w:p>
    <w:p>
      <w:pPr>
        <w:ind w:left="630" w:leftChars="300"/>
        <w:rPr>
          <w:rFonts w:hint="eastAsia" w:ascii="楷体" w:hAnsi="楷体" w:eastAsia="楷体"/>
          <w:sz w:val="24"/>
          <w:szCs w:val="24"/>
        </w:rPr>
      </w:pPr>
      <w:r>
        <w:rPr>
          <w:rFonts w:hint="eastAsia" w:ascii="楷体" w:hAnsi="楷体" w:eastAsia="楷体"/>
          <w:sz w:val="24"/>
          <w:szCs w:val="24"/>
        </w:rPr>
        <w:t>1月18日，Si2308主力合约呈震荡上行走势，收涨17710元/吨，较上一收盘价涨幅0.54%，持仓量继续增加突破8万手,成交量创新高达到4.3万手，市场流动性继续提高。</w:t>
      </w:r>
    </w:p>
    <w:p>
      <w:pPr>
        <w:ind w:left="630" w:leftChars="300"/>
        <w:rPr>
          <w:rFonts w:ascii="楷体" w:hAnsi="楷体" w:eastAsia="楷体"/>
          <w:sz w:val="24"/>
          <w:szCs w:val="24"/>
        </w:rPr>
      </w:pPr>
      <w:r>
        <w:rPr>
          <w:rFonts w:hint="eastAsia" w:ascii="楷体" w:hAnsi="楷体" w:eastAsia="楷体"/>
          <w:sz w:val="24"/>
          <w:szCs w:val="24"/>
        </w:rPr>
        <w:t>从基本面看，春节前夕报价的持货商整体心态也较为平和，且多地物流逐步停运，买卖双方多进入休假状态，整体交投氛围清淡，市场偏弱状态并无改变。但节后需求修复预期下，盘面或维持震荡偏强走势，预计运行区间（17500，17800），短期价格高位建议观望为主，若有低位机会，可尝试做多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16046"/>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25678"/>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节前维持区间操作</w:t>
      </w:r>
      <w:bookmarkEnd w:id="33"/>
    </w:p>
    <w:p>
      <w:pPr>
        <w:ind w:left="630" w:leftChars="300"/>
        <w:rPr>
          <w:rFonts w:ascii="楷体" w:hAnsi="楷体" w:eastAsia="楷体"/>
          <w:sz w:val="24"/>
          <w:szCs w:val="24"/>
        </w:rPr>
      </w:pPr>
      <w:r>
        <w:rPr>
          <w:rFonts w:hint="eastAsia" w:ascii="楷体" w:hAnsi="楷体" w:eastAsia="楷体"/>
          <w:sz w:val="24"/>
          <w:szCs w:val="24"/>
        </w:rPr>
        <w:t>供需情况，1.9 华东主港地区MEG港口库存约90.3万吨附近，环比上期减少3万吨。近期港口到货尚可，港口发货良好，本周港口库存小幅去化。1.15国内乙二醇华东总到港量预计在13.35万吨，较上一期减少0.15万吨，到港持续偏少。 开工情况，截至1月12日，中国大陆地区乙二醇整体开工负荷在62.81%（-1.37%），其中煤制乙二醇开工负荷在56.52%（+0.22%）。从聚酯需求端来看，本周聚酯检修基本按照计划执行，同时也有部分前期检修的装置陆续恢复。截至本周四国内大陆地区聚酯负荷在66.1%。截至1.13，江浙加弹开工率4%（-10%）、江浙织机开工率1%（-13%）、浙江印染开工率0%（-24%)。综合来看，近期供应端开工率小幅下滑，且年度检修计划显示5月前后大装置检修较多。江浙下游加弹仅存一些聚合配套的大厂还在正常开车运行，各地织造和印染全面放假。近期下游节前有一定的备货行为，港口去化没有持续累库及成本端煤价走高提振盘面走势。临近春节，乙二醇空头大幅度减仓反弹。预估节前维持4100-4400区间震荡。</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14162"/>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：跟随成本端回调</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供需方面，本周嘉兴石化220万吨出料正常运行，个别装置小幅降负，威联化学一条线重启中，预计近期出产品，至1.13 PTA负荷提升至69%（+2.4%)附近。本周聚酯检修基本按照计划执行，同时也有部分前期检修的装置陆续恢复。截至1.13，初步核算国内大陆地区聚酯负荷在66.1%，小幅回落。终端方面，江浙终端全面放假，随着年末收款增加，终端工厂在进行原料备货的追加。终端减产及检修计划已达到极值，直纺长丝负荷有拐点提升预期。且经过12月份的快速去库，长丝工厂去库明显。预计1月底聚酯将陆续开车，至2月上旬基本恢复。宏观情绪降温及油价高位回落，早盘面临回调风险。</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5" w:name="_Toc17359"/>
      <w:r>
        <w:rPr>
          <w:rFonts w:hint="eastAsia" w:ascii="楷体" w:hAnsi="楷体" w:eastAsia="楷体"/>
          <w:b/>
          <w:color w:val="000000" w:themeColor="text1"/>
          <w:sz w:val="24"/>
          <w:szCs w:val="24"/>
          <w14:textFill>
            <w14:solidFill>
              <w14:schemeClr w14:val="tx1"/>
            </w14:solidFill>
          </w14:textFill>
        </w:rPr>
        <w:t>PVC:</w:t>
      </w:r>
      <w:r>
        <w:rPr>
          <w:rFonts w:hint="eastAsia" w:ascii="楷体" w:hAnsi="楷体"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color w:val="000000" w:themeColor="text1"/>
          <w:sz w:val="24"/>
          <w:szCs w:val="24"/>
          <w14:textFill>
            <w14:solidFill>
              <w14:schemeClr w14:val="tx1"/>
            </w14:solidFill>
          </w14:textFill>
        </w:rPr>
        <w:t>强预期及出口增量提振 关注回调加多的机会</w:t>
      </w:r>
      <w:bookmarkEnd w:id="35"/>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供应方面，随着装置利润明显修复，PVC生产企业检修损失量明显下降，行业开工负荷率逐步提升。 本周期国内PVC行业整体开工负荷率继续提升，周内无新增检修企业，部分前期停车及偏低负荷运行企业本周产量有所提升。据卓创资讯数据显示，截止1.06 PVC整体开工负荷率77.94%，环比提升1.98%；其中电石法PVC开工负荷率76.5%，环比提升2.03%；乙烯法PVC开工负荷率83.11%，环比提升1.86%。除了存量开工提升以外，1月份还有信发、聚隆、广西华谊累计120万吨新装置部分将量产。社会库存方面，随着在途货源及待卸货源的逐步入库，近期社库累库幅度加快，但12月份部分生产企业出口接单量25万左右，出口订单若在1月出现集中交付将延缓社库的累库进程。听闻印度市场采购仍十分积极，季节性旺季补库还未到尾，短期来看出口增量对于价格仍能起到边际利好驱动。需求方面，1月份下半月多数制品企业将多数放假，整体需求将明显减弱。但考虑到当前价格偏低，制品企业或将在1月份存在适当备货现象。总的来说，虽供需边际仍在走弱，但PVC强预期及出口增量仍主导盘面走势。在宏观氛围仍旧偏好及低价补库预期下，把握回调后加多的机会。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6" w:name="_Toc23086"/>
      <w:r>
        <w:rPr>
          <w:rFonts w:hint="eastAsia" w:ascii="楷体" w:hAnsi="楷体" w:eastAsia="楷体"/>
          <w:b/>
          <w:color w:val="000000" w:themeColor="text1"/>
          <w:sz w:val="24"/>
          <w:szCs w:val="24"/>
          <w14:textFill>
            <w14:solidFill>
              <w14:schemeClr w14:val="tx1"/>
            </w14:solidFill>
          </w14:textFill>
        </w:rPr>
        <w:t>聚烯烃：节前终端需求降至低位，聚烯烃或窄幅整理</w:t>
      </w:r>
      <w:bookmarkEnd w:id="36"/>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窄幅上涨。库存方面，1月6日国内PE库存环比12月30日增加3.13%，其中样本主要生产环节PE库存环比增加9.81%，PE样本港口库存环比下降1.92%，样本贸易企业库存环比增加1.48%。1月6日国内PP库存环比上升7.76%。其中主要生产环节PP库存上升、贸易商库存、港口库存均有下降。供应方面，供应方面，本周PE、PP暂无装置开/停车检修。成本端方面，国际能源署上调需求预测， 国际油价盘中上涨至去年12月初以来最高。然而对美国经济衰退和进一步加息的担忧挥之不去，欧美原油期货收盘走低，目前油制PE利润大约为-427.49元/吨，油制PP利润大约为-1558.60元/吨，相较年度偏低位置已有较大恢复；需求方面，PE下游方面，棚膜需求持续减弱，地膜订单跟进缓慢，农膜厂家仍略显谨慎，坚持刚需采购。PP方面，BOPP整体成交一般，BOPP企业未交付订单多数在10-20天，部分至2月中旬。综合来看，节前市场宏观预期持续改善，资金情绪转暖带动盘面震荡走高，然目前需求补库较少，现货跟涨有限。原油成本端回落对聚烯烃支撑力度改变不大，假期将至，下游工厂开工负荷下降，需求日渐走弱，在昨日现货反弹后终端多观望为主预计今日聚烯烃窄幅整理。短期暂时维持小幅调整，中长期依旧有下行风险。年初PE、PP仍有多套装置等待投产，叠加进口套利窗口打开，供应压力不减。塑料供需趋弱累库下高空思路不变，上行空间有限。预计近期在供需弱平衡下聚烯烃将窄幅偏弱整理，短期PP 7800左右支撑较强和PE 8000压力位左右支撑较强。仅供参考。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7" w:name="_Toc15932"/>
      <w:r>
        <w:rPr>
          <w:rFonts w:hint="eastAsia" w:ascii="Times New Roman" w:hAnsi="Times New Roman" w:eastAsia="楷体"/>
          <w:b/>
          <w:color w:val="823C0B"/>
          <w:sz w:val="30"/>
          <w:szCs w:val="30"/>
        </w:rPr>
        <w:t>[农产品]</w:t>
      </w:r>
      <w:bookmarkEnd w:id="13"/>
      <w:bookmarkEnd w:id="37"/>
    </w:p>
    <w:p>
      <w:pPr>
        <w:ind w:left="420" w:leftChars="200"/>
        <w:outlineLvl w:val="1"/>
        <w:rPr>
          <w:rFonts w:hint="eastAsia" w:ascii="楷体" w:hAnsi="楷体" w:eastAsia="楷体"/>
          <w:b/>
          <w:sz w:val="24"/>
          <w:szCs w:val="24"/>
        </w:rPr>
      </w:pPr>
      <w:bookmarkStart w:id="38" w:name="_Toc19584"/>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产区天气炒作，短期维持高位波动</w:t>
      </w:r>
      <w:bookmarkEnd w:id="38"/>
    </w:p>
    <w:p>
      <w:pPr>
        <w:ind w:left="630" w:leftChars="300"/>
        <w:rPr>
          <w:rFonts w:ascii="楷体" w:hAnsi="楷体" w:eastAsia="楷体"/>
          <w:sz w:val="24"/>
          <w:szCs w:val="24"/>
        </w:rPr>
      </w:pPr>
      <w:r>
        <w:rPr>
          <w:rFonts w:hint="eastAsia" w:ascii="楷体" w:hAnsi="楷体" w:eastAsia="楷体"/>
          <w:sz w:val="24"/>
          <w:szCs w:val="24"/>
        </w:rPr>
        <w:t>外盘方面，在近期南美降雨预期下美豆小幅承压，但预计南美已受损作物已难以挽回，同时市场认为美农报告仍有进一步下调阿根廷产量的可能。南美产量的不确定性短期支撑美豆维持高位盘整，我国进口成本也居高难下。国内市场，随着延迟到港量船只在12月份陆续到港，大豆港口库存累库速度有所加快，但在进口榨利亏损下1-2月进口缺口仍存。油厂开机及压榨在大部分油厂的停机计划下预计下调，豆粕库存累库进度预计放缓。下游养殖利润近期表现不佳，饲企和养殖企业等对豆粕采购需求减弱，且节前备货基本结束，需求表现整体偏弱。在供应预期增加及需求减弱下，使得豆粕上方承压，但在南美上市前及基差高位下，短期豆粕随美豆震荡偏强，临近春节建议谨慎操作；中长期维持供给恢复预期，在巴西丰产下，关注后期巴西出口节奏，或给市场构成一定压力，可关注5-9反套机会或轻仓逢高试空。</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9" w:name="_Toc8859"/>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短期驱动不足，建议观望</w:t>
      </w:r>
      <w:bookmarkEnd w:id="39"/>
    </w:p>
    <w:p>
      <w:pPr>
        <w:ind w:left="630" w:leftChars="300"/>
        <w:rPr>
          <w:rFonts w:ascii="楷体" w:hAnsi="楷体" w:eastAsia="楷体"/>
          <w:sz w:val="24"/>
          <w:szCs w:val="24"/>
        </w:rPr>
      </w:pPr>
      <w:r>
        <w:rPr>
          <w:rFonts w:hint="eastAsia" w:ascii="楷体" w:hAnsi="楷体" w:eastAsia="楷体"/>
          <w:sz w:val="24"/>
          <w:szCs w:val="24"/>
        </w:rPr>
        <w:t>外盘方面，宏观情绪回暖提振，国际原油价格保持强势带动植物油市场价格回升。棕榈油方面，由于12月MPOB报告公布后，减产幅度符合市场预估，且库存降幅在出口环比减少下不及预期，使得减产支撑减弱。但一季度仍处于棕榈油减产周期，同时在印尼政策利好下，仍存潜在利多因素。国内棕榈油供应较充裕，需求方面在冬季消费淡季下增量有限，棕榈油库存当前在进口下滑下，逐步进入去库阶段，去库速度仍需关注节后需求。近期豆油虽节前阶段性备货阶段逐步结束，但当前为豆油传统消费旺季，需求端略有支撑。供应端随着12月到港修复，进口大豆库存持续回升，油厂压榨维持高位后边际供应预计逐渐好转，关注豆油库存修复情况，短期在库存低位下延续近强远弱格局。菜油在供应边际预期改善下，同时在轮储计划下近月承压。但在库存尚未明显修复下，基差维持高位。随着进口加籽到港量逐步增加，菜籽库存维持高位。同时在节前传统旺季备货结束下，菜油库存预计逐步修复，但短期内缺口仍存。预计油脂在供应边际增加及下游消费复苏情况仍待观望，短期油脂预计维持底部宽幅震荡，当前已跌至区间下沿附近，关注下方支撑，前期高位做缩菜棕及菜豆05价差策略仍可继续持有。</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40" w:name="_Toc1972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期价继续震荡走势</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目前处于被动去库存到主动补库存的转换时刻，对于当前具体处于哪一阶段尚难以确定，参考去年情况来看，新作上市压力释放的被动去库存或已经结束，接下来有望进入新一轮主动补库存阶段。但参考2019年情形来看，春节或仍存在余粮压力，而目前远月合约即5-7-9-11月依然贴水，再加上美玉米近月船期进口到港成本显著低于国内现货价格，或抑制中下游补库积极性，这意味着国内玉米市场仍处于被动去库存阶段。在这种情况下，我们维持中性，建议投资者观望为宜。</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表现分化，主要源于市场现实与预期的不同，当前现实是目前下游需求依然疲弱，行业库存处于历史同期高位，而预期则趋于乐观，主要源于疫情担忧缓解下的需求改善预期，副产品价差近期加速下跌带动现货生产利润转为亏损，有望通过行业开机率收缩供应，继而带动供需改善。后期变数在于成本端，特别春节前市场会否转而担心节后仍有余粮压力。在这种情况下，我们建议观望为宜，节后再行入场。</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31017"/>
      <w:r>
        <w:rPr>
          <w:rFonts w:hint="eastAsia" w:ascii="楷体" w:hAnsi="楷体" w:eastAsia="楷体"/>
          <w:b/>
          <w:bCs/>
          <w:color w:val="000000" w:themeColor="text1"/>
          <w14:textFill>
            <w14:solidFill>
              <w14:schemeClr w14:val="tx1"/>
            </w14:solidFill>
          </w14:textFill>
        </w:rPr>
        <w:t>畜禽养殖：期价震荡偏强运行</w:t>
      </w:r>
      <w:bookmarkEnd w:id="41"/>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在月报中我们指出，短期即春节前市场供需及其现货走势有望带来市场预期的变动，这包括两个层面，其一是需求改善或者恢复的幅度，其二是供应已经及其有待释放的部分。中期还需要猪价对生猪周期潜在影响的可能性，因12月以来猪价跌破成本线大概率打破前期产能恢复节奏，但后期供需改善带动猪价上涨，会否再度恢复能繁母猪补栏值得重点留意，这意味近月期价如3月和5月合约可能低估，而远月合约则可能被高估。在这种情况下，考虑到近期现货价格表现疲弱，表明节前供需依然宽松，即供应压力仍有待释放，这也意味着节后不确定性加大，虽然维持谨慎看多观点，但建议投资者节前离场为宜。</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前期报告中我们指出，今年鸡蛋延续2020年以来的供需两弱格局，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结合上述生猪供需潜在变化，我们倾向于可能发生在5月之前。在这种情况下，维持谨慎看多观点，建议前期5月合约多单（如有的话）建议继续持有，不建议追多。</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2" w:name="_Toc7538"/>
      <w:r>
        <w:rPr>
          <w:rFonts w:hint="eastAsia" w:ascii="楷体" w:hAnsi="楷体" w:eastAsia="楷体"/>
          <w:b/>
          <w:sz w:val="24"/>
          <w:szCs w:val="24"/>
        </w:rPr>
        <w:t>郑棉：震荡上行，节前提前开启上涨模式，多单持有</w:t>
      </w:r>
      <w:bookmarkEnd w:id="42"/>
    </w:p>
    <w:p>
      <w:pPr>
        <w:ind w:left="630" w:leftChars="300"/>
        <w:rPr>
          <w:rFonts w:ascii="楷体" w:hAnsi="楷体" w:eastAsia="楷体"/>
          <w:sz w:val="24"/>
          <w:szCs w:val="24"/>
        </w:rPr>
      </w:pPr>
      <w:r>
        <w:rPr>
          <w:rFonts w:hint="eastAsia" w:ascii="楷体" w:hAnsi="楷体" w:eastAsia="楷体"/>
          <w:sz w:val="24"/>
          <w:szCs w:val="24"/>
        </w:rPr>
        <w:t>据各方询问，当前产业的市场信心明显好转，对年后行情多持乐观态度。部分企业有提价计划。不过，虽然预期颇为乐观，但多数企业尚不认为棉价具备趋势性大涨基础。终端消费数据环比好转但和历年相比依然处于相对低位。前期多单继续持有。</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12779"/>
      <w:bookmarkStart w:id="44" w:name="_Toc72481108"/>
      <w:bookmarkStart w:id="45" w:name="_Toc98426751"/>
      <w:bookmarkStart w:id="46" w:name="_Toc71212556"/>
      <w:bookmarkStart w:id="47" w:name="_Toc19667"/>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2023年1月19日星期四</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F160E3"/>
    <w:rsid w:val="0C1F7DEE"/>
    <w:rsid w:val="0CDE660D"/>
    <w:rsid w:val="0D032A7C"/>
    <w:rsid w:val="0F662138"/>
    <w:rsid w:val="100732C8"/>
    <w:rsid w:val="10DA6205"/>
    <w:rsid w:val="129B2E20"/>
    <w:rsid w:val="12AA5DF8"/>
    <w:rsid w:val="15364A7C"/>
    <w:rsid w:val="15D52593"/>
    <w:rsid w:val="197E6634"/>
    <w:rsid w:val="1B8A2034"/>
    <w:rsid w:val="1BC72FF7"/>
    <w:rsid w:val="1D5030CD"/>
    <w:rsid w:val="1DFF64E4"/>
    <w:rsid w:val="2056595D"/>
    <w:rsid w:val="20AE4DE8"/>
    <w:rsid w:val="21996AC1"/>
    <w:rsid w:val="219F3EE2"/>
    <w:rsid w:val="24321B2E"/>
    <w:rsid w:val="244B21DE"/>
    <w:rsid w:val="247F3074"/>
    <w:rsid w:val="24B82D9D"/>
    <w:rsid w:val="258A2E5C"/>
    <w:rsid w:val="25B924F3"/>
    <w:rsid w:val="26F95364"/>
    <w:rsid w:val="2CA93C52"/>
    <w:rsid w:val="2D912E3A"/>
    <w:rsid w:val="2DC02C2B"/>
    <w:rsid w:val="2DE440F7"/>
    <w:rsid w:val="2FA70F17"/>
    <w:rsid w:val="340E7198"/>
    <w:rsid w:val="34A75784"/>
    <w:rsid w:val="373F75CC"/>
    <w:rsid w:val="3AC9385E"/>
    <w:rsid w:val="3B3306F0"/>
    <w:rsid w:val="3B563B4D"/>
    <w:rsid w:val="3C2825B0"/>
    <w:rsid w:val="3C2B26B7"/>
    <w:rsid w:val="3D8B796D"/>
    <w:rsid w:val="3DA80A30"/>
    <w:rsid w:val="3EC32453"/>
    <w:rsid w:val="3EE0186C"/>
    <w:rsid w:val="3F345DBE"/>
    <w:rsid w:val="441077D2"/>
    <w:rsid w:val="44396064"/>
    <w:rsid w:val="459609D9"/>
    <w:rsid w:val="45A37566"/>
    <w:rsid w:val="45CF0A85"/>
    <w:rsid w:val="46194A11"/>
    <w:rsid w:val="47752ACA"/>
    <w:rsid w:val="4AB74C38"/>
    <w:rsid w:val="4B6224E5"/>
    <w:rsid w:val="4B8C4A56"/>
    <w:rsid w:val="4D2A3925"/>
    <w:rsid w:val="4DB20386"/>
    <w:rsid w:val="5005695E"/>
    <w:rsid w:val="50286811"/>
    <w:rsid w:val="51266B84"/>
    <w:rsid w:val="546B5509"/>
    <w:rsid w:val="548642E9"/>
    <w:rsid w:val="56DD4D3A"/>
    <w:rsid w:val="57CB522F"/>
    <w:rsid w:val="59C52328"/>
    <w:rsid w:val="5D5617A6"/>
    <w:rsid w:val="5EA7685B"/>
    <w:rsid w:val="62710E5F"/>
    <w:rsid w:val="64C32497"/>
    <w:rsid w:val="66D04BBC"/>
    <w:rsid w:val="685D4EEE"/>
    <w:rsid w:val="6B292599"/>
    <w:rsid w:val="6ECB7DD2"/>
    <w:rsid w:val="713E0334"/>
    <w:rsid w:val="729B5F03"/>
    <w:rsid w:val="72F62A89"/>
    <w:rsid w:val="737357AF"/>
    <w:rsid w:val="75292EAC"/>
    <w:rsid w:val="75775016"/>
    <w:rsid w:val="778F5135"/>
    <w:rsid w:val="78E55995"/>
    <w:rsid w:val="7ABE4B56"/>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6614</Words>
  <Characters>7166</Characters>
  <Lines>50</Lines>
  <Paragraphs>14</Paragraphs>
  <TotalTime>0</TotalTime>
  <ScaleCrop>false</ScaleCrop>
  <LinksUpToDate>false</LinksUpToDate>
  <CharactersWithSpaces>7192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2023-01-19T01:38:12Z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