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bookmarkStart w:id="48" w:name="_GoBack"/>
    </w:p>
    <w:bookmarkEnd w:id="48"/>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_Toc16556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_Toc48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逢调整低多IM</w:t>
          </w:r>
          <w:r>
            <w:rPr>
              <w:bCs/>
            </w:rPr>
            <w:fldChar w:fldCharType="end"/>
          </w:r>
        </w:p>
        <w:p>
          <w:pPr>
            <w:pStyle w:val="5"/>
            <w:tabs>
              <w:tab w:val="right" w:leader="dot" w:pos="8306"/>
            </w:tabs>
          </w:pPr>
          <w:r>
            <w:rPr>
              <w:bCs/>
            </w:rPr>
            <w:fldChar w:fldCharType="begin"/>
          </w:r>
          <w:r>
            <w:rPr>
              <w:bCs/>
            </w:rPr>
            <w:instrText xml:space="preserve"> HYPERLINK \l _Toc20126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_Toc19350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关注美国PPI通胀数据，沪金窄幅震荡</w:t>
          </w:r>
          <w:r>
            <w:rPr>
              <w:bCs/>
            </w:rPr>
            <w:fldChar w:fldCharType="end"/>
          </w:r>
        </w:p>
        <w:p>
          <w:pPr>
            <w:pStyle w:val="5"/>
            <w:tabs>
              <w:tab w:val="right" w:leader="dot" w:pos="8306"/>
            </w:tabs>
          </w:pPr>
          <w:r>
            <w:rPr>
              <w:bCs/>
            </w:rPr>
            <w:fldChar w:fldCharType="begin"/>
          </w:r>
          <w:r>
            <w:rPr>
              <w:bCs/>
            </w:rPr>
            <w:instrText xml:space="preserve"> HYPERLINK \l _Toc11865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_Toc448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节前情绪冲击下，钢价承压运行</w:t>
          </w:r>
          <w:r>
            <w:rPr>
              <w:bCs/>
            </w:rPr>
            <w:fldChar w:fldCharType="end"/>
          </w:r>
        </w:p>
        <w:p>
          <w:pPr>
            <w:pStyle w:val="6"/>
            <w:tabs>
              <w:tab w:val="right" w:leader="dot" w:pos="8306"/>
            </w:tabs>
          </w:pPr>
          <w:r>
            <w:rPr>
              <w:bCs/>
            </w:rPr>
            <w:fldChar w:fldCharType="begin"/>
          </w:r>
          <w:r>
            <w:rPr>
              <w:bCs/>
            </w:rPr>
            <w:instrText xml:space="preserve"> HYPERLINK \l _Toc14953 </w:instrText>
          </w:r>
          <w:r>
            <w:rPr>
              <w:bCs/>
            </w:rPr>
            <w:fldChar w:fldCharType="separate"/>
          </w:r>
          <w:r>
            <w:rPr>
              <w:rFonts w:hint="eastAsia" w:ascii="楷体" w:hAnsi="楷体" w:eastAsia="楷体"/>
              <w:szCs w:val="24"/>
            </w:rPr>
            <w:t>焦炭：暂无升水驱动，盘面随钢价波动</w:t>
          </w:r>
          <w:r>
            <w:rPr>
              <w:bCs/>
            </w:rPr>
            <w:fldChar w:fldCharType="end"/>
          </w:r>
        </w:p>
        <w:p>
          <w:pPr>
            <w:pStyle w:val="6"/>
            <w:tabs>
              <w:tab w:val="right" w:leader="dot" w:pos="8306"/>
            </w:tabs>
          </w:pPr>
          <w:r>
            <w:rPr>
              <w:bCs/>
            </w:rPr>
            <w:fldChar w:fldCharType="begin"/>
          </w:r>
          <w:r>
            <w:rPr>
              <w:bCs/>
            </w:rPr>
            <w:instrText xml:space="preserve"> HYPERLINK \l _Toc17922 </w:instrText>
          </w:r>
          <w:r>
            <w:rPr>
              <w:bCs/>
            </w:rPr>
            <w:fldChar w:fldCharType="separate"/>
          </w:r>
          <w:r>
            <w:rPr>
              <w:rFonts w:hint="eastAsia" w:ascii="楷体" w:hAnsi="楷体" w:eastAsia="楷体"/>
              <w:szCs w:val="24"/>
            </w:rPr>
            <w:t>焦煤：估值修复后偏强震荡</w:t>
          </w:r>
          <w:r>
            <w:rPr>
              <w:bCs/>
            </w:rPr>
            <w:fldChar w:fldCharType="end"/>
          </w:r>
        </w:p>
        <w:p>
          <w:pPr>
            <w:pStyle w:val="6"/>
            <w:tabs>
              <w:tab w:val="right" w:leader="dot" w:pos="8306"/>
            </w:tabs>
          </w:pPr>
          <w:r>
            <w:rPr>
              <w:bCs/>
            </w:rPr>
            <w:fldChar w:fldCharType="begin"/>
          </w:r>
          <w:r>
            <w:rPr>
              <w:bCs/>
            </w:rPr>
            <w:instrText xml:space="preserve"> HYPERLINK \l _Toc22500 </w:instrText>
          </w:r>
          <w:r>
            <w:rPr>
              <w:bCs/>
            </w:rPr>
            <w:fldChar w:fldCharType="separate"/>
          </w:r>
          <w:r>
            <w:rPr>
              <w:rFonts w:hint="eastAsia" w:ascii="楷体" w:hAnsi="楷体" w:eastAsia="楷体"/>
              <w:szCs w:val="24"/>
            </w:rPr>
            <w:t>铜：延续高位运行</w:t>
          </w:r>
          <w:r>
            <w:rPr>
              <w:bCs/>
            </w:rPr>
            <w:fldChar w:fldCharType="end"/>
          </w:r>
        </w:p>
        <w:p>
          <w:pPr>
            <w:pStyle w:val="6"/>
            <w:tabs>
              <w:tab w:val="right" w:leader="dot" w:pos="8306"/>
            </w:tabs>
          </w:pPr>
          <w:r>
            <w:rPr>
              <w:bCs/>
            </w:rPr>
            <w:fldChar w:fldCharType="begin"/>
          </w:r>
          <w:r>
            <w:rPr>
              <w:bCs/>
            </w:rPr>
            <w:instrText xml:space="preserve"> HYPERLINK \l _Toc17388 </w:instrText>
          </w:r>
          <w:r>
            <w:rPr>
              <w:bCs/>
            </w:rPr>
            <w:fldChar w:fldCharType="separate"/>
          </w:r>
          <w:r>
            <w:rPr>
              <w:rFonts w:hint="eastAsia" w:ascii="楷体" w:hAnsi="楷体" w:eastAsia="楷体"/>
              <w:szCs w:val="24"/>
            </w:rPr>
            <w:t>铝：铝价偏强震荡为主，反弹有限注意风险</w:t>
          </w:r>
          <w:r>
            <w:rPr>
              <w:bCs/>
            </w:rPr>
            <w:fldChar w:fldCharType="end"/>
          </w:r>
        </w:p>
        <w:p>
          <w:pPr>
            <w:pStyle w:val="6"/>
            <w:tabs>
              <w:tab w:val="right" w:leader="dot" w:pos="8306"/>
            </w:tabs>
          </w:pPr>
          <w:r>
            <w:rPr>
              <w:bCs/>
            </w:rPr>
            <w:fldChar w:fldCharType="begin"/>
          </w:r>
          <w:r>
            <w:rPr>
              <w:bCs/>
            </w:rPr>
            <w:instrText xml:space="preserve"> HYPERLINK \l _Toc7105 </w:instrText>
          </w:r>
          <w:r>
            <w:rPr>
              <w:bCs/>
            </w:rPr>
            <w:fldChar w:fldCharType="separate"/>
          </w:r>
          <w:r>
            <w:rPr>
              <w:rFonts w:hint="eastAsia" w:ascii="楷体" w:hAnsi="楷体" w:eastAsia="楷体"/>
              <w:szCs w:val="24"/>
            </w:rPr>
            <w:t>锌：锌库累库拐点现，价格偏强震荡但上行驱动有限</w:t>
          </w:r>
          <w:r>
            <w:rPr>
              <w:bCs/>
            </w:rPr>
            <w:fldChar w:fldCharType="end"/>
          </w:r>
        </w:p>
        <w:p>
          <w:pPr>
            <w:pStyle w:val="6"/>
            <w:tabs>
              <w:tab w:val="right" w:leader="dot" w:pos="8306"/>
            </w:tabs>
          </w:pPr>
          <w:r>
            <w:rPr>
              <w:bCs/>
            </w:rPr>
            <w:fldChar w:fldCharType="begin"/>
          </w:r>
          <w:r>
            <w:rPr>
              <w:bCs/>
            </w:rPr>
            <w:instrText xml:space="preserve"> HYPERLINK \l _Toc32169 </w:instrText>
          </w:r>
          <w:r>
            <w:rPr>
              <w:bCs/>
            </w:rPr>
            <w:fldChar w:fldCharType="separate"/>
          </w:r>
          <w:r>
            <w:rPr>
              <w:rFonts w:hint="eastAsia" w:ascii="楷体" w:hAnsi="楷体" w:eastAsia="楷体"/>
              <w:szCs w:val="24"/>
            </w:rPr>
            <w:t>镍：短期存震荡整理需求，前期高位空单可考虑止盈</w:t>
          </w:r>
          <w:r>
            <w:rPr>
              <w:bCs/>
            </w:rPr>
            <w:fldChar w:fldCharType="end"/>
          </w:r>
        </w:p>
        <w:p>
          <w:pPr>
            <w:pStyle w:val="6"/>
            <w:tabs>
              <w:tab w:val="right" w:leader="dot" w:pos="8306"/>
            </w:tabs>
          </w:pPr>
          <w:r>
            <w:rPr>
              <w:bCs/>
            </w:rPr>
            <w:fldChar w:fldCharType="begin"/>
          </w:r>
          <w:r>
            <w:rPr>
              <w:bCs/>
            </w:rPr>
            <w:instrText xml:space="preserve"> HYPERLINK \l _Toc9259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_Toc29352 </w:instrText>
          </w:r>
          <w:r>
            <w:rPr>
              <w:bCs/>
            </w:rPr>
            <w:fldChar w:fldCharType="separate"/>
          </w:r>
          <w:r>
            <w:rPr>
              <w:rFonts w:hint="eastAsia" w:ascii="楷体" w:hAnsi="楷体" w:eastAsia="楷体"/>
              <w:szCs w:val="24"/>
            </w:rPr>
            <w:t>工业硅：年后需求修复预期支撑盘面价格</w:t>
          </w:r>
          <w:r>
            <w:rPr>
              <w:bCs/>
            </w:rPr>
            <w:fldChar w:fldCharType="end"/>
          </w:r>
        </w:p>
        <w:p>
          <w:pPr>
            <w:pStyle w:val="5"/>
            <w:tabs>
              <w:tab w:val="right" w:leader="dot" w:pos="8306"/>
            </w:tabs>
          </w:pPr>
          <w:r>
            <w:rPr>
              <w:bCs/>
            </w:rPr>
            <w:fldChar w:fldCharType="begin"/>
          </w:r>
          <w:r>
            <w:rPr>
              <w:bCs/>
            </w:rPr>
            <w:instrText xml:space="preserve"> HYPERLINK \l _Toc3354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_Toc2103 </w:instrText>
          </w:r>
          <w:r>
            <w:rPr>
              <w:bCs/>
            </w:rPr>
            <w:fldChar w:fldCharType="separate"/>
          </w:r>
          <w:r>
            <w:rPr>
              <w:rFonts w:hint="eastAsia" w:ascii="Times New Roman" w:hAnsi="Times New Roman" w:eastAsia="楷体"/>
              <w:szCs w:val="24"/>
            </w:rPr>
            <w:t>乙二醇：节前维持区间操作</w:t>
          </w:r>
          <w:r>
            <w:rPr>
              <w:bCs/>
            </w:rPr>
            <w:fldChar w:fldCharType="end"/>
          </w:r>
        </w:p>
        <w:p>
          <w:pPr>
            <w:pStyle w:val="6"/>
            <w:tabs>
              <w:tab w:val="right" w:leader="dot" w:pos="8306"/>
            </w:tabs>
          </w:pPr>
          <w:r>
            <w:rPr>
              <w:bCs/>
            </w:rPr>
            <w:fldChar w:fldCharType="begin"/>
          </w:r>
          <w:r>
            <w:rPr>
              <w:bCs/>
            </w:rPr>
            <w:instrText xml:space="preserve"> HYPERLINK \l _Toc25332 </w:instrText>
          </w:r>
          <w:r>
            <w:rPr>
              <w:bCs/>
            </w:rPr>
            <w:fldChar w:fldCharType="separate"/>
          </w:r>
          <w:r>
            <w:rPr>
              <w:rFonts w:ascii="楷体" w:hAnsi="楷体" w:eastAsia="楷体"/>
              <w:szCs w:val="24"/>
            </w:rPr>
            <w:t>PTA</w:t>
          </w:r>
          <w:r>
            <w:rPr>
              <w:rFonts w:hint="eastAsia" w:ascii="楷体" w:hAnsi="楷体" w:eastAsia="楷体"/>
              <w:szCs w:val="24"/>
            </w:rPr>
            <w:t>：跟随成本端价格波动 短期走势仍偏强</w:t>
          </w:r>
          <w:r>
            <w:rPr>
              <w:bCs/>
            </w:rPr>
            <w:fldChar w:fldCharType="end"/>
          </w:r>
        </w:p>
        <w:p>
          <w:pPr>
            <w:pStyle w:val="6"/>
            <w:tabs>
              <w:tab w:val="right" w:leader="dot" w:pos="8306"/>
            </w:tabs>
          </w:pPr>
          <w:r>
            <w:rPr>
              <w:bCs/>
            </w:rPr>
            <w:fldChar w:fldCharType="begin"/>
          </w:r>
          <w:r>
            <w:rPr>
              <w:bCs/>
            </w:rPr>
            <w:instrText xml:space="preserve"> HYPERLINK \l _Toc11313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_Toc19212 </w:instrText>
          </w:r>
          <w:r>
            <w:rPr>
              <w:bCs/>
            </w:rPr>
            <w:fldChar w:fldCharType="separate"/>
          </w:r>
          <w:r>
            <w:rPr>
              <w:rFonts w:hint="eastAsia" w:ascii="楷体" w:hAnsi="楷体" w:eastAsia="楷体"/>
              <w:szCs w:val="24"/>
            </w:rPr>
            <w:t>聚烯烃：节前终端采购偏观望，聚烯烃或窄幅整理</w:t>
          </w:r>
          <w:r>
            <w:rPr>
              <w:bCs/>
            </w:rPr>
            <w:fldChar w:fldCharType="end"/>
          </w:r>
        </w:p>
        <w:p>
          <w:pPr>
            <w:pStyle w:val="5"/>
            <w:tabs>
              <w:tab w:val="right" w:leader="dot" w:pos="8306"/>
            </w:tabs>
          </w:pPr>
          <w:r>
            <w:rPr>
              <w:bCs/>
            </w:rPr>
            <w:fldChar w:fldCharType="begin"/>
          </w:r>
          <w:r>
            <w:rPr>
              <w:bCs/>
            </w:rPr>
            <w:instrText xml:space="preserve"> HYPERLINK \l _Toc10742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_Toc6450 </w:instrText>
          </w:r>
          <w:r>
            <w:rPr>
              <w:bCs/>
            </w:rPr>
            <w:fldChar w:fldCharType="separate"/>
          </w:r>
          <w:r>
            <w:rPr>
              <w:rFonts w:hint="eastAsia" w:ascii="楷体" w:hAnsi="楷体" w:eastAsia="楷体"/>
              <w:szCs w:val="24"/>
            </w:rPr>
            <w:t>豆粕：产区天气炒作，短期维持高位波动</w:t>
          </w:r>
          <w:r>
            <w:rPr>
              <w:bCs/>
            </w:rPr>
            <w:fldChar w:fldCharType="end"/>
          </w:r>
        </w:p>
        <w:p>
          <w:pPr>
            <w:pStyle w:val="6"/>
            <w:tabs>
              <w:tab w:val="right" w:leader="dot" w:pos="8306"/>
            </w:tabs>
          </w:pPr>
          <w:r>
            <w:rPr>
              <w:bCs/>
            </w:rPr>
            <w:fldChar w:fldCharType="begin"/>
          </w:r>
          <w:r>
            <w:rPr>
              <w:bCs/>
            </w:rPr>
            <w:instrText xml:space="preserve"> HYPERLINK \l _Toc11331 </w:instrText>
          </w:r>
          <w:r>
            <w:rPr>
              <w:bCs/>
            </w:rPr>
            <w:fldChar w:fldCharType="separate"/>
          </w:r>
          <w:r>
            <w:rPr>
              <w:rFonts w:hint="eastAsia" w:ascii="楷体" w:hAnsi="楷体" w:eastAsia="楷体"/>
              <w:szCs w:val="24"/>
            </w:rPr>
            <w:t>油脂：短期缺乏利多驱动，走势整体偏弱</w:t>
          </w:r>
          <w:r>
            <w:rPr>
              <w:bCs/>
            </w:rPr>
            <w:fldChar w:fldCharType="end"/>
          </w:r>
        </w:p>
        <w:p>
          <w:pPr>
            <w:pStyle w:val="6"/>
            <w:tabs>
              <w:tab w:val="right" w:leader="dot" w:pos="8306"/>
            </w:tabs>
          </w:pPr>
          <w:r>
            <w:rPr>
              <w:bCs/>
            </w:rPr>
            <w:fldChar w:fldCharType="begin"/>
          </w:r>
          <w:r>
            <w:rPr>
              <w:bCs/>
            </w:rPr>
            <w:instrText xml:space="preserve"> HYPERLINK \l _Toc692 </w:instrText>
          </w:r>
          <w:r>
            <w:rPr>
              <w:bCs/>
            </w:rPr>
            <w:fldChar w:fldCharType="separate"/>
          </w:r>
          <w:r>
            <w:rPr>
              <w:rFonts w:hint="eastAsia" w:ascii="楷体" w:hAnsi="楷体" w:eastAsia="楷体"/>
              <w:bCs/>
            </w:rPr>
            <w:t>玉米与淀粉：</w:t>
          </w:r>
          <w:r>
            <w:rPr>
              <w:rFonts w:hint="eastAsia" w:ascii="楷体" w:hAnsi="楷体" w:eastAsia="楷体"/>
            </w:rPr>
            <w:t>期价延续震荡态势</w:t>
          </w:r>
          <w:r>
            <w:rPr>
              <w:bCs/>
            </w:rPr>
            <w:fldChar w:fldCharType="end"/>
          </w:r>
        </w:p>
        <w:p>
          <w:pPr>
            <w:pStyle w:val="6"/>
            <w:tabs>
              <w:tab w:val="right" w:leader="dot" w:pos="8306"/>
            </w:tabs>
          </w:pPr>
          <w:r>
            <w:rPr>
              <w:bCs/>
            </w:rPr>
            <w:fldChar w:fldCharType="begin"/>
          </w:r>
          <w:r>
            <w:rPr>
              <w:bCs/>
            </w:rPr>
            <w:instrText xml:space="preserve"> HYPERLINK \l _Toc31394 </w:instrText>
          </w:r>
          <w:r>
            <w:rPr>
              <w:bCs/>
            </w:rPr>
            <w:fldChar w:fldCharType="separate"/>
          </w:r>
          <w:r>
            <w:rPr>
              <w:rFonts w:hint="eastAsia" w:ascii="楷体" w:hAnsi="楷体" w:eastAsia="楷体"/>
              <w:bCs/>
            </w:rPr>
            <w:t>畜禽养殖：鸡蛋期价持续震荡偏强运行</w:t>
          </w:r>
          <w:r>
            <w:rPr>
              <w:bCs/>
            </w:rPr>
            <w:fldChar w:fldCharType="end"/>
          </w:r>
        </w:p>
        <w:p>
          <w:pPr>
            <w:pStyle w:val="6"/>
            <w:tabs>
              <w:tab w:val="right" w:leader="dot" w:pos="8306"/>
            </w:tabs>
          </w:pPr>
          <w:r>
            <w:rPr>
              <w:bCs/>
            </w:rPr>
            <w:fldChar w:fldCharType="begin"/>
          </w:r>
          <w:r>
            <w:rPr>
              <w:bCs/>
            </w:rPr>
            <w:instrText xml:space="preserve"> HYPERLINK \l _Toc25220 </w:instrText>
          </w:r>
          <w:r>
            <w:rPr>
              <w:bCs/>
            </w:rPr>
            <w:fldChar w:fldCharType="separate"/>
          </w:r>
          <w:r>
            <w:rPr>
              <w:rFonts w:hint="eastAsia" w:ascii="楷体" w:hAnsi="楷体" w:eastAsia="楷体"/>
              <w:szCs w:val="24"/>
            </w:rPr>
            <w:t>郑棉：节前14000—14500区据各方询问，当前产业的市场信心明显好转，对年后行情多持乐观态度</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6556"/>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48"/>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逢调整低多IM</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当前市场仍处于政策红利期，海外环境改善亦处于无法证伪阶段，叠加人民币持续升值，外资持续加大流人。使得节前A股市场呈现稳定的 大盘风格引领市场的特征。春节期间海外市场大概来将继续演绎衰退&amp;紧缩细和逻辑，地缘政治等风险再起概率也相对较低。春节后大概会面临疫后更加超预期的假期数据。从历史规律统计看，春节前布局春季行情胜率校大，节后内资回补使得中证500，中证1000在春节后胜率相对更高。我们认为，修复行情尚未结束，节前以IH，IF为代表的大盘风格相对占优，但节后市场反弹或以1C，IM中小成长风格为主。建议逢低布局春季行情。</w:t>
      </w:r>
    </w:p>
    <w:p>
      <w:pPr>
        <w:pBdr>
          <w:top w:val="single" w:color="auto" w:sz="4" w:space="0"/>
        </w:pBdr>
        <w:outlineLvl w:val="0"/>
        <w:rPr>
          <w:rFonts w:ascii="Times New Roman" w:hAnsi="Times New Roman" w:eastAsia="楷体"/>
          <w:b/>
          <w:color w:val="823C0B"/>
        </w:rPr>
      </w:pPr>
      <w:bookmarkStart w:id="7" w:name="_Toc20126"/>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9350"/>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关注美国PPI通胀数据，沪金窄幅震荡</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联储巴尔金称，密切关注通胀和劳动力市场，只要通胀维持高位，美联储就需要加息。关注今日晚间即将公布的12月美国PPI通胀数据及零售销售月率，市场预期美国PPI同比或回落至7%下方。美国制造业景气度下滑，1月纽约联储制造业指数创新低，新订单指数大幅收缩。年内海外市场或逐步转向围绕美国可能陷入经济衰退的预期进行交易，美国通胀环比下降，美联储货币政策鸽派预期利好贵金属价格表现。此前思路不变，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金属"/>
      <w:bookmarkStart w:id="11" w:name="_Toc20891"/>
      <w:bookmarkStart w:id="12" w:name="_Toc11865"/>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448"/>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节前情绪冲击下，钢价承压运行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贸易商进入放假期间，预期无法证伪，基本面进入空白窗口。节前交易更多以情绪为主，监管冲击下盘面偏弱震荡。预计钢价在（4050,4150）区间继续震荡。</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14953"/>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暂无升水驱动，盘面随钢价波动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节前提涨两轮后，铁水见底回升，现货或偏稳运行，盘面修复基差后随成材震荡运行，预计震荡运行区间（2780,2860）。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792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估值修复后偏强震荡</w:t>
      </w:r>
      <w:bookmarkEnd w:id="20"/>
    </w:p>
    <w:p>
      <w:pPr>
        <w:ind w:left="630" w:leftChars="300"/>
        <w:rPr>
          <w:rFonts w:ascii="楷体" w:hAnsi="楷体" w:eastAsia="楷体"/>
          <w:bCs/>
          <w:sz w:val="24"/>
          <w:szCs w:val="24"/>
        </w:rPr>
      </w:pPr>
      <w:r>
        <w:rPr>
          <w:rFonts w:hint="eastAsia" w:ascii="楷体" w:hAnsi="楷体" w:eastAsia="楷体"/>
          <w:sz w:val="24"/>
          <w:szCs w:val="24"/>
        </w:rPr>
        <w:t>盘面提前反应下悲观情绪，焦炭现货止跌后反弹修复基差，后续随钢价或震荡运行，预计运行区间（1820,1900）。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2500"/>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延续高位运行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(1)库存：1月17日，SHFE仓单库存79197吨，增5801吨；LME 仓单库存83325吨，减275吨。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(2)精废价差：1月17日，Mysteel精废价差2384，收窄140。目前价差在合理价差1384之上。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春节将至，下游企业基本已经放假，需求预计难有起色，成交将维持低迷。库存仍处季节性累积中，沪铜近月合约维持contango结构，月差在200上下波动，强预期弱现实仍在演绎，短期需求难以证伪，价格或延续高位运行。节前建议谨慎观望为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17388"/>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铝价偏强震荡为主，反弹有限注意风险</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通胀数据加速回落，美元指数低位扰动运行，联储加息预期放缓提振市场交投情绪，国内经济政策维持宽松。国内临近春节假期，铝市生产消费疲弱，西南地区-贵州、云南受限电影响实行电解铝减停产对国内供应增量有所压制，下游消费进入传统淡季，电解铝产量有所下滑但较需求错配，国内沪铝及社会库存均有所累库，短期铝基本面影响因子变化不大，铝价本周重上万八，价格表现仍以区间震荡为主，上方空间相对有限，建议18500之上轻仓试空做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7105"/>
      <w:r>
        <w:rPr>
          <w:rFonts w:hint="eastAsia" w:ascii="楷体" w:hAnsi="楷体" w:eastAsia="楷体"/>
          <w:b/>
          <w:color w:val="000000" w:themeColor="text1"/>
          <w:sz w:val="24"/>
          <w:szCs w:val="24"/>
          <w14:textFill>
            <w14:solidFill>
              <w14:schemeClr w14:val="tx1"/>
            </w14:solidFill>
          </w14:textFill>
        </w:rPr>
        <w:t>锌：锌库累库拐点现，价格偏强震荡但上行驱动有限</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17日沪锌隔夜收盘价格24205元/吨，涨幅0.17%，上海有色网0#锌锭（Zn99.995）现货报价24030元/吨，较上一统计日报价下跌120元/吨。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收缩，市场交投情绪提振，美元指数低位扰动，国内宏观情绪仍延续强韧向好。海外锌产复产压力较大，电力成本压力仍存，国内维持锌产高产，矿端供应充足，冶炼端利润走高，锌库进入季节性累库，下游需求节前预期维持平淡，锌价短期在24000点附近震荡，注意价格回落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32169"/>
      <w:r>
        <w:rPr>
          <w:rFonts w:hint="eastAsia" w:ascii="楷体" w:hAnsi="楷体" w:eastAsia="楷体"/>
          <w:b/>
          <w:color w:val="000000" w:themeColor="text1"/>
          <w:sz w:val="24"/>
          <w:szCs w:val="24"/>
          <w14:textFill>
            <w14:solidFill>
              <w14:schemeClr w14:val="tx1"/>
            </w14:solidFill>
          </w14:textFill>
        </w:rPr>
        <w:t>镍：短期存震荡整理需求，前期高位空单可考虑止盈</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次镍价大跌，主因青山国内电积镍代加工产能投产，为镍元素供应向纯镍供应传导增加了新的渠道，供应持续增加，可以缓解仓单不足的问题，整体预期和情绪有所改变。但当前交割品库存、市场现货流动性依旧很低，镍价继续下跌或不会太流畅，短期存震荡整理需求。操作上，前期高位空单可考虑止盈。</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9259"/>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2935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年后需求修复预期支撑盘面价格</w:t>
      </w:r>
      <w:bookmarkEnd w:id="30"/>
    </w:p>
    <w:p>
      <w:pPr>
        <w:ind w:left="630" w:leftChars="300"/>
        <w:rPr>
          <w:rFonts w:ascii="楷体" w:hAnsi="楷体" w:eastAsia="楷体"/>
          <w:sz w:val="24"/>
          <w:szCs w:val="24"/>
        </w:rPr>
      </w:pPr>
      <w:r>
        <w:rPr>
          <w:rFonts w:hint="eastAsia" w:ascii="楷体" w:hAnsi="楷体" w:eastAsia="楷体"/>
          <w:sz w:val="24"/>
          <w:szCs w:val="24"/>
        </w:rPr>
        <w:t>1月17日，Si2308主力合约整体呈震荡上行走势，收涨17615元/吨，较上一收盘价跌幅0.57%，持仓量继续增加突破7万手。据SMM了解，由于近期硅料价格大幅走跌，价格几乎腰斩，目前硅料龙头企业开始惜售，后续多家硅料企业相继跟涨，国内多晶硅成交价格已突涨至160-170元/千克，平均上涨超30元/千克，预计现货市场有望止跌企稳，以及节后需求修复预期下，盘面或维持震荡偏强走势，预计运行区间（17300，17800），建议以逢低做多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3354"/>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103"/>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供需情况，1.9 华东主港地区MEG港口库存约90.3万吨附近，环比上期减少3万吨。近期港口到货尚可，港口发货良好，本周港口库存小幅去化。1.15国内乙二醇华东总到港量预计在13.35万吨，较上一期减少0.15万吨，到港持续偏少。 开工情况，截至1月12日，中国大陆地区乙二醇整体开工负荷在62.81%（-1.37%），其中煤制乙二醇开工负荷在56.52%（+0.22%）。从聚酯需求端来看，本周聚酯检修基本按照计划执行，同时也有部分前期检修的装置陆续恢复。截至本周四国内大陆地区聚酯负荷在66.1%。截至1.13，江浙加弹开工率4%（-10%）、江浙织机开工率1%（-13%）、浙江印染开工率0%（-24%)。综合来看，近期供应端开工率小幅下滑，且年度检修计划显示5月前后大装置检修较多。江浙下游加弹仅存一些聚合配套的大厂还在正常开车运行，各地织造和印染全面放假。近期下游节前有一定的备货行为，港口去化没有持续累库及成本端煤价走高提振盘面走势。临近春节，乙二醇空头大幅度减仓反弹。预估节前维持4100-4400区间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533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：跟随成本端价格波动 短期走势仍偏强</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供需方面，本周嘉兴石化220万吨出料正常运行，个别装置小幅降负，威联化学一条线重启中，预计近期出产品，至1.13 PTA负荷提升至69%（+2.4%)附近。本周聚酯检修基本按照计划执行，同时也有部分前期检修的装置陆续恢复。截至1.13，初步核算国内大陆地区聚酯负荷在66.1%，小幅回落。终端方面，江浙终端全面放假，随着年末收款增加，终端工厂在进行原料备货的追加。终端减产及检修计划已达到极值，直纺长丝负荷有拐点提升预期。且经过12月份的快速去库，长丝工厂去库明显。预计1月底聚酯将陆续开车，至2月上旬基本恢复。目前市场继续交易油价提振及节后开工低点回升预期，TA走势仍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11313"/>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19212"/>
      <w:r>
        <w:rPr>
          <w:rFonts w:hint="eastAsia" w:ascii="楷体" w:hAnsi="楷体" w:eastAsia="楷体"/>
          <w:b/>
          <w:color w:val="000000" w:themeColor="text1"/>
          <w:sz w:val="24"/>
          <w:szCs w:val="24"/>
          <w14:textFill>
            <w14:solidFill>
              <w14:schemeClr w14:val="tx1"/>
            </w14:solidFill>
          </w14:textFill>
        </w:rPr>
        <w:t>聚烯烃：节前终端采购偏观望，聚烯烃或窄幅整理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波动。库存方面，1月6日国内PE库存环比12月30日增加3.13%，其中样本主要生产环节PE库存环比增加9.81%，PE样本港口库存环比下降1.92%，样本贸易企业库存环比增加1.48%。1月6日国内PP库存环比上升7.76%。其中主要生产环节PP库存上升、贸易商库存、港口库存均有下降。供应方面，供应方面，本周PE、PP暂无装置开/停车检修。成本端方面，市场继续评估全球需求数据，受益于中国2022年第四季度经济数据好于预期， 国际油价上涨，美国原油期货连续八个交易日上涨，目前油制PE利润大约为-296.81元/吨，油制PP利润大约为-1437.10元/吨，相较年度偏低位置已有较大恢复；需求方面，PE下游方面，棚膜需求持续减弱，地膜订单跟进缓慢，农膜厂家仍略显谨慎，坚持刚需采购。PP方面，BOPP整体成交一般，BOPP企业未交付订单多数在10-20天，部分至2月中旬。综合来看，原油成本端回暖对聚烯烃支撑力度不减，假期将至，下游工厂开工负荷下降，需求日渐走弱，终端多观望为主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7600左右支撑较强和PE 7900压力位左右支撑较强。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0742"/>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645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产区天气炒作，短期维持高位波动</w:t>
      </w:r>
      <w:bookmarkEnd w:id="38"/>
    </w:p>
    <w:p>
      <w:pPr>
        <w:ind w:left="630" w:leftChars="300"/>
        <w:rPr>
          <w:rFonts w:ascii="楷体" w:hAnsi="楷体" w:eastAsia="楷体"/>
          <w:sz w:val="24"/>
          <w:szCs w:val="24"/>
        </w:rPr>
      </w:pPr>
      <w:r>
        <w:rPr>
          <w:rFonts w:hint="eastAsia" w:ascii="楷体" w:hAnsi="楷体" w:eastAsia="楷体"/>
          <w:sz w:val="24"/>
          <w:szCs w:val="24"/>
        </w:rPr>
        <w:t>外盘方面，虽市场对巴西仍维持丰产预期，但1月USDA报告对美豆及阿根廷新作产量均进行了超预期下调，美豆产量下调至42.76亿蒲，阿根廷产量下调至4550万吨，市场认为阿根廷产量仍有进一步下调空间，种植状况不佳支撑美豆维持高位盘整，我国进口成本也居高难下。国内市场，随着延迟到港量船只在12月份陆续到港，大豆港口库存累库速度有所加快，但在进口榨利亏损下1-2月进口缺口仍存。油厂开机及压榨在大部分油厂的停机计划下预计下调，豆粕库存累库进度预计放缓。下游养殖利润近期表现不佳，饲企和养殖企业等对豆粕采购需求减弱，且节前备货基本结束，需求表现整体偏弱。在供应预期增加及需求减弱下，使得豆粕上方承压，但在南美上市前及基差高位下，短期豆粕随美豆震荡偏强，临近春节建议谨慎操作；中长期维持供给恢复预期，在巴西丰产下，关注后期巴西出口节奏，或给市场构成一定压力，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11331"/>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短期缺乏利多驱动，走势整体偏弱</w:t>
      </w:r>
      <w:bookmarkEnd w:id="39"/>
    </w:p>
    <w:p>
      <w:pPr>
        <w:ind w:left="630" w:leftChars="300"/>
        <w:rPr>
          <w:rFonts w:ascii="楷体" w:hAnsi="楷体" w:eastAsia="楷体"/>
          <w:sz w:val="24"/>
          <w:szCs w:val="24"/>
        </w:rPr>
      </w:pPr>
      <w:r>
        <w:rPr>
          <w:rFonts w:hint="eastAsia" w:ascii="楷体" w:hAnsi="楷体" w:eastAsia="楷体"/>
          <w:sz w:val="24"/>
          <w:szCs w:val="24"/>
        </w:rPr>
        <w:t>外盘方面，虽宏观氛围有所回暖，但人民币汇率升值，仍对油脂构成利空影响。棕榈油方面，12月MPOB报告公布，减产幅度符合市场预估，且库存降幅在出口环比减少下不及预期，使得减产支撑减弱。但一季度仍处于棕榈油减产周期，同时在印尼政策利好下，仍是潜在利多因素。国内棕榈油供应较充裕，需求方面在冬季消费淡季下增量有限，棕榈油库存当前在供过于求下也进一步创历史新高，随着12月份进口下滑累库速度放缓并逐步见顶，关注后期去库节奏。近期豆油节前阶段性备货阶段逐步结束，但冬季为豆油传统消费旺季，需求端略有提振。供应端随着12月到港修复，进口大豆库存持续回升，油厂压榨维持高位后边际供应预计逐渐好转，关注豆油库存修复情况，短期在库存低位下延续近强远弱格局。菜油在供应边际预期改善下，同时在轮储计划下近月承压。但在库存尚未明显修复下，基差维持高位。随着进口加籽到港量逐步增加，菜籽库存维持高位。同时在节前传统旺季备货结束下，菜油库存预计逐步修复。预计油脂在供应边际增加及下游消费复苏情况仍待观望，短期油脂预计维持底部宽幅震荡，当前已跌至区间下沿附近，关注下方支撑，建议短线操作为主。</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69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期价延续震荡态势</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低于国内现货价格，或抑制中下游补库积极性，这意味着国内玉米市场仍处于被动去库存阶段。在这种情况下，我们维持中性，建议投资者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表现分化，主要源于市场现实与预期的不同，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节后再行入场。</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1394"/>
      <w:r>
        <w:rPr>
          <w:rFonts w:hint="eastAsia" w:ascii="楷体" w:hAnsi="楷体" w:eastAsia="楷体"/>
          <w:b/>
          <w:bCs/>
          <w:color w:val="000000" w:themeColor="text1"/>
          <w14:textFill>
            <w14:solidFill>
              <w14:schemeClr w14:val="tx1"/>
            </w14:solidFill>
          </w14:textFill>
        </w:rPr>
        <w:t>畜禽养殖：鸡蛋期价持续震荡偏强运行</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考虑到近期现货价格表现疲弱，表明节前供需依然宽松，即供应压力仍有待释放，这也意味着节后不确定性加大，虽然维持谨慎看多观点，但建议投资者节前离场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25220"/>
      <w:r>
        <w:rPr>
          <w:rFonts w:hint="eastAsia" w:ascii="楷体" w:hAnsi="楷体" w:eastAsia="楷体"/>
          <w:b/>
          <w:sz w:val="24"/>
          <w:szCs w:val="24"/>
        </w:rPr>
        <w:t>郑棉：节前14000—14500区据各方询问，当前产业的市场信心明显好转，对年后行情多持乐观态度</w:t>
      </w:r>
      <w:bookmarkEnd w:id="42"/>
    </w:p>
    <w:p>
      <w:pPr>
        <w:ind w:left="630" w:leftChars="300"/>
        <w:rPr>
          <w:rFonts w:ascii="楷体" w:hAnsi="楷体" w:eastAsia="楷体"/>
          <w:sz w:val="24"/>
          <w:szCs w:val="24"/>
        </w:rPr>
      </w:pPr>
      <w:r>
        <w:rPr>
          <w:rFonts w:hint="eastAsia" w:ascii="楷体" w:hAnsi="楷体" w:eastAsia="楷体"/>
          <w:sz w:val="24"/>
          <w:szCs w:val="24"/>
        </w:rPr>
        <w:t>部分企业有提价计划。不过，虽然预期颇为乐观，但多数企业尚不认为棉价具备趋势性大涨基础。终端消费数据环比好转但和历年相比依然处于相对低位。预计年前郑棉在14000-14500区间内震荡整理，节后有望小涨上探15000关口。</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72481108"/>
      <w:bookmarkStart w:id="45" w:name="_Toc98426751"/>
      <w:bookmarkStart w:id="46" w:name="_Toc12779"/>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2023年1月18日星期三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58A2E5C"/>
    <w:rsid w:val="25B924F3"/>
    <w:rsid w:val="26F95364"/>
    <w:rsid w:val="2CA93C52"/>
    <w:rsid w:val="2D912E3A"/>
    <w:rsid w:val="2DC02C2B"/>
    <w:rsid w:val="2DE440F7"/>
    <w:rsid w:val="2FA70F17"/>
    <w:rsid w:val="340E7198"/>
    <w:rsid w:val="34A75784"/>
    <w:rsid w:val="373F75CC"/>
    <w:rsid w:val="3AC9385E"/>
    <w:rsid w:val="3B3306F0"/>
    <w:rsid w:val="3B563B4D"/>
    <w:rsid w:val="3C2825B0"/>
    <w:rsid w:val="3C2B26B7"/>
    <w:rsid w:val="3D8B796D"/>
    <w:rsid w:val="3DA80A30"/>
    <w:rsid w:val="3EC32453"/>
    <w:rsid w:val="3EE0186C"/>
    <w:rsid w:val="3F345DBE"/>
    <w:rsid w:val="441077D2"/>
    <w:rsid w:val="44396064"/>
    <w:rsid w:val="459609D9"/>
    <w:rsid w:val="45A37566"/>
    <w:rsid w:val="45CF0A85"/>
    <w:rsid w:val="46194A11"/>
    <w:rsid w:val="47752ACA"/>
    <w:rsid w:val="4AB74C38"/>
    <w:rsid w:val="4B6224E5"/>
    <w:rsid w:val="4B8C4A56"/>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B292599"/>
    <w:rsid w:val="6ECB7DD2"/>
    <w:rsid w:val="713E0334"/>
    <w:rsid w:val="729B5F03"/>
    <w:rsid w:val="72F62A89"/>
    <w:rsid w:val="737357AF"/>
    <w:rsid w:val="75292EAC"/>
    <w:rsid w:val="75775016"/>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6807</Words>
  <Characters>7438</Characters>
  <Lines>50</Lines>
  <Paragraphs>14</Paragraphs>
  <TotalTime>0</TotalTime>
  <ScaleCrop>false</ScaleCrop>
  <LinksUpToDate>false</LinksUpToDate>
  <CharactersWithSpaces>7463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2023-01-18T02:54:02Z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