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bookmarkStart w:id="48" w:name="_GoBack"/>
      <w:bookmarkEnd w:id="48"/>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_Toc31060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_Toc10157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多单逢高部分止盈</w:t>
          </w:r>
          <w:r>
            <w:rPr>
              <w:bCs/>
            </w:rPr>
            <w:fldChar w:fldCharType="end"/>
          </w:r>
        </w:p>
        <w:p>
          <w:pPr>
            <w:pStyle w:val="5"/>
            <w:tabs>
              <w:tab w:val="right" w:leader="dot" w:pos="8306"/>
            </w:tabs>
          </w:pPr>
          <w:r>
            <w:rPr>
              <w:bCs/>
            </w:rPr>
            <w:fldChar w:fldCharType="begin"/>
          </w:r>
          <w:r>
            <w:rPr>
              <w:bCs/>
            </w:rPr>
            <w:instrText xml:space="preserve"> HYPERLINK \l _Toc24673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_Toc1975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美国CPI通胀环比下降，金价维持涨势</w:t>
          </w:r>
          <w:r>
            <w:rPr>
              <w:bCs/>
            </w:rPr>
            <w:fldChar w:fldCharType="end"/>
          </w:r>
        </w:p>
        <w:p>
          <w:pPr>
            <w:pStyle w:val="5"/>
            <w:tabs>
              <w:tab w:val="right" w:leader="dot" w:pos="8306"/>
            </w:tabs>
          </w:pPr>
          <w:r>
            <w:rPr>
              <w:bCs/>
            </w:rPr>
            <w:fldChar w:fldCharType="begin"/>
          </w:r>
          <w:r>
            <w:rPr>
              <w:bCs/>
            </w:rPr>
            <w:instrText xml:space="preserve"> HYPERLINK \l _Toc1872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_Toc10727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高估值下建议以日内交易为主</w:t>
          </w:r>
          <w:r>
            <w:rPr>
              <w:bCs/>
            </w:rPr>
            <w:fldChar w:fldCharType="end"/>
          </w:r>
        </w:p>
        <w:p>
          <w:pPr>
            <w:pStyle w:val="6"/>
            <w:tabs>
              <w:tab w:val="right" w:leader="dot" w:pos="8306"/>
            </w:tabs>
          </w:pPr>
          <w:r>
            <w:rPr>
              <w:bCs/>
            </w:rPr>
            <w:fldChar w:fldCharType="begin"/>
          </w:r>
          <w:r>
            <w:rPr>
              <w:bCs/>
            </w:rPr>
            <w:instrText xml:space="preserve"> HYPERLINK \l _Toc6003 </w:instrText>
          </w:r>
          <w:r>
            <w:rPr>
              <w:bCs/>
            </w:rPr>
            <w:fldChar w:fldCharType="separate"/>
          </w:r>
          <w:r>
            <w:rPr>
              <w:rFonts w:hint="eastAsia" w:ascii="楷体" w:hAnsi="楷体" w:eastAsia="楷体"/>
              <w:szCs w:val="24"/>
            </w:rPr>
            <w:t>焦炭：暂无升水驱动，盘面随钢价波动</w:t>
          </w:r>
          <w:r>
            <w:rPr>
              <w:bCs/>
            </w:rPr>
            <w:fldChar w:fldCharType="end"/>
          </w:r>
        </w:p>
        <w:p>
          <w:pPr>
            <w:pStyle w:val="6"/>
            <w:tabs>
              <w:tab w:val="right" w:leader="dot" w:pos="8306"/>
            </w:tabs>
          </w:pPr>
          <w:r>
            <w:rPr>
              <w:bCs/>
            </w:rPr>
            <w:fldChar w:fldCharType="begin"/>
          </w:r>
          <w:r>
            <w:rPr>
              <w:bCs/>
            </w:rPr>
            <w:instrText xml:space="preserve"> HYPERLINK \l _Toc25226 </w:instrText>
          </w:r>
          <w:r>
            <w:rPr>
              <w:bCs/>
            </w:rPr>
            <w:fldChar w:fldCharType="separate"/>
          </w:r>
          <w:r>
            <w:rPr>
              <w:rFonts w:hint="eastAsia" w:ascii="楷体" w:hAnsi="楷体" w:eastAsia="楷体"/>
              <w:szCs w:val="24"/>
            </w:rPr>
            <w:t>焦煤：估值修复后偏强震荡</w:t>
          </w:r>
          <w:r>
            <w:rPr>
              <w:bCs/>
            </w:rPr>
            <w:fldChar w:fldCharType="end"/>
          </w:r>
        </w:p>
        <w:p>
          <w:pPr>
            <w:pStyle w:val="6"/>
            <w:tabs>
              <w:tab w:val="right" w:leader="dot" w:pos="8306"/>
            </w:tabs>
          </w:pPr>
          <w:r>
            <w:rPr>
              <w:bCs/>
            </w:rPr>
            <w:fldChar w:fldCharType="begin"/>
          </w:r>
          <w:r>
            <w:rPr>
              <w:bCs/>
            </w:rPr>
            <w:instrText xml:space="preserve"> HYPERLINK \l _Toc19199 </w:instrText>
          </w:r>
          <w:r>
            <w:rPr>
              <w:bCs/>
            </w:rPr>
            <w:fldChar w:fldCharType="separate"/>
          </w:r>
          <w:r>
            <w:rPr>
              <w:rFonts w:hint="eastAsia" w:ascii="楷体" w:hAnsi="楷体" w:eastAsia="楷体"/>
              <w:szCs w:val="24"/>
            </w:rPr>
            <w:t>铜：美国通胀如期继续回落，美指弱势提振铜价</w:t>
          </w:r>
          <w:r>
            <w:rPr>
              <w:bCs/>
            </w:rPr>
            <w:fldChar w:fldCharType="end"/>
          </w:r>
        </w:p>
        <w:p>
          <w:pPr>
            <w:pStyle w:val="6"/>
            <w:tabs>
              <w:tab w:val="right" w:leader="dot" w:pos="8306"/>
            </w:tabs>
          </w:pPr>
          <w:r>
            <w:rPr>
              <w:bCs/>
            </w:rPr>
            <w:fldChar w:fldCharType="begin"/>
          </w:r>
          <w:r>
            <w:rPr>
              <w:bCs/>
            </w:rPr>
            <w:instrText xml:space="preserve"> HYPERLINK \l _Toc26017 </w:instrText>
          </w:r>
          <w:r>
            <w:rPr>
              <w:bCs/>
            </w:rPr>
            <w:fldChar w:fldCharType="separate"/>
          </w:r>
          <w:r>
            <w:rPr>
              <w:rFonts w:hint="eastAsia" w:ascii="楷体" w:hAnsi="楷体" w:eastAsia="楷体"/>
              <w:szCs w:val="24"/>
            </w:rPr>
            <w:t>铝：铝价延续偏强，短线可轻仓试多</w:t>
          </w:r>
          <w:r>
            <w:rPr>
              <w:bCs/>
            </w:rPr>
            <w:fldChar w:fldCharType="end"/>
          </w:r>
        </w:p>
        <w:p>
          <w:pPr>
            <w:pStyle w:val="6"/>
            <w:tabs>
              <w:tab w:val="right" w:leader="dot" w:pos="8306"/>
            </w:tabs>
          </w:pPr>
          <w:r>
            <w:rPr>
              <w:bCs/>
            </w:rPr>
            <w:fldChar w:fldCharType="begin"/>
          </w:r>
          <w:r>
            <w:rPr>
              <w:bCs/>
            </w:rPr>
            <w:instrText xml:space="preserve"> HYPERLINK \l _Toc17963 </w:instrText>
          </w:r>
          <w:r>
            <w:rPr>
              <w:bCs/>
            </w:rPr>
            <w:fldChar w:fldCharType="separate"/>
          </w:r>
          <w:r>
            <w:rPr>
              <w:rFonts w:hint="eastAsia" w:ascii="楷体" w:hAnsi="楷体" w:eastAsia="楷体"/>
              <w:szCs w:val="24"/>
            </w:rPr>
            <w:t>锌：锌价修复走升，价格表现仍有韧性</w:t>
          </w:r>
          <w:r>
            <w:rPr>
              <w:bCs/>
            </w:rPr>
            <w:fldChar w:fldCharType="end"/>
          </w:r>
        </w:p>
        <w:p>
          <w:pPr>
            <w:pStyle w:val="6"/>
            <w:tabs>
              <w:tab w:val="right" w:leader="dot" w:pos="8306"/>
            </w:tabs>
          </w:pPr>
          <w:r>
            <w:rPr>
              <w:bCs/>
            </w:rPr>
            <w:fldChar w:fldCharType="begin"/>
          </w:r>
          <w:r>
            <w:rPr>
              <w:bCs/>
            </w:rPr>
            <w:instrText xml:space="preserve"> HYPERLINK \l _Toc19952 </w:instrText>
          </w:r>
          <w:r>
            <w:rPr>
              <w:bCs/>
            </w:rPr>
            <w:fldChar w:fldCharType="separate"/>
          </w:r>
          <w:r>
            <w:rPr>
              <w:rFonts w:hint="eastAsia" w:ascii="楷体" w:hAnsi="楷体" w:eastAsia="楷体"/>
              <w:szCs w:val="24"/>
            </w:rPr>
            <w:t>镍：短期存震荡整理需求，前期高位空单可考虑止盈</w:t>
          </w:r>
          <w:r>
            <w:rPr>
              <w:bCs/>
            </w:rPr>
            <w:fldChar w:fldCharType="end"/>
          </w:r>
        </w:p>
        <w:p>
          <w:pPr>
            <w:pStyle w:val="6"/>
            <w:tabs>
              <w:tab w:val="right" w:leader="dot" w:pos="8306"/>
            </w:tabs>
          </w:pPr>
          <w:r>
            <w:rPr>
              <w:bCs/>
            </w:rPr>
            <w:fldChar w:fldCharType="begin"/>
          </w:r>
          <w:r>
            <w:rPr>
              <w:bCs/>
            </w:rPr>
            <w:instrText xml:space="preserve"> HYPERLINK \l _Toc19048 </w:instrText>
          </w:r>
          <w:r>
            <w:rPr>
              <w:bCs/>
            </w:rPr>
            <w:fldChar w:fldCharType="separate"/>
          </w:r>
          <w:r>
            <w:rPr>
              <w:rFonts w:hint="eastAsia" w:ascii="楷体" w:hAnsi="楷体" w:eastAsia="楷体"/>
              <w:szCs w:val="24"/>
            </w:rPr>
            <w:t>不锈钢：社库累积持续施压价格，震荡为主</w:t>
          </w:r>
          <w:r>
            <w:rPr>
              <w:bCs/>
            </w:rPr>
            <w:fldChar w:fldCharType="end"/>
          </w:r>
        </w:p>
        <w:p>
          <w:pPr>
            <w:pStyle w:val="6"/>
            <w:tabs>
              <w:tab w:val="right" w:leader="dot" w:pos="8306"/>
            </w:tabs>
          </w:pPr>
          <w:r>
            <w:rPr>
              <w:bCs/>
            </w:rPr>
            <w:fldChar w:fldCharType="begin"/>
          </w:r>
          <w:r>
            <w:rPr>
              <w:bCs/>
            </w:rPr>
            <w:instrText xml:space="preserve"> HYPERLINK \l _Toc10717 </w:instrText>
          </w:r>
          <w:r>
            <w:rPr>
              <w:bCs/>
            </w:rPr>
            <w:fldChar w:fldCharType="separate"/>
          </w:r>
          <w:r>
            <w:rPr>
              <w:rFonts w:hint="eastAsia" w:ascii="楷体" w:hAnsi="楷体" w:eastAsia="楷体"/>
              <w:szCs w:val="24"/>
            </w:rPr>
            <w:t>工业硅：短期资金博弈下以区间震荡为主</w:t>
          </w:r>
          <w:r>
            <w:rPr>
              <w:bCs/>
            </w:rPr>
            <w:fldChar w:fldCharType="end"/>
          </w:r>
        </w:p>
        <w:p>
          <w:pPr>
            <w:pStyle w:val="5"/>
            <w:tabs>
              <w:tab w:val="right" w:leader="dot" w:pos="8306"/>
            </w:tabs>
          </w:pPr>
          <w:r>
            <w:rPr>
              <w:bCs/>
            </w:rPr>
            <w:fldChar w:fldCharType="begin"/>
          </w:r>
          <w:r>
            <w:rPr>
              <w:bCs/>
            </w:rPr>
            <w:instrText xml:space="preserve"> HYPERLINK \l _Toc7254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_Toc9232 </w:instrText>
          </w:r>
          <w:r>
            <w:rPr>
              <w:bCs/>
            </w:rPr>
            <w:fldChar w:fldCharType="separate"/>
          </w:r>
          <w:r>
            <w:rPr>
              <w:rFonts w:hint="eastAsia" w:ascii="Times New Roman" w:hAnsi="Times New Roman" w:eastAsia="楷体"/>
              <w:szCs w:val="24"/>
            </w:rPr>
            <w:t>乙二醇：节前维持区间操作</w:t>
          </w:r>
          <w:r>
            <w:rPr>
              <w:bCs/>
            </w:rPr>
            <w:fldChar w:fldCharType="end"/>
          </w:r>
        </w:p>
        <w:p>
          <w:pPr>
            <w:pStyle w:val="6"/>
            <w:tabs>
              <w:tab w:val="right" w:leader="dot" w:pos="8306"/>
            </w:tabs>
          </w:pPr>
          <w:r>
            <w:rPr>
              <w:bCs/>
            </w:rPr>
            <w:fldChar w:fldCharType="begin"/>
          </w:r>
          <w:r>
            <w:rPr>
              <w:bCs/>
            </w:rPr>
            <w:instrText xml:space="preserve"> HYPERLINK \l _Toc31327 </w:instrText>
          </w:r>
          <w:r>
            <w:rPr>
              <w:bCs/>
            </w:rPr>
            <w:fldChar w:fldCharType="separate"/>
          </w:r>
          <w:r>
            <w:rPr>
              <w:rFonts w:ascii="楷体" w:hAnsi="楷体" w:eastAsia="楷体"/>
              <w:szCs w:val="24"/>
            </w:rPr>
            <w:t>PTA</w:t>
          </w:r>
          <w:r>
            <w:rPr>
              <w:rFonts w:hint="eastAsia" w:ascii="楷体" w:hAnsi="楷体" w:eastAsia="楷体"/>
              <w:szCs w:val="24"/>
            </w:rPr>
            <w:t>：跟随成本端价格波动 短期走势偏强</w:t>
          </w:r>
          <w:r>
            <w:rPr>
              <w:bCs/>
            </w:rPr>
            <w:fldChar w:fldCharType="end"/>
          </w:r>
        </w:p>
        <w:p>
          <w:pPr>
            <w:pStyle w:val="6"/>
            <w:tabs>
              <w:tab w:val="right" w:leader="dot" w:pos="8306"/>
            </w:tabs>
          </w:pPr>
          <w:r>
            <w:rPr>
              <w:bCs/>
            </w:rPr>
            <w:fldChar w:fldCharType="begin"/>
          </w:r>
          <w:r>
            <w:rPr>
              <w:bCs/>
            </w:rPr>
            <w:instrText xml:space="preserve"> HYPERLINK \l _Toc20008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关注回调加多的机会</w:t>
          </w:r>
          <w:r>
            <w:rPr>
              <w:bCs/>
            </w:rPr>
            <w:fldChar w:fldCharType="end"/>
          </w:r>
        </w:p>
        <w:p>
          <w:pPr>
            <w:pStyle w:val="6"/>
            <w:tabs>
              <w:tab w:val="right" w:leader="dot" w:pos="8306"/>
            </w:tabs>
          </w:pPr>
          <w:r>
            <w:rPr>
              <w:bCs/>
            </w:rPr>
            <w:fldChar w:fldCharType="begin"/>
          </w:r>
          <w:r>
            <w:rPr>
              <w:bCs/>
            </w:rPr>
            <w:instrText xml:space="preserve"> HYPERLINK \l _Toc12573 </w:instrText>
          </w:r>
          <w:r>
            <w:rPr>
              <w:bCs/>
            </w:rPr>
            <w:fldChar w:fldCharType="separate"/>
          </w:r>
          <w:r>
            <w:rPr>
              <w:rFonts w:hint="eastAsia" w:ascii="楷体" w:hAnsi="楷体" w:eastAsia="楷体"/>
              <w:szCs w:val="24"/>
            </w:rPr>
            <w:t>聚烯烃：下游原料采购积极性降低，聚烯烃或窄幅整理</w:t>
          </w:r>
          <w:r>
            <w:rPr>
              <w:bCs/>
            </w:rPr>
            <w:fldChar w:fldCharType="end"/>
          </w:r>
        </w:p>
        <w:p>
          <w:pPr>
            <w:pStyle w:val="5"/>
            <w:tabs>
              <w:tab w:val="right" w:leader="dot" w:pos="8306"/>
            </w:tabs>
          </w:pPr>
          <w:r>
            <w:rPr>
              <w:bCs/>
            </w:rPr>
            <w:fldChar w:fldCharType="begin"/>
          </w:r>
          <w:r>
            <w:rPr>
              <w:bCs/>
            </w:rPr>
            <w:instrText xml:space="preserve"> HYPERLINK \l _Toc1539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_Toc1010 </w:instrText>
          </w:r>
          <w:r>
            <w:rPr>
              <w:bCs/>
            </w:rPr>
            <w:fldChar w:fldCharType="separate"/>
          </w:r>
          <w:r>
            <w:rPr>
              <w:rFonts w:hint="eastAsia" w:ascii="楷体" w:hAnsi="楷体" w:eastAsia="楷体"/>
              <w:szCs w:val="24"/>
            </w:rPr>
            <w:t>豆粕：1月USDA报告利多，短期走势预计偏强</w:t>
          </w:r>
          <w:r>
            <w:rPr>
              <w:bCs/>
            </w:rPr>
            <w:fldChar w:fldCharType="end"/>
          </w:r>
        </w:p>
        <w:p>
          <w:pPr>
            <w:pStyle w:val="6"/>
            <w:tabs>
              <w:tab w:val="right" w:leader="dot" w:pos="8306"/>
            </w:tabs>
          </w:pPr>
          <w:r>
            <w:rPr>
              <w:bCs/>
            </w:rPr>
            <w:fldChar w:fldCharType="begin"/>
          </w:r>
          <w:r>
            <w:rPr>
              <w:bCs/>
            </w:rPr>
            <w:instrText xml:space="preserve"> HYPERLINK \l _Toc29296 </w:instrText>
          </w:r>
          <w:r>
            <w:rPr>
              <w:bCs/>
            </w:rPr>
            <w:fldChar w:fldCharType="separate"/>
          </w:r>
          <w:r>
            <w:rPr>
              <w:rFonts w:hint="eastAsia" w:ascii="楷体" w:hAnsi="楷体" w:eastAsia="楷体"/>
              <w:szCs w:val="24"/>
            </w:rPr>
            <w:t>油脂：短期缺乏利多驱动，走势整体偏弱</w:t>
          </w:r>
          <w:r>
            <w:rPr>
              <w:bCs/>
            </w:rPr>
            <w:fldChar w:fldCharType="end"/>
          </w:r>
        </w:p>
        <w:p>
          <w:pPr>
            <w:pStyle w:val="6"/>
            <w:tabs>
              <w:tab w:val="right" w:leader="dot" w:pos="8306"/>
            </w:tabs>
          </w:pPr>
          <w:r>
            <w:rPr>
              <w:bCs/>
            </w:rPr>
            <w:fldChar w:fldCharType="begin"/>
          </w:r>
          <w:r>
            <w:rPr>
              <w:bCs/>
            </w:rPr>
            <w:instrText xml:space="preserve"> HYPERLINK \l _Toc4999 </w:instrText>
          </w:r>
          <w:r>
            <w:rPr>
              <w:bCs/>
            </w:rPr>
            <w:fldChar w:fldCharType="separate"/>
          </w:r>
          <w:r>
            <w:rPr>
              <w:rFonts w:hint="eastAsia" w:ascii="楷体" w:hAnsi="楷体" w:eastAsia="楷体"/>
              <w:bCs/>
            </w:rPr>
            <w:t>玉米与淀粉：</w:t>
          </w:r>
          <w:r>
            <w:rPr>
              <w:rFonts w:hint="eastAsia" w:ascii="楷体" w:hAnsi="楷体" w:eastAsia="楷体"/>
            </w:rPr>
            <w:t>USDA1月供需报告美玉米产量与库存低于市场预期</w:t>
          </w:r>
          <w:r>
            <w:rPr>
              <w:bCs/>
            </w:rPr>
            <w:fldChar w:fldCharType="end"/>
          </w:r>
        </w:p>
        <w:p>
          <w:pPr>
            <w:pStyle w:val="6"/>
            <w:tabs>
              <w:tab w:val="right" w:leader="dot" w:pos="8306"/>
            </w:tabs>
          </w:pPr>
          <w:r>
            <w:rPr>
              <w:bCs/>
            </w:rPr>
            <w:fldChar w:fldCharType="begin"/>
          </w:r>
          <w:r>
            <w:rPr>
              <w:bCs/>
            </w:rPr>
            <w:instrText xml:space="preserve"> HYPERLINK \l _Toc14913 </w:instrText>
          </w:r>
          <w:r>
            <w:rPr>
              <w:bCs/>
            </w:rPr>
            <w:fldChar w:fldCharType="separate"/>
          </w:r>
          <w:r>
            <w:rPr>
              <w:rFonts w:hint="eastAsia" w:ascii="楷体" w:hAnsi="楷体" w:eastAsia="楷体"/>
              <w:bCs/>
            </w:rPr>
            <w:t>畜禽养殖：生猪现货弱势未改</w:t>
          </w:r>
          <w:r>
            <w:rPr>
              <w:bCs/>
            </w:rPr>
            <w:fldChar w:fldCharType="end"/>
          </w:r>
        </w:p>
        <w:p>
          <w:pPr>
            <w:pStyle w:val="6"/>
            <w:tabs>
              <w:tab w:val="right" w:leader="dot" w:pos="8306"/>
            </w:tabs>
          </w:pPr>
          <w:r>
            <w:rPr>
              <w:bCs/>
            </w:rPr>
            <w:fldChar w:fldCharType="begin"/>
          </w:r>
          <w:r>
            <w:rPr>
              <w:bCs/>
            </w:rPr>
            <w:instrText xml:space="preserve"> HYPERLINK \l _Toc30980 </w:instrText>
          </w:r>
          <w:r>
            <w:rPr>
              <w:bCs/>
            </w:rPr>
            <w:fldChar w:fldCharType="separate"/>
          </w:r>
          <w:r>
            <w:rPr>
              <w:rFonts w:hint="eastAsia" w:ascii="楷体" w:hAnsi="楷体" w:eastAsia="楷体"/>
              <w:szCs w:val="24"/>
            </w:rPr>
            <w:t>郑棉：预计郑棉震荡整理，14300以下轻仓逢低买入</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31060"/>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0157"/>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多单逢高部分止盈</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消费、房地产调整，国内疫后修复逻辑或已计价，即将公布的12月经济数据预期疲软，在节前缩量环境下，交易情绪或受影响。美国12月CPI继续回落，北向资金的大幅流入显然在交易海外衰退逻辑，但鲍威尔仍持续释放鹰派信号，增量有限。此外，日本10年期国债收益率突破0.5%上限，或再度引发市场对海外流动性风险的担忧。建议股指多单逢高部分止盈。</w:t>
      </w:r>
    </w:p>
    <w:p>
      <w:pPr>
        <w:pBdr>
          <w:top w:val="single" w:color="auto" w:sz="4" w:space="0"/>
        </w:pBdr>
        <w:outlineLvl w:val="0"/>
        <w:rPr>
          <w:rFonts w:ascii="Times New Roman" w:hAnsi="Times New Roman" w:eastAsia="楷体"/>
          <w:b/>
          <w:color w:val="823C0B"/>
        </w:rPr>
      </w:pPr>
      <w:bookmarkStart w:id="7" w:name="_Toc24673"/>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1975"/>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美国CPI通胀环比下降，金价维持涨势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12月CPI同比增6.5%，环比下降0.1%，为两年半以来首次环比回落。最新当周美国初请失业金人数录得低于预期的20.5万，劳动力市场维持强劲。数据公布后美元指数大幅下跌至102.1的半年以来新低，外盘COMEX金价向上突破1900美元/盎司整数关口。美国通胀如期回落，美联储货币政策鸽派预期利好贵金属价格表现，操作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1872"/>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10727"/>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高估值下建议以日内交易为主</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贸易商进入放假期间，预期无法证伪，基本面进入空白窗口。短期以情绪交易为主，盘面陷入博弈阶段，建议以技术分析作为锚点，轻仓参与。美国通胀开始回落，情绪偏强，但上方空间预计有限，预计运行区间（4050,4150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6003"/>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暂无升水驱动，盘面随钢价波动</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节前提涨两轮后，铁水见底回升，现货或偏稳运行，盘面修复基差后随成材震荡运行，预计震荡运行区间（2780,2880）。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5226"/>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估值修复后偏强震荡</w:t>
      </w:r>
      <w:bookmarkEnd w:id="20"/>
    </w:p>
    <w:p>
      <w:pPr>
        <w:ind w:left="630" w:leftChars="300"/>
        <w:rPr>
          <w:rFonts w:ascii="楷体" w:hAnsi="楷体" w:eastAsia="楷体"/>
          <w:bCs/>
          <w:sz w:val="24"/>
          <w:szCs w:val="24"/>
        </w:rPr>
      </w:pPr>
      <w:r>
        <w:rPr>
          <w:rFonts w:hint="eastAsia" w:ascii="楷体" w:hAnsi="楷体" w:eastAsia="楷体"/>
          <w:sz w:val="24"/>
          <w:szCs w:val="24"/>
        </w:rPr>
        <w:t>盘面提前反应下悲观情绪，焦炭现货止跌后反弹修复基差，后续随钢价或震荡运行，预计运行区间（1830,1930）。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19199"/>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美国通胀如期继续回落，美指弱势提振铜价</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(1)宏观：美国12月CPI同比增长6.5%，增幅符合预期，前值增长7.1%；美国12月核心CPI同比增长5.7%，增幅符合预期且创2021年12月以来的最低水平，前值为6%。</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(2)库存：1月12日，SHFE仓单库存47197吨，增16641吨；LME 仓单库存84550吨，减250吨。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(3)精废价差：1月12日，Mysteel精废价差2726，扩大310。目前价差在合理价差1386之上。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12月通胀数据如期继续回落，美元指数扩大跌幅提振铜价。当前宏观情绪乐观，国内开放带来的需求高预期使得多类大宗商品走高，铜价在低库存背景下炒作情绪浓厚，临近春节假期，短期铜价快速上涨后，多头资金或获利了结引发价格调整，建议谨慎观望为主。</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6017"/>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铝价延续偏强，短线可轻仓试多</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数据如预期回落，美元指数低位运行，有色板块价格走强，国内宏观延续向好，一季度将密集出台利多政策。从基本面来看，贵州地区连续三次发布电力降负荷通知，预计省内电解铝企业减产幅度要超60%，减产规模超90万吨，供应端扰动向弱。临近春节假期，上中游企业陆续减产或放假，下游企业用料需求走弱，实际铝市供需双弱，海外库存低位减库，国内库存拐入累库，铝价站上万八，价格整体维持震荡，短线可轻仓试多，关注18000-18500波动区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7963"/>
      <w:r>
        <w:rPr>
          <w:rFonts w:hint="eastAsia" w:ascii="楷体" w:hAnsi="楷体" w:eastAsia="楷体"/>
          <w:b/>
          <w:color w:val="000000" w:themeColor="text1"/>
          <w:sz w:val="24"/>
          <w:szCs w:val="24"/>
          <w14:textFill>
            <w14:solidFill>
              <w14:schemeClr w14:val="tx1"/>
            </w14:solidFill>
          </w14:textFill>
        </w:rPr>
        <w:t>锌：锌价修复走升，价格表现仍有韧性</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12日沪锌隔夜收盘价格23865元/吨，涨幅0.06%，上海有色网0#锌锭（Zn99.995）现货报价23780元/吨，较上一统计日报价上涨30元/吨。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数据走弱，美元指数低位扰动，有色盘面价格提振，国内宏观情绪仍延续强韧向好。据WBMS数据，2022年1-10月全球锌供应盈余29.4万吨，全球精炼锌需求同比下降4.5%，锌市需求较供给更弱，实际锌库存仍再创历史新低，为盘面锌价提供较强支撑，锌价修复向上，整体价格走势仍表现为震荡，短线可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19952"/>
      <w:r>
        <w:rPr>
          <w:rFonts w:hint="eastAsia" w:ascii="楷体" w:hAnsi="楷体" w:eastAsia="楷体"/>
          <w:b/>
          <w:color w:val="000000" w:themeColor="text1"/>
          <w:sz w:val="24"/>
          <w:szCs w:val="24"/>
          <w14:textFill>
            <w14:solidFill>
              <w14:schemeClr w14:val="tx1"/>
            </w14:solidFill>
          </w14:textFill>
        </w:rPr>
        <w:t>镍：短期存震荡整理需求，前期高位空单可考虑止盈</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次镍价大跌，主因青山国内电积镍代加工产能投产，为镍元素供应向纯镍供应传导增加了新的渠道，供应持续增加，可以缓解仓单不足的问题，整体预期和情绪有所改变。但当前交割品库存、市场现货流动性依旧很低，镍价继续下跌或不会太流畅，短期存震荡整理需求。操作上，前期高位空单可考虑止盈。</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9048"/>
      <w:r>
        <w:rPr>
          <w:rFonts w:hint="eastAsia" w:ascii="楷体" w:hAnsi="楷体" w:eastAsia="楷体"/>
          <w:b/>
          <w:color w:val="000000" w:themeColor="text1"/>
          <w:sz w:val="24"/>
          <w:szCs w:val="24"/>
          <w14:textFill>
            <w14:solidFill>
              <w14:schemeClr w14:val="tx1"/>
            </w14:solidFill>
          </w14:textFill>
        </w:rPr>
        <w:t>不锈钢：社库累积持续施压价格，震荡为主</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明显增加，短期价格仍将承压运行。但向下亦存在较强成本支撑，下跌空间亦不大。当前价格跟随宏观情绪波动，短期缺乏方向性，预计震荡为主。</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071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短期资金博弈下以区间震荡为主</w:t>
      </w:r>
      <w:bookmarkEnd w:id="30"/>
    </w:p>
    <w:p>
      <w:pPr>
        <w:ind w:left="630" w:leftChars="300"/>
        <w:rPr>
          <w:rFonts w:ascii="楷体" w:hAnsi="楷体" w:eastAsia="楷体"/>
          <w:sz w:val="24"/>
          <w:szCs w:val="24"/>
        </w:rPr>
      </w:pPr>
      <w:r>
        <w:rPr>
          <w:rFonts w:hint="eastAsia" w:ascii="楷体" w:hAnsi="楷体" w:eastAsia="楷体"/>
          <w:sz w:val="24"/>
          <w:szCs w:val="24"/>
        </w:rPr>
        <w:t>1月12日，Si2308主力合约盘中呈冲高回落走势，但仍收涨17445元/吨，较上一收盘价涨幅0.55%，成交量以及持仓量继续大幅增加，市场热度得到持续提升。从宏观面来看，22年12月美国通胀小幅回落，CPI出现自2020年4月疫情以来的最大月度跌幅，进一步证明美国目前的价格压力正在缓解，并为美联储下月放缓加息步伐提供了空间。从基本面来看，当前下游需求延续低迷，近期持货商不断让利，导致港口成交价不断下跌，短期现货市场较难有明显改善，仍是压制盘面价格的重要因素。但在明年需求修复预期下，短期市场资金博弈下或仍以区间震荡为主，预计运行参考区间（17250，17800)，建议以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7254"/>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9232"/>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节前维持区间操作</w:t>
      </w:r>
      <w:bookmarkEnd w:id="33"/>
    </w:p>
    <w:p>
      <w:pPr>
        <w:ind w:left="630" w:leftChars="300"/>
        <w:rPr>
          <w:rFonts w:ascii="楷体" w:hAnsi="楷体" w:eastAsia="楷体"/>
          <w:sz w:val="24"/>
          <w:szCs w:val="24"/>
        </w:rPr>
      </w:pPr>
      <w:r>
        <w:rPr>
          <w:rFonts w:hint="eastAsia" w:ascii="楷体" w:hAnsi="楷体" w:eastAsia="楷体"/>
          <w:sz w:val="24"/>
          <w:szCs w:val="24"/>
        </w:rPr>
        <w:t>供需情况，1.9 华东主港地区MEG港口库存约90.3万吨附近，环比上期减少3万吨。近期港口到货尚可，港口发货良好，本周港口库存小幅去化。1.15国内乙二醇华东总到港量预计在13.35万吨，较上一期减少0.15万吨，到港持续偏少。 开工情况，截至1月12日，中国大陆地区乙二醇整体开工负荷在62.81%（-1.37%），其中煤制乙二醇开工负荷在56.52%（+0.22%）。从聚酯需求端来看，本周聚酯检修基本按照计划执行，同时也有部分前期检修的装置陆续恢复。截至本周四国内大陆地区聚酯负荷在66.1%。截至1.05，江浙加弹开工率14%（-14%）、江浙织机开工率14%（-12%）、浙江印染开工率30%（-8%）。综合来看，近期供应端开工率小幅下滑，且年度检修计划显示5月前后大装置检修较多。江浙下游加弹仅存一些聚合配套的大厂还在正常开车运行，各地织造和印染全面放假。近期下游节前有一定的备货行为，港口去化没有持续累库及成本端煤价走高提振盘面走势。临近春节，乙二醇空头大幅度减仓反弹。预估节前维持4100-4400区间震荡走势。</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3132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：跟随成本端价格波动 短期走势偏强</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方面，本周嘉兴石化220万吨出料正常运行，个别装置小幅降负，威联化学一条线重启中，预计近期出产品，至周四PTA负荷提升至69%（+2.4%)附近。本周聚酯检修基本按照计划执行，同时也有部分前期检修的装置陆续恢复。截至本周四，初步核算国内大陆地区聚酯负荷在66.1%，小幅回落。终端方面，江浙终端全面放假，随着年末收款增加，终端工厂在进行原料备货的追加。终端减产及检修计划已达到极值，直纺长丝负荷有拐点提升预期。且经过12月份的快速去库，长丝工厂去库明显。预计1月底聚酯将陆续开车，至2月上旬基本恢复。目前市场继续交易油价提振及节后开工低点回升预期，TA走势仍偏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20008"/>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关注回调加多的机会</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供应方面，随着装置利润明显修复，PVC生产企业检修损失量明显下降，行业开工负荷率逐步提升。 本周期国内PVC行业整体开工负荷率继续提升，周内无新增检修企业，部分前期停车及偏低负荷运行企业本周产量有所提升。据卓创资讯数据显示，截止1.06 PVC整体开工负荷率77.94%，环比提升1.98%；其中电石法PVC开工负荷率76.5%，环比提升2.03%；乙烯法PVC开工负荷率83.11%，环比提升1.86%。除了存量开工提升以外，1月份还有信发、聚隆、广西华谊累计120万吨新装置部分将量产。社会库存方面，随着在途货源及待卸货源的逐步入库，近期社库累库幅度加快，但12月份部分生产企业出口接单量25万左右，出口订单若在1月出现集中交付将延缓社库的累库进程。听闻印度市场采购仍十分积极，季节性旺季补库还未到尾，短期来看出口增量对于价格仍能起到边际利好驱动。需求方面，1月份下半月多数制品企业将多数放假，整体需求将明显减弱。但考虑到当前价格偏低，制品企业或将在1月份存在适当备货现象。总的来说，虽供需边际仍在走弱，但PVC强预期及出口增量仍主导盘面走势。在宏观氛围仍旧偏好及低价补库预期下，把握回调后加多的机会。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12573"/>
      <w:r>
        <w:rPr>
          <w:rFonts w:hint="eastAsia" w:ascii="楷体" w:hAnsi="楷体" w:eastAsia="楷体"/>
          <w:b/>
          <w:color w:val="000000" w:themeColor="text1"/>
          <w:sz w:val="24"/>
          <w:szCs w:val="24"/>
          <w14:textFill>
            <w14:solidFill>
              <w14:schemeClr w14:val="tx1"/>
            </w14:solidFill>
          </w14:textFill>
        </w:rPr>
        <w:t>聚烯烃：下游原料采购积极性降低，聚烯烃或窄幅整理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小幅上涨。库存方面，本周国内PE库存环比下降3.67%，其中样本主要生产环节PE库存环比下降8.83%，PE样本港口库存环比下降2.25%，样本贸易企业库存环比增加2.86%。本周国内PP库存环比12月23日下降7.77%。其中主要生产环节PP库存、港口库存下降，贸易商库存上升。供应方面，供应方面，本周PE有上海石化LDPE和兰州石化全密度共计11万吨产能装置停车检修；福建联合全密度、浙江石化HDPE共计75万吨装置停车检修；PP本周暂未收到开停车消息。成本端方面，受益于美元走低以及对需求乐观预期， 国际油价继续上涨，WTI连续六个交易日上涨，为去年2月份以来最长的活跃合约涨势， 布伦特原油期货连续四天上涨，目前油制PE利润大约为-307.02元/吨，油制PP利润大约为-1396.28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回暖对聚烯烃支撑力度有所提升，假期将至，下游工厂开工负荷下降，需求日渐走弱，终端多观望为主预计今日聚烯烃窄幅整理。短期暂时维持小幅调整，中长期依旧有下行风险。年初PE、PP仍有多套装置等待投产，叠加进口套利窗口打开，供应压力不减。塑料供需趋弱累库下高空思路不变，上行空间有限。预计近期在供需弱平衡下聚烯烃将窄幅偏弱整理，短期PP 7600左右支撑较强和PE 7900压力位左右支撑较强。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1539"/>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1010"/>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1月USDA报告利多，短期走势预计偏强</w:t>
      </w:r>
      <w:bookmarkEnd w:id="38"/>
    </w:p>
    <w:p>
      <w:pPr>
        <w:ind w:left="630" w:leftChars="300"/>
        <w:rPr>
          <w:rFonts w:ascii="楷体" w:hAnsi="楷体" w:eastAsia="楷体"/>
          <w:sz w:val="24"/>
          <w:szCs w:val="24"/>
        </w:rPr>
      </w:pPr>
      <w:r>
        <w:rPr>
          <w:rFonts w:hint="eastAsia" w:ascii="楷体" w:hAnsi="楷体" w:eastAsia="楷体"/>
          <w:sz w:val="24"/>
          <w:szCs w:val="24"/>
        </w:rPr>
        <w:t>外盘方面，隔夜美豆在1月USDA报告公布后继续走强。虽巴西产量预估上调至1.53亿吨，但1月USDA报告对美豆及阿根廷新作产量均进行了超预期下调，美豆产量下调至42.76亿蒲，阿根廷产量下调至4550万吨。国内市场，随着延迟到港量船只在12月份陆续到港，大豆港口库存累库速度有所加快，但在进口榨利亏损下1-2月进口缺口仍存。油厂开机及压榨在大部分油厂的停机计划下预计下调，豆粕库存累库进度预计放缓。下游养殖利润近期大幅下滑，因生猪大量出栏，饲企和养殖企业等对豆粕采购需求减弱，且节前备货基本结束，需求表现整体偏弱。在供应预期增加及需求减弱下，使得豆粕上方承压，但在南美上市前及基差高位下，短期豆粕随美豆震荡偏强，建议短多操作；中长期维持供给恢复预期，巴西依然维持丰产预期，美豆及豆粕价格重心下移观点不变，关注南美种植情况，可关注5-9反套机会或轻仓逢高试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29296"/>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短期缺乏利多驱动，走势整体偏弱</w:t>
      </w:r>
      <w:bookmarkEnd w:id="39"/>
    </w:p>
    <w:p>
      <w:pPr>
        <w:ind w:left="630" w:leftChars="300"/>
        <w:rPr>
          <w:rFonts w:ascii="楷体" w:hAnsi="楷体" w:eastAsia="楷体"/>
          <w:sz w:val="24"/>
          <w:szCs w:val="24"/>
        </w:rPr>
      </w:pPr>
      <w:r>
        <w:rPr>
          <w:rFonts w:hint="eastAsia" w:ascii="楷体" w:hAnsi="楷体" w:eastAsia="楷体"/>
          <w:sz w:val="24"/>
          <w:szCs w:val="24"/>
        </w:rPr>
        <w:t>外盘方面，虽原油企稳反弹，但在宏观经济衰退担忧及人民币汇率升值下，仍对油脂构成利空影响。棕榈油方面，12月MPOB报告公布，减产幅度符合市场预估，但库存降幅在出口环比减少下不及预期，使得减产支撑减弱。但一季度仍处于棕榈油减产周期，同时在印尼政策利好下，仍是潜在利多因素。国内棕榈油供应较充裕，需求方面在冬季消费淡季下增量有限，棕榈油库存当前在供过于求下也进一步创历史新高，随着12月份进口下滑累库速度放缓并逐步见顶。近期豆油下游成交有所回暖，因传统旺季备货阶段提振，但节前阶段性备货阶段逐步结束，需求支撑减弱。供应端随着12月到港修复，进口大豆库存持续回升，油厂压榨维持高位后边际供应预计逐渐好转，关注豆油库存修复情况，短期在库存低位下延续近强远弱格局。菜油在供应边际预期改善下，同时在轮储计划下近月承压。但在库存尚未明显修复下，基差维持高位。随着进口加籽到港量逐步增加，菜籽库存维持高位。同时在刚需以及春节前传统旺季备货下，菜油库存修复仍需时间。预计油脂在供应边际增加及下游消费复苏情况仍待观望，短期油脂预计维持底部宽幅震荡，当前已跌至区间下沿附近，关注下方支撑，可关注菜棕及菜豆价差逢高做缩机会。</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499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USDA1月供需报告美玉米产量与库存低于市场预期</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持续反弹过程中，矛盾突出体现在3月合约上，即其已成为期价结构的高点，这可能源于三个方面的原因，其一是下游节前备货需求，其二是市场新作压力释放后补库的预期，其三是国家增加储备的传言。我们倾向于其中存在较大风险，因目前处于被动去库存到主动补库存的转换时刻，对于当前具体处于哪一阶段尚难以确定，参考去年情况来看，新作上市压力释放的被动去库存或已经结束，接下来有望进入新一轮主动补库存阶段。但参考2019年情形来看，春节或仍存在余粮压力，而目前远月合约即5-7-9-11月依然贴水，再加上美玉米近月船期进口到港成本显著下滑，或抑制中下游补库积极性，这意味着国内玉米市场仍处于被动去库存阶段。在这种情况下，观点转为中性，建议离场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持续走扩符合我们之前预期，主要源于成本、供需和副产品三个方面因素的带动，成本端即玉米期价反弹，供需则主要源于疫情担忧缓解下的需求改善预期，副产品价差近期加速下跌带动现货生产利润转为亏损，有望通过行业开机率带动供应收缩。后期变数在于成本端，特别春节前市场会否转而担心节后仍有余粮压力。在这种情况下，我们建议前期淀粉-玉米价差走扩套利可以择机获利离场，等待节后交易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4913"/>
      <w:r>
        <w:rPr>
          <w:rFonts w:hint="eastAsia" w:ascii="楷体" w:hAnsi="楷体" w:eastAsia="楷体"/>
          <w:b/>
          <w:bCs/>
          <w:color w:val="000000" w:themeColor="text1"/>
          <w14:textFill>
            <w14:solidFill>
              <w14:schemeClr w14:val="tx1"/>
            </w14:solidFill>
          </w14:textFill>
        </w:rPr>
        <w:t>畜禽养殖：生猪现货弱势未改</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月报中我们指出，短期即春节前市场供需及其现货走势有望带来市场预期的变动，这包括两个层面，其一是需求改善或者恢复的幅度，其二是供应已经及其有待释放的部分。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维持谨慎看多观点，前期多单建议继续持有，不建议追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30980"/>
      <w:r>
        <w:rPr>
          <w:rFonts w:hint="eastAsia" w:ascii="楷体" w:hAnsi="楷体" w:eastAsia="楷体"/>
          <w:b/>
          <w:sz w:val="24"/>
          <w:szCs w:val="24"/>
        </w:rPr>
        <w:t>郑棉：预计郑棉震荡整理，14300以下轻仓逢低买入</w:t>
      </w:r>
      <w:bookmarkEnd w:id="42"/>
    </w:p>
    <w:p>
      <w:pPr>
        <w:ind w:left="630" w:leftChars="300"/>
        <w:rPr>
          <w:rFonts w:ascii="楷体" w:hAnsi="楷体" w:eastAsia="楷体"/>
          <w:sz w:val="24"/>
          <w:szCs w:val="24"/>
        </w:rPr>
      </w:pPr>
      <w:r>
        <w:rPr>
          <w:rFonts w:hint="eastAsia" w:ascii="楷体" w:hAnsi="楷体" w:eastAsia="楷体"/>
          <w:sz w:val="24"/>
          <w:szCs w:val="24"/>
        </w:rPr>
        <w:t>最新工商业库存出炉。虽然加工量在逐渐增加，但偏慢的进度叠加2022年进口减少，截止12月底工商业库存依然维持在一个较低水平。工业库存和可支配库存较同期减少1/3和2/9左右。年后原料补库的概率提升。美国CPI重磅经济数据即将公布，国内也将迎来春节长假，内外资金头寸调整，谨慎以待。部分资金获利了结，盘中一度回落，但下方显示较强支撑。郑棉2305合约KDJ交出死叉，短期或有技术回调。</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72481108"/>
      <w:bookmarkStart w:id="45" w:name="_Toc12779"/>
      <w:bookmarkStart w:id="46" w:name="_Toc98426751"/>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2023年1月13日星期五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0F662138"/>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58A2E5C"/>
    <w:rsid w:val="25B924F3"/>
    <w:rsid w:val="26F95364"/>
    <w:rsid w:val="2CA93C52"/>
    <w:rsid w:val="2DC02C2B"/>
    <w:rsid w:val="2DE440F7"/>
    <w:rsid w:val="2FA70F17"/>
    <w:rsid w:val="340E7198"/>
    <w:rsid w:val="34A75784"/>
    <w:rsid w:val="373F75CC"/>
    <w:rsid w:val="3AC9385E"/>
    <w:rsid w:val="3B3306F0"/>
    <w:rsid w:val="3B563B4D"/>
    <w:rsid w:val="3C2825B0"/>
    <w:rsid w:val="3C2B26B7"/>
    <w:rsid w:val="3D8B796D"/>
    <w:rsid w:val="3DA80A30"/>
    <w:rsid w:val="3EE0186C"/>
    <w:rsid w:val="441077D2"/>
    <w:rsid w:val="44396064"/>
    <w:rsid w:val="459609D9"/>
    <w:rsid w:val="45A37566"/>
    <w:rsid w:val="45CF0A85"/>
    <w:rsid w:val="47752ACA"/>
    <w:rsid w:val="4AB74C38"/>
    <w:rsid w:val="4B6224E5"/>
    <w:rsid w:val="4B8C4A56"/>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B292599"/>
    <w:rsid w:val="6ECB7DD2"/>
    <w:rsid w:val="713E0334"/>
    <w:rsid w:val="729B5F03"/>
    <w:rsid w:val="72F62A89"/>
    <w:rsid w:val="737357AF"/>
    <w:rsid w:val="75292EAC"/>
    <w:rsid w:val="75775016"/>
    <w:rsid w:val="778F5135"/>
    <w:rsid w:val="78E55995"/>
    <w:rsid w:val="7ABE4B56"/>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6856</Words>
  <Characters>7468</Characters>
  <Lines>50</Lines>
  <Paragraphs>14</Paragraphs>
  <TotalTime>6</TotalTime>
  <ScaleCrop>false</ScaleCrop>
  <LinksUpToDate>false</LinksUpToDate>
  <CharactersWithSpaces>7494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2023-01-13T02:52:27Z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