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8" w:name="_GoBack"/>
          <w:bookmarkEnd w:id="48"/>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_Toc21910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_Toc4503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多单持有</w:t>
          </w:r>
          <w:r>
            <w:rPr>
              <w:bCs/>
            </w:rPr>
            <w:fldChar w:fldCharType="end"/>
          </w:r>
        </w:p>
        <w:p>
          <w:pPr>
            <w:pStyle w:val="5"/>
            <w:tabs>
              <w:tab w:val="right" w:leader="dot" w:pos="8306"/>
            </w:tabs>
          </w:pPr>
          <w:r>
            <w:rPr>
              <w:bCs/>
            </w:rPr>
            <w:fldChar w:fldCharType="begin"/>
          </w:r>
          <w:r>
            <w:rPr>
              <w:bCs/>
            </w:rPr>
            <w:instrText xml:space="preserve"> HYPERLINK \l _Toc15531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_Toc8859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美元指数进一步回落，金价偏强运行</w:t>
          </w:r>
          <w:r>
            <w:rPr>
              <w:bCs/>
            </w:rPr>
            <w:fldChar w:fldCharType="end"/>
          </w:r>
        </w:p>
        <w:p>
          <w:pPr>
            <w:pStyle w:val="5"/>
            <w:tabs>
              <w:tab w:val="right" w:leader="dot" w:pos="8306"/>
            </w:tabs>
          </w:pPr>
          <w:r>
            <w:rPr>
              <w:bCs/>
            </w:rPr>
            <w:fldChar w:fldCharType="begin"/>
          </w:r>
          <w:r>
            <w:rPr>
              <w:bCs/>
            </w:rPr>
            <w:instrText xml:space="preserve"> HYPERLINK \l _Toc28147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_Toc15455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海外商品情绪偏强，钢价偏强震荡</w:t>
          </w:r>
          <w:r>
            <w:rPr>
              <w:bCs/>
            </w:rPr>
            <w:fldChar w:fldCharType="end"/>
          </w:r>
        </w:p>
        <w:p>
          <w:pPr>
            <w:pStyle w:val="6"/>
            <w:tabs>
              <w:tab w:val="right" w:leader="dot" w:pos="8306"/>
            </w:tabs>
          </w:pPr>
          <w:r>
            <w:rPr>
              <w:bCs/>
            </w:rPr>
            <w:fldChar w:fldCharType="begin"/>
          </w:r>
          <w:r>
            <w:rPr>
              <w:bCs/>
            </w:rPr>
            <w:instrText xml:space="preserve"> HYPERLINK \l _Toc2030 </w:instrText>
          </w:r>
          <w:r>
            <w:rPr>
              <w:bCs/>
            </w:rPr>
            <w:fldChar w:fldCharType="separate"/>
          </w:r>
          <w:r>
            <w:rPr>
              <w:rFonts w:hint="eastAsia" w:ascii="楷体" w:hAnsi="楷体" w:eastAsia="楷体"/>
              <w:szCs w:val="24"/>
            </w:rPr>
            <w:t>焦炭：利空出尽后估值修复，盘面震荡</w:t>
          </w:r>
          <w:r>
            <w:rPr>
              <w:bCs/>
            </w:rPr>
            <w:fldChar w:fldCharType="end"/>
          </w:r>
        </w:p>
        <w:p>
          <w:pPr>
            <w:pStyle w:val="6"/>
            <w:tabs>
              <w:tab w:val="right" w:leader="dot" w:pos="8306"/>
            </w:tabs>
          </w:pPr>
          <w:r>
            <w:rPr>
              <w:bCs/>
            </w:rPr>
            <w:fldChar w:fldCharType="begin"/>
          </w:r>
          <w:r>
            <w:rPr>
              <w:bCs/>
            </w:rPr>
            <w:instrText xml:space="preserve"> HYPERLINK \l _Toc26680 </w:instrText>
          </w:r>
          <w:r>
            <w:rPr>
              <w:bCs/>
            </w:rPr>
            <w:fldChar w:fldCharType="separate"/>
          </w:r>
          <w:r>
            <w:rPr>
              <w:rFonts w:hint="eastAsia" w:ascii="楷体" w:hAnsi="楷体" w:eastAsia="楷体"/>
              <w:szCs w:val="24"/>
            </w:rPr>
            <w:t>焦煤：利空出尽后估值修复，盘面震荡   </w:t>
          </w:r>
          <w:r>
            <w:rPr>
              <w:bCs/>
            </w:rPr>
            <w:fldChar w:fldCharType="end"/>
          </w:r>
        </w:p>
        <w:p>
          <w:pPr>
            <w:pStyle w:val="6"/>
            <w:tabs>
              <w:tab w:val="right" w:leader="dot" w:pos="8306"/>
            </w:tabs>
          </w:pPr>
          <w:r>
            <w:rPr>
              <w:bCs/>
            </w:rPr>
            <w:fldChar w:fldCharType="begin"/>
          </w:r>
          <w:r>
            <w:rPr>
              <w:bCs/>
            </w:rPr>
            <w:instrText xml:space="preserve"> HYPERLINK \l _Toc2088 </w:instrText>
          </w:r>
          <w:r>
            <w:rPr>
              <w:bCs/>
            </w:rPr>
            <w:fldChar w:fldCharType="separate"/>
          </w:r>
          <w:r>
            <w:rPr>
              <w:rFonts w:hint="eastAsia" w:ascii="楷体" w:hAnsi="楷体" w:eastAsia="楷体"/>
              <w:szCs w:val="24"/>
            </w:rPr>
            <w:t>铜：美指大幅下挫，铜价延续高位震荡偏强运行</w:t>
          </w:r>
          <w:r>
            <w:rPr>
              <w:bCs/>
            </w:rPr>
            <w:fldChar w:fldCharType="end"/>
          </w:r>
        </w:p>
        <w:p>
          <w:pPr>
            <w:pStyle w:val="6"/>
            <w:tabs>
              <w:tab w:val="right" w:leader="dot" w:pos="8306"/>
            </w:tabs>
          </w:pPr>
          <w:r>
            <w:rPr>
              <w:bCs/>
            </w:rPr>
            <w:fldChar w:fldCharType="begin"/>
          </w:r>
          <w:r>
            <w:rPr>
              <w:bCs/>
            </w:rPr>
            <w:instrText xml:space="preserve"> HYPERLINK \l _Toc2276 </w:instrText>
          </w:r>
          <w:r>
            <w:rPr>
              <w:bCs/>
            </w:rPr>
            <w:fldChar w:fldCharType="separate"/>
          </w:r>
          <w:r>
            <w:rPr>
              <w:rFonts w:hint="eastAsia" w:ascii="楷体" w:hAnsi="楷体" w:eastAsia="楷体"/>
              <w:szCs w:val="24"/>
            </w:rPr>
            <w:t>铝：铝价反弹重上万八，价格仍有核心支撑</w:t>
          </w:r>
          <w:r>
            <w:rPr>
              <w:bCs/>
            </w:rPr>
            <w:fldChar w:fldCharType="end"/>
          </w:r>
        </w:p>
        <w:p>
          <w:pPr>
            <w:pStyle w:val="6"/>
            <w:tabs>
              <w:tab w:val="right" w:leader="dot" w:pos="8306"/>
            </w:tabs>
          </w:pPr>
          <w:r>
            <w:rPr>
              <w:bCs/>
            </w:rPr>
            <w:fldChar w:fldCharType="begin"/>
          </w:r>
          <w:r>
            <w:rPr>
              <w:bCs/>
            </w:rPr>
            <w:instrText xml:space="preserve"> HYPERLINK \l _Toc15418 </w:instrText>
          </w:r>
          <w:r>
            <w:rPr>
              <w:bCs/>
            </w:rPr>
            <w:fldChar w:fldCharType="separate"/>
          </w:r>
          <w:r>
            <w:rPr>
              <w:rFonts w:hint="eastAsia" w:ascii="楷体" w:hAnsi="楷体" w:eastAsia="楷体"/>
              <w:szCs w:val="24"/>
            </w:rPr>
            <w:t>锌：锌价修复走升，价格表现仍有韧性</w:t>
          </w:r>
          <w:r>
            <w:rPr>
              <w:bCs/>
            </w:rPr>
            <w:fldChar w:fldCharType="end"/>
          </w:r>
        </w:p>
        <w:p>
          <w:pPr>
            <w:pStyle w:val="6"/>
            <w:tabs>
              <w:tab w:val="right" w:leader="dot" w:pos="8306"/>
            </w:tabs>
          </w:pPr>
          <w:r>
            <w:rPr>
              <w:bCs/>
            </w:rPr>
            <w:fldChar w:fldCharType="begin"/>
          </w:r>
          <w:r>
            <w:rPr>
              <w:bCs/>
            </w:rPr>
            <w:instrText xml:space="preserve"> HYPERLINK \l _Toc15366 </w:instrText>
          </w:r>
          <w:r>
            <w:rPr>
              <w:bCs/>
            </w:rPr>
            <w:fldChar w:fldCharType="separate"/>
          </w:r>
          <w:r>
            <w:rPr>
              <w:rFonts w:hint="eastAsia" w:ascii="楷体" w:hAnsi="楷体" w:eastAsia="楷体"/>
              <w:szCs w:val="24"/>
            </w:rPr>
            <w:t>镍：远期供应过剩预期强化，镍价承压</w:t>
          </w:r>
          <w:r>
            <w:rPr>
              <w:bCs/>
            </w:rPr>
            <w:fldChar w:fldCharType="end"/>
          </w:r>
        </w:p>
        <w:p>
          <w:pPr>
            <w:pStyle w:val="6"/>
            <w:tabs>
              <w:tab w:val="right" w:leader="dot" w:pos="8306"/>
            </w:tabs>
          </w:pPr>
          <w:r>
            <w:rPr>
              <w:bCs/>
            </w:rPr>
            <w:fldChar w:fldCharType="begin"/>
          </w:r>
          <w:r>
            <w:rPr>
              <w:bCs/>
            </w:rPr>
            <w:instrText xml:space="preserve"> HYPERLINK \l _Toc32747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_Toc30795 </w:instrText>
          </w:r>
          <w:r>
            <w:rPr>
              <w:bCs/>
            </w:rPr>
            <w:fldChar w:fldCharType="separate"/>
          </w:r>
          <w:r>
            <w:rPr>
              <w:rFonts w:hint="eastAsia" w:ascii="楷体" w:hAnsi="楷体" w:eastAsia="楷体"/>
              <w:szCs w:val="24"/>
            </w:rPr>
            <w:t>工业硅：广期所发布征集做市商通知，市场热度再度回暖</w:t>
          </w:r>
          <w:r>
            <w:rPr>
              <w:bCs/>
            </w:rPr>
            <w:fldChar w:fldCharType="end"/>
          </w:r>
        </w:p>
        <w:p>
          <w:pPr>
            <w:pStyle w:val="5"/>
            <w:tabs>
              <w:tab w:val="right" w:leader="dot" w:pos="8306"/>
            </w:tabs>
          </w:pPr>
          <w:r>
            <w:rPr>
              <w:bCs/>
            </w:rPr>
            <w:fldChar w:fldCharType="begin"/>
          </w:r>
          <w:r>
            <w:rPr>
              <w:bCs/>
            </w:rPr>
            <w:instrText xml:space="preserve"> HYPERLINK \l _Toc22828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_Toc22008 </w:instrText>
          </w:r>
          <w:r>
            <w:rPr>
              <w:bCs/>
            </w:rPr>
            <w:fldChar w:fldCharType="separate"/>
          </w:r>
          <w:r>
            <w:rPr>
              <w:rFonts w:hint="eastAsia" w:ascii="Times New Roman" w:hAnsi="Times New Roman" w:eastAsia="楷体"/>
              <w:szCs w:val="24"/>
            </w:rPr>
            <w:t>乙二醇：节前维持4000-4300区间操作</w:t>
          </w:r>
          <w:r>
            <w:rPr>
              <w:bCs/>
            </w:rPr>
            <w:fldChar w:fldCharType="end"/>
          </w:r>
        </w:p>
        <w:p>
          <w:pPr>
            <w:pStyle w:val="6"/>
            <w:tabs>
              <w:tab w:val="right" w:leader="dot" w:pos="8306"/>
            </w:tabs>
          </w:pPr>
          <w:r>
            <w:rPr>
              <w:bCs/>
            </w:rPr>
            <w:fldChar w:fldCharType="begin"/>
          </w:r>
          <w:r>
            <w:rPr>
              <w:bCs/>
            </w:rPr>
            <w:instrText xml:space="preserve"> HYPERLINK \l _Toc18682 </w:instrText>
          </w:r>
          <w:r>
            <w:rPr>
              <w:bCs/>
            </w:rPr>
            <w:fldChar w:fldCharType="separate"/>
          </w:r>
          <w:r>
            <w:rPr>
              <w:rFonts w:ascii="楷体" w:hAnsi="楷体" w:eastAsia="楷体"/>
              <w:szCs w:val="24"/>
            </w:rPr>
            <w:t>PTA</w:t>
          </w:r>
          <w:r>
            <w:rPr>
              <w:rFonts w:hint="eastAsia" w:ascii="楷体" w:hAnsi="楷体" w:eastAsia="楷体"/>
              <w:szCs w:val="24"/>
            </w:rPr>
            <w:t>：跟随成本端价格波动 短期走势偏反复</w:t>
          </w:r>
          <w:r>
            <w:rPr>
              <w:bCs/>
            </w:rPr>
            <w:fldChar w:fldCharType="end"/>
          </w:r>
        </w:p>
        <w:p>
          <w:pPr>
            <w:pStyle w:val="6"/>
            <w:tabs>
              <w:tab w:val="right" w:leader="dot" w:pos="8306"/>
            </w:tabs>
          </w:pPr>
          <w:r>
            <w:rPr>
              <w:bCs/>
            </w:rPr>
            <w:fldChar w:fldCharType="begin"/>
          </w:r>
          <w:r>
            <w:rPr>
              <w:bCs/>
            </w:rPr>
            <w:instrText xml:space="preserve"> HYPERLINK \l _Toc7347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_Toc8314 </w:instrText>
          </w:r>
          <w:r>
            <w:rPr>
              <w:bCs/>
            </w:rPr>
            <w:fldChar w:fldCharType="separate"/>
          </w:r>
          <w:r>
            <w:rPr>
              <w:rFonts w:hint="eastAsia" w:ascii="楷体" w:hAnsi="楷体" w:eastAsia="楷体"/>
              <w:szCs w:val="24"/>
            </w:rPr>
            <w:t>聚烯烃：节前下游备货接近尾声，聚烯烃或窄幅整理</w:t>
          </w:r>
          <w:r>
            <w:rPr>
              <w:bCs/>
            </w:rPr>
            <w:fldChar w:fldCharType="end"/>
          </w:r>
        </w:p>
        <w:p>
          <w:pPr>
            <w:pStyle w:val="5"/>
            <w:tabs>
              <w:tab w:val="right" w:leader="dot" w:pos="8306"/>
            </w:tabs>
          </w:pPr>
          <w:r>
            <w:rPr>
              <w:bCs/>
            </w:rPr>
            <w:fldChar w:fldCharType="begin"/>
          </w:r>
          <w:r>
            <w:rPr>
              <w:bCs/>
            </w:rPr>
            <w:instrText xml:space="preserve"> HYPERLINK \l _Toc18626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_Toc25541 </w:instrText>
          </w:r>
          <w:r>
            <w:rPr>
              <w:bCs/>
            </w:rPr>
            <w:fldChar w:fldCharType="separate"/>
          </w:r>
          <w:r>
            <w:rPr>
              <w:rFonts w:hint="eastAsia" w:ascii="楷体" w:hAnsi="楷体" w:eastAsia="楷体"/>
              <w:szCs w:val="24"/>
            </w:rPr>
            <w:t>豆粕：暂看下方3800一线支撑</w:t>
          </w:r>
          <w:r>
            <w:rPr>
              <w:bCs/>
            </w:rPr>
            <w:fldChar w:fldCharType="end"/>
          </w:r>
        </w:p>
        <w:p>
          <w:pPr>
            <w:pStyle w:val="6"/>
            <w:tabs>
              <w:tab w:val="right" w:leader="dot" w:pos="8306"/>
            </w:tabs>
          </w:pPr>
          <w:r>
            <w:rPr>
              <w:bCs/>
            </w:rPr>
            <w:fldChar w:fldCharType="begin"/>
          </w:r>
          <w:r>
            <w:rPr>
              <w:bCs/>
            </w:rPr>
            <w:instrText xml:space="preserve"> HYPERLINK \l _Toc2840 </w:instrText>
          </w:r>
          <w:r>
            <w:rPr>
              <w:bCs/>
            </w:rPr>
            <w:fldChar w:fldCharType="separate"/>
          </w:r>
          <w:r>
            <w:rPr>
              <w:rFonts w:hint="eastAsia" w:ascii="楷体" w:hAnsi="楷体" w:eastAsia="楷体"/>
              <w:szCs w:val="24"/>
            </w:rPr>
            <w:t>油脂：短期震荡整理，建议波段操作</w:t>
          </w:r>
          <w:r>
            <w:rPr>
              <w:bCs/>
            </w:rPr>
            <w:fldChar w:fldCharType="end"/>
          </w:r>
        </w:p>
        <w:p>
          <w:pPr>
            <w:pStyle w:val="6"/>
            <w:tabs>
              <w:tab w:val="right" w:leader="dot" w:pos="8306"/>
            </w:tabs>
          </w:pPr>
          <w:r>
            <w:rPr>
              <w:bCs/>
            </w:rPr>
            <w:fldChar w:fldCharType="begin"/>
          </w:r>
          <w:r>
            <w:rPr>
              <w:bCs/>
            </w:rPr>
            <w:instrText xml:space="preserve"> HYPERLINK \l _Toc20542 </w:instrText>
          </w:r>
          <w:r>
            <w:rPr>
              <w:bCs/>
            </w:rPr>
            <w:fldChar w:fldCharType="separate"/>
          </w:r>
          <w:r>
            <w:rPr>
              <w:rFonts w:hint="eastAsia" w:ascii="楷体" w:hAnsi="楷体" w:eastAsia="楷体"/>
              <w:bCs/>
            </w:rPr>
            <w:t>玉米与淀粉：</w:t>
          </w:r>
          <w:r>
            <w:rPr>
              <w:rFonts w:hint="eastAsia" w:ascii="楷体" w:hAnsi="楷体" w:eastAsia="楷体"/>
            </w:rPr>
            <w:t>期价夜盘减仓回落</w:t>
          </w:r>
          <w:r>
            <w:rPr>
              <w:bCs/>
            </w:rPr>
            <w:fldChar w:fldCharType="end"/>
          </w:r>
        </w:p>
        <w:p>
          <w:pPr>
            <w:pStyle w:val="6"/>
            <w:tabs>
              <w:tab w:val="right" w:leader="dot" w:pos="8306"/>
            </w:tabs>
          </w:pPr>
          <w:r>
            <w:rPr>
              <w:bCs/>
            </w:rPr>
            <w:fldChar w:fldCharType="begin"/>
          </w:r>
          <w:r>
            <w:rPr>
              <w:bCs/>
            </w:rPr>
            <w:instrText xml:space="preserve"> HYPERLINK \l _Toc8929 </w:instrText>
          </w:r>
          <w:r>
            <w:rPr>
              <w:bCs/>
            </w:rPr>
            <w:fldChar w:fldCharType="separate"/>
          </w:r>
          <w:r>
            <w:rPr>
              <w:rFonts w:hint="eastAsia" w:ascii="楷体" w:hAnsi="楷体" w:eastAsia="楷体"/>
              <w:bCs/>
            </w:rPr>
            <w:t>畜禽养殖：生猪现货表现弱势</w:t>
          </w:r>
          <w:r>
            <w:rPr>
              <w:bCs/>
            </w:rPr>
            <w:fldChar w:fldCharType="end"/>
          </w:r>
        </w:p>
        <w:p>
          <w:pPr>
            <w:pStyle w:val="6"/>
            <w:tabs>
              <w:tab w:val="right" w:leader="dot" w:pos="8306"/>
            </w:tabs>
          </w:pPr>
          <w:r>
            <w:rPr>
              <w:bCs/>
            </w:rPr>
            <w:fldChar w:fldCharType="begin"/>
          </w:r>
          <w:r>
            <w:rPr>
              <w:bCs/>
            </w:rPr>
            <w:instrText xml:space="preserve"> HYPERLINK \l _Toc2663 </w:instrText>
          </w:r>
          <w:r>
            <w:rPr>
              <w:bCs/>
            </w:rPr>
            <w:fldChar w:fldCharType="separate"/>
          </w:r>
          <w:r>
            <w:rPr>
              <w:rFonts w:hint="eastAsia" w:ascii="楷体" w:hAnsi="楷体" w:eastAsia="楷体"/>
              <w:szCs w:val="24"/>
            </w:rPr>
            <w:t>郑棉：预计郑棉偏强震荡，14300以下逢低买入</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1910"/>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450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海外衰退预期加深，美元指数下行，人民币收复6.8关口，短期外资回流A股逻辑难证伪，近期各主要城市疫情达峰后高频数据显示经济正逐步修复且港股风险偏好明显改善，内外共振支撑权益市场情绪好转。</w:t>
      </w:r>
    </w:p>
    <w:p>
      <w:pPr>
        <w:pBdr>
          <w:top w:val="single" w:color="auto" w:sz="4" w:space="0"/>
        </w:pBdr>
        <w:outlineLvl w:val="0"/>
        <w:rPr>
          <w:rFonts w:ascii="Times New Roman" w:hAnsi="Times New Roman" w:eastAsia="楷体"/>
          <w:b/>
          <w:color w:val="823C0B"/>
        </w:rPr>
      </w:pPr>
      <w:bookmarkStart w:id="7" w:name="_Toc15531"/>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8859"/>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美元指数进一步回落，金价偏强运行</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旧金山联储主席戴利讲话称，通胀比预期的更加持久，最大的风险是通胀预期的上升。5%-5.25%的利率峰值是合理的，将在下次会议上讨论加息50bp或25bp，加息50bp并非不可能。亚特兰大联储主席博斯蒂克称，预测2023年GDP将增长1%，不会出现经济衰退，今年通胀或降至3%附近。上周美国就业数据显示12月时薪增速大幅放缓，提示就业市场有所降温，核心通胀压力有所缓解。市场对于美联储未来加息放缓的预期有所强化，美元指数进一步回落至103附近，金价偏强运行，操作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28147"/>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5455"/>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海外商品情绪偏强，钢价偏强震荡</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淡季期间，产业基本面的矛盾尚在酝酿当中，更多消息及预期干扰盘面。上周地产消息刺激下情绪转暖，短期供需双弱格局下，市场流通货或逐渐变少，冬储意愿减半但补库仍在进行，预计继续偏强震荡运行，预计运行区间（4050,4150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030"/>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利空出尽后估值修复，盘面震荡</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钢厂对焦炭第二轮提降提出，预计春节前或累计提降2-3轮，随着焦化复产及冬储进入尾声，焦炭的边际需求走弱，但焦化厂开始抗议提降，短期盘面提前调整下贴水幅度较大，利空出尽后估值修复，预计震荡运行区间（2630,2730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6680"/>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利空出尽后估值修复，盘面震荡   </w:t>
      </w:r>
      <w:bookmarkEnd w:id="20"/>
    </w:p>
    <w:p>
      <w:pPr>
        <w:ind w:left="630" w:leftChars="300"/>
        <w:rPr>
          <w:rFonts w:ascii="楷体" w:hAnsi="楷体" w:eastAsia="楷体"/>
          <w:bCs/>
          <w:sz w:val="24"/>
          <w:szCs w:val="24"/>
        </w:rPr>
      </w:pPr>
      <w:r>
        <w:rPr>
          <w:rFonts w:hint="eastAsia" w:ascii="楷体" w:hAnsi="楷体" w:eastAsia="楷体"/>
          <w:sz w:val="24"/>
          <w:szCs w:val="24"/>
        </w:rPr>
        <w:t>短期澳煤放开刺激下，市场情绪转为悲观，但目前看更多是点对点的有限放开，实际影响有限，且目前澳煤价格仓单高于蒙煤，蒙煤偏稳运行，盘面提前反应下或震荡运行，预计运行区间（1800,1900）。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088"/>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美指大幅下挫，铜价延续高位震荡偏强运行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(1)宏观：财政部、税务总局1月9日发布的《关于明确增值税小规模纳税人减免增值税等政策的公告》提出，自2023年1月1日至2023年12月31日，对月销售额10万元以下(含本数)的增值税小规模纳税人，免征增值税。</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(2)库存：1月9日，SHFE仓单库存28086吨，增788吨；LME 仓单库存85150吨，减1250吨。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(3)精废价差：1月9日，Mysteel精废价差2015，扩大323。目前价差在合理价差1362之上。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数据偏弱，对铜价上方空间依旧形成抑制。中国物流与采购联合会6日公布的2022年12月份全球制造业PMI为48.6%，较上月下降0.1个百分点，连续7个月环比下降，连续3个月低于50%。国内多地密集出台稳经济政策，更多支持举措蓄势，铜价跟随宏观情绪波动。隔夜美元指数继续下挫，提振铜价，预计短期延续高位震荡偏强运行，参考65000-67000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276"/>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铝价反弹重上万八，价格仍有核心支撑</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12月议息会议加息态度偏鹰，美国“小非农”就业人口增幅远超市场预期，申请失业金人数创三个月新低，劳动市场高温未退，美联储仍有较强加息预期，国内一季度将迎来地产政策窗口期，房地产利多提振市场信心，国内宏观情绪延续向好。从基本面来看，贵州地区连续三次发布电力降负荷通知，预计省内电解铝企业减产幅度要超60%，减产规模超90万吨，供应端扰动向弱。临近春节假期，上中游企业陆续减产或放假，下游企业用料需求走弱，实际铝市供需双弱，海外库存低位减库，国内库存拐入累库，铝价再度站上万八，价格整体维持震荡，短线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5418"/>
      <w:r>
        <w:rPr>
          <w:rFonts w:hint="eastAsia" w:ascii="楷体" w:hAnsi="楷体" w:eastAsia="楷体"/>
          <w:b/>
          <w:color w:val="000000" w:themeColor="text1"/>
          <w:sz w:val="24"/>
          <w:szCs w:val="24"/>
          <w14:textFill>
            <w14:solidFill>
              <w14:schemeClr w14:val="tx1"/>
            </w14:solidFill>
          </w14:textFill>
        </w:rPr>
        <w:t>锌：锌价修复走升，价格表现仍有韧性</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9日沪锌隔夜收盘价格23830元/吨，涨幅2.17%，上海有色网0#锌锭（Zn99.995）现货报价23740元/吨，较上一统计日报价上涨270元/吨。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12月议息会议纪要公布，美国加息态度偏鹰，美国“小非农”数据超预期，宏观情绪偏空，国内宏观情绪仍延续强韧向好。据WBMS数据，2022年1-10月全球锌供应盈余29.4万吨，全球精炼锌需求同比下降4.5%，锌市需求较供给更弱，实际锌库存仍再创历史新低，为盘面锌价提供较强支撑，锌价修复向上，整体价格走势仍表现为震荡，短线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5366"/>
      <w:r>
        <w:rPr>
          <w:rFonts w:hint="eastAsia" w:ascii="楷体" w:hAnsi="楷体" w:eastAsia="楷体"/>
          <w:b/>
          <w:color w:val="000000" w:themeColor="text1"/>
          <w:sz w:val="24"/>
          <w:szCs w:val="24"/>
          <w14:textFill>
            <w14:solidFill>
              <w14:schemeClr w14:val="tx1"/>
            </w14:solidFill>
          </w14:textFill>
        </w:rPr>
        <w:t>镍：远期供应过剩预期强化，镍价承压</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几位消息人士称，已经在印尼建设精炼镍生产设施的青山正与几家处境艰难的中国铜厂商讨，计划将产品加工成价值更高的精炼金属。如果成功的话，全球精炼产量料约增加五分之一。低库存仍提供支撑，但远期供应过剩预期在消息面刺激下有所强化，短期价格震荡偏弱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32747"/>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3079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广期所发布征集做市商通知，市场热度再度回暖</w:t>
      </w:r>
      <w:bookmarkEnd w:id="30"/>
    </w:p>
    <w:p>
      <w:pPr>
        <w:ind w:left="630" w:leftChars="300"/>
        <w:rPr>
          <w:rFonts w:hint="eastAsia" w:ascii="楷体" w:hAnsi="楷体" w:eastAsia="楷体"/>
          <w:sz w:val="24"/>
          <w:szCs w:val="24"/>
        </w:rPr>
      </w:pPr>
      <w:r>
        <w:rPr>
          <w:rFonts w:hint="eastAsia" w:ascii="楷体" w:hAnsi="楷体" w:eastAsia="楷体"/>
          <w:sz w:val="24"/>
          <w:szCs w:val="24"/>
        </w:rPr>
        <w:t>1月9日，Si2308主力合约呈冲高回落走势，收跌17695元/吨，较上一收盘价的涨跌幅-0.70%，成交量以及持仓量均较大幅度增加，市场热度再度回暖。</w:t>
      </w:r>
    </w:p>
    <w:p>
      <w:pPr>
        <w:ind w:left="630" w:leftChars="300"/>
        <w:rPr>
          <w:rFonts w:hint="eastAsia" w:ascii="楷体" w:hAnsi="楷体" w:eastAsia="楷体"/>
          <w:sz w:val="24"/>
          <w:szCs w:val="24"/>
        </w:rPr>
      </w:pPr>
      <w:r>
        <w:rPr>
          <w:rFonts w:hint="eastAsia" w:ascii="楷体" w:hAnsi="楷体" w:eastAsia="楷体"/>
          <w:sz w:val="24"/>
          <w:szCs w:val="24"/>
        </w:rPr>
        <w:t>从消息面来看，近期广期所发布征集工业硅期货做市商的通知，预计市场流动性将得到有效提高，也有助于期货市场稳定运行。</w:t>
      </w:r>
    </w:p>
    <w:p>
      <w:pPr>
        <w:ind w:left="630" w:leftChars="300"/>
        <w:rPr>
          <w:rFonts w:ascii="楷体" w:hAnsi="楷体" w:eastAsia="楷体"/>
          <w:sz w:val="24"/>
          <w:szCs w:val="24"/>
        </w:rPr>
      </w:pPr>
      <w:r>
        <w:rPr>
          <w:rFonts w:hint="eastAsia" w:ascii="楷体" w:hAnsi="楷体" w:eastAsia="楷体"/>
          <w:sz w:val="24"/>
          <w:szCs w:val="24"/>
        </w:rPr>
        <w:t>从基本面来看，国内房地产需求修复预期得到加强，但现货市场仍旧低迷运行，短期资金将在强预期与弱现实继续博弈，预计盘面以区间（17500，18000）震荡为主，建议尝试震荡区间上下限附近进行波段交易。</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2828"/>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200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节前维持4000-4300区间操作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今日华东主港地区MEG港口库存约90.3万吨附近，环比上期减少3万吨。开工情况，截至1月5日，中国大陆地区乙二醇整体开工负荷在64.18%（+1.31%），其中煤制乙二醇开工负荷在56.30%（+7.30%）。从聚酯需求端来看，本周聚酯长丝、瓶片装置继续有新增检修，短纤局部产量微调，整体聚酯产量继续下滑。截至1.5，国内大陆地区聚酯负荷在67.2%（+1.2%）。本周江浙终端开工继续下降，截至1.05，江浙加弹开工率14%（-14%）、江浙织机开工率14%（-12%）、浙江印染开工率30%（-8%）。综合来看，供给端开工率大幅回升及MEG新装置逐步投产，供应环节仍在逐步增量中。月底终端放假潮来临，目前加弹、织造、印染基本都处于收尾状态，预估1月10日前多将结束生产。乙二醇供应过剩局面持续存在，且累库幅度较大。北美寒潮影响逐步退去，当地装置陆续恢复中，节前维持4000-4300区间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868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：跟随成本端价格波动 短期走势偏反复</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期新材料360万吨检修，英力士110万吨装置重启出产品，嘉兴石化220万吨重启暂未出料，逸盛其他装置负荷小幅调整，亚东负荷调整至8成，恒力石化220万吨恢复，嘉通能源250万吨装置负荷提升，至周四PTA负荷提升至66.6%（+4.6%）。 新装置方面，12月东营威联250万吨及嘉通能源250万吨的两套PTA装置已量产。本周聚酯长丝、瓶片装置继续有新增检修，短纤局部产量微调，整体聚酯产量继续下滑。截至本周四，国内大陆地区聚酯负荷在67.2%（+1.2%）。终端方面，本周江浙终端开工基本进入春节前放假状态，江浙终端工厂原料备货局部增加，但年后织造订单仍偏弱。月底终端放假潮来临，终端开工率已经大幅下降至14-30%左右。供给端开工提升明显大于下游开工提升幅度，在新装置持续输出以及需求走弱态势下，PTA仍有季节性累库压力，预估1月累库幅度在40~50万吨，节前走势偏空，但受油价提振，短期走势偏反复。</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7347"/>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8314"/>
      <w:r>
        <w:rPr>
          <w:rFonts w:hint="eastAsia" w:ascii="楷体" w:hAnsi="楷体" w:eastAsia="楷体"/>
          <w:b/>
          <w:color w:val="000000" w:themeColor="text1"/>
          <w:sz w:val="24"/>
          <w:szCs w:val="24"/>
          <w14:textFill>
            <w14:solidFill>
              <w14:schemeClr w14:val="tx1"/>
            </w14:solidFill>
          </w14:textFill>
        </w:rPr>
        <w:t>聚烯烃：节前下游备货接近尾声，聚烯烃或窄幅整理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小幅下跌。库存方面，本周国内PE库存环比下降3.67%，其中样本主要生产环节PE库存环比下降8.83%，PE样本港口库存环比下降2.25%，样本贸易企业库存环比增加2.86%。本周国内PP库存环比12月23日下降7.77%。其中主要生产环节PP库存、港口库存下降，贸易商库存上升。供应方面，供应方面，本周PE暂无新增检修装置；本周上海石化一套10万吨产能LDPE装置将开机重启；PP本周新增中原石化和上海赛科共计35万吨装置停车检修，中原石化另一6万吨装置将于本周开车重启。成本端方面，美元汇率下跌提振以美元计价的石油期货市场气氛，对亚洲经济重新开放后需求增长的判断推动油价上涨，目前油制PE利润大约为38.71元/吨，油制PP利润大约为-1147.81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回暖对聚烯烃支撑力度有所提升，下游受疫情影响开工情况一般，订单提振力度有限，节前备货接近尾声，工厂陆续放假，预计今日聚烯烃窄幅整理。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7600左右支撑较强和PE 7900压力位左右支撑较强。仅供参考。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8626"/>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25541"/>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暂看下方3800一线支撑</w:t>
      </w:r>
      <w:bookmarkEnd w:id="38"/>
    </w:p>
    <w:p>
      <w:pPr>
        <w:ind w:left="630" w:leftChars="300"/>
        <w:rPr>
          <w:rFonts w:ascii="楷体" w:hAnsi="楷体" w:eastAsia="楷体"/>
          <w:sz w:val="24"/>
          <w:szCs w:val="24"/>
        </w:rPr>
      </w:pPr>
      <w:r>
        <w:rPr>
          <w:rFonts w:hint="eastAsia" w:ascii="楷体" w:hAnsi="楷体" w:eastAsia="楷体"/>
          <w:sz w:val="24"/>
          <w:szCs w:val="24"/>
        </w:rPr>
        <w:t>外盘方面，受原油走势拖累CBOT大豆回调整理，带动内盘豆粕走弱。且阿根廷近期迎来降雨进一步施压美豆，但目前的降雨量仍无法缓解产区干旱情况，种植情况仍需持续关注，当前受干旱天气影响种植进度偏慢和优良率持续下滑，产量不确定性仍存。国内市场，随着延迟到港量在12月份陆续到港，当前大豆港口库存累库速度也有所加快。油厂开机及压榨持续维持高位，豆粕库存已连续几周增加，但在油厂榨利亏损下23年1-2月份大豆缺口仍存，预计年后累库速度放缓。下游养殖利润近期大幅下滑，因生猪大量出栏，但下游需求不及预期，饲企和养殖企业等对豆粕采购需求减弱，但节前仍有备货需求。目前进入交割月资金已逐渐转至远月合约，在供应预期增加下延续近强远弱格局，虽当前承压回调，但在南美上市前及基差高位下，短期豆粕预计下跌空间有限，暂看下方3800一线支撑；中长期维持供给恢复预期，美豆及豆粕价格重心下移观点不变，关注南美种植情况，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284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短期震荡整理，建议波段操作</w:t>
      </w:r>
      <w:bookmarkEnd w:id="39"/>
    </w:p>
    <w:p>
      <w:pPr>
        <w:ind w:left="630" w:leftChars="300"/>
        <w:rPr>
          <w:rFonts w:ascii="楷体" w:hAnsi="楷体" w:eastAsia="楷体"/>
          <w:sz w:val="24"/>
          <w:szCs w:val="24"/>
        </w:rPr>
      </w:pPr>
      <w:r>
        <w:rPr>
          <w:rFonts w:hint="eastAsia" w:ascii="楷体" w:hAnsi="楷体" w:eastAsia="楷体"/>
          <w:sz w:val="24"/>
          <w:szCs w:val="24"/>
        </w:rPr>
        <w:t>外盘方面，在经济衰退担忧下，国际原油价格大幅下挫，带动外盘油脂走弱，从而拖累内盘走势。棕榈油支撑主要来自产地处于减产周期以及印尼出口和生柴政策端的利好。马棕产量在强降雨天气影响下预计进一步下滑，但在出口放缓下，库存的降幅仍待观望。而印尼将在23年2月开始强制实施B35计划，同时DMO出口配比收紧至1：6，或进一步利好马棕需求，对马盘构成支撑。国内棕榈油供应较充裕，需求方面在冬季消费淡季下增量有限，棕榈油库存当前在供过于求下也进一步创历史新高，随着12月份进口下滑累库速度放缓并逐步见顶。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维持近强远弱格局，但在库存尚未明显修复下，基差维持高位。随着进口加籽到港量逐步增加，菜籽库存维持高位。同时在刚需以及临近春节前备货下，菜油库存修复仍需时间。预计油脂在供应边际增加及下游消费整体呈现旺季不旺的局面，短期多空博弈油脂预计维持底部宽幅震荡，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2054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期价夜盘减仓回落</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持续反弹过程中，矛盾突出体现在3月合约上，即其已成为期价结构的高点，这可能源于三个方面的原因，其一是下游节前备货需求，其二是市场新作压力释放后补库的预期，其三是国家增加储备的传言。我们倾向于其中存在较大风险，因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下滑，或抑制中下游补库积极性，这意味着国内玉米市场仍处于被动去库存阶段。在这种情况下，观点转为中性，建议离场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走扩符合我们之前预期，主要源于成本、供需和副产品三个方面因素的带动，成本端即玉米期价反弹，供需则主要源于疫情担忧缓解下的需求改善预期，副产品价差近期加速下跌带动现货生产利润转为亏损，有望通过行业开机率带动供应收缩。后期变数在于成本端，特别春节前市场会否转而担心节后仍有余粮压力。在这种情况下，我们建议前期淀粉-玉米价差走扩套利可以择机获利离场，等待节后交易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8929"/>
      <w:r>
        <w:rPr>
          <w:rFonts w:hint="eastAsia" w:ascii="楷体" w:hAnsi="楷体" w:eastAsia="楷体"/>
          <w:b/>
          <w:bCs/>
          <w:color w:val="000000" w:themeColor="text1"/>
          <w14:textFill>
            <w14:solidFill>
              <w14:schemeClr w14:val="tx1"/>
            </w14:solidFill>
          </w14:textFill>
        </w:rPr>
        <w:t>畜禽养殖：生猪现货表现弱势</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2663"/>
      <w:r>
        <w:rPr>
          <w:rFonts w:hint="eastAsia" w:ascii="楷体" w:hAnsi="楷体" w:eastAsia="楷体"/>
          <w:b/>
          <w:sz w:val="24"/>
          <w:szCs w:val="24"/>
        </w:rPr>
        <w:t>郑棉：预计郑棉偏强震荡，14300以下逢低买入</w:t>
      </w:r>
      <w:bookmarkEnd w:id="42"/>
    </w:p>
    <w:p>
      <w:pPr>
        <w:ind w:left="630" w:leftChars="300"/>
        <w:rPr>
          <w:rFonts w:ascii="楷体" w:hAnsi="楷体" w:eastAsia="楷体"/>
          <w:sz w:val="24"/>
          <w:szCs w:val="24"/>
        </w:rPr>
      </w:pPr>
      <w:r>
        <w:rPr>
          <w:rFonts w:hint="eastAsia" w:ascii="楷体" w:hAnsi="楷体" w:eastAsia="楷体"/>
          <w:sz w:val="24"/>
          <w:szCs w:val="24"/>
        </w:rPr>
        <w:t>由于棉花在2022年跌幅巨大，和其他商品的比值进入历史极低水平，在过往数年内也属于相对偏低水平，因此近期颇受多头资金关注，2023年上半年或成为资金多配品种。当前纺织企业多已放假，价格得不到现货端反馈。节后各家纺企普遍恢复生产，开机率可能会大幅飙升，同时伴随着一定的补库。年后棉花或向1.5万关口靠拢。不过，外贸订单依然非常疲弱，主要受新疆棉禁令和国际消费衰退影响。预计郑棉在14000-14500区间内偏强震荡，价格重心缓慢上移。</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98426751"/>
      <w:bookmarkStart w:id="45" w:name="_Toc72481108"/>
      <w:bookmarkStart w:id="46" w:name="_Toc19667"/>
      <w:bookmarkStart w:id="47" w:name="_Toc12779"/>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2023年1月10日星期二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58A2E5C"/>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AB74C38"/>
    <w:rsid w:val="4B6224E5"/>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7351</Words>
  <Characters>7966</Characters>
  <Lines>50</Lines>
  <Paragraphs>14</Paragraphs>
  <TotalTime>0</TotalTime>
  <ScaleCrop>false</ScaleCrop>
  <LinksUpToDate>false</LinksUpToDate>
  <CharactersWithSpaces>7997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2023-01-10T02:22:11Z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