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49" w:name="_GoBack"/>
      <w:r>
        <w:rPr>
          <w:rFonts w:ascii="Times New Roman" w:hAnsi="Times New Roman" w:eastAsia="楷体" w:cs="Times New Roman"/>
          <w:b/>
          <w:color w:val="823C0B"/>
          <w:sz w:val="32"/>
          <w:szCs w:val="32"/>
        </w:rPr>
        <w:t>广州期货早间直通车</w:t>
      </w:r>
    </w:p>
    <w:bookmarkEnd w:id="49"/>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_Toc4065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_Toc14374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_Toc30973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_Toc3250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欧美经济衰退风险逐步显现，金价维持涨势</w:t>
          </w:r>
          <w:r>
            <w:rPr>
              <w:bCs/>
            </w:rPr>
            <w:fldChar w:fldCharType="end"/>
          </w:r>
        </w:p>
        <w:p>
          <w:pPr>
            <w:pStyle w:val="5"/>
            <w:tabs>
              <w:tab w:val="right" w:leader="dot" w:pos="8306"/>
            </w:tabs>
          </w:pPr>
          <w:r>
            <w:rPr>
              <w:bCs/>
            </w:rPr>
            <w:fldChar w:fldCharType="begin"/>
          </w:r>
          <w:r>
            <w:rPr>
              <w:bCs/>
            </w:rPr>
            <w:instrText xml:space="preserve"> HYPERLINK \l _Toc1362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_Toc7396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内外利空消息叠加，继续震荡调整</w:t>
          </w:r>
          <w:r>
            <w:rPr>
              <w:bCs/>
            </w:rPr>
            <w:fldChar w:fldCharType="end"/>
          </w:r>
        </w:p>
        <w:p>
          <w:pPr>
            <w:pStyle w:val="6"/>
            <w:tabs>
              <w:tab w:val="right" w:leader="dot" w:pos="8306"/>
            </w:tabs>
          </w:pPr>
          <w:r>
            <w:rPr>
              <w:bCs/>
            </w:rPr>
            <w:fldChar w:fldCharType="begin"/>
          </w:r>
          <w:r>
            <w:rPr>
              <w:bCs/>
            </w:rPr>
            <w:instrText xml:space="preserve"> HYPERLINK \l _Toc15305 </w:instrText>
          </w:r>
          <w:r>
            <w:rPr>
              <w:bCs/>
            </w:rPr>
            <w:fldChar w:fldCharType="separate"/>
          </w:r>
          <w:r>
            <w:rPr>
              <w:rFonts w:hint="eastAsia" w:ascii="楷体" w:hAnsi="楷体" w:eastAsia="楷体"/>
              <w:szCs w:val="24"/>
            </w:rPr>
            <w:t>焦炭：利空交易较为充分，情绪冲击下或探底后震荡</w:t>
          </w:r>
          <w:r>
            <w:rPr>
              <w:bCs/>
            </w:rPr>
            <w:fldChar w:fldCharType="end"/>
          </w:r>
        </w:p>
        <w:p>
          <w:pPr>
            <w:pStyle w:val="6"/>
            <w:tabs>
              <w:tab w:val="right" w:leader="dot" w:pos="8306"/>
            </w:tabs>
          </w:pPr>
          <w:r>
            <w:rPr>
              <w:bCs/>
            </w:rPr>
            <w:fldChar w:fldCharType="begin"/>
          </w:r>
          <w:r>
            <w:rPr>
              <w:bCs/>
            </w:rPr>
            <w:instrText xml:space="preserve"> HYPERLINK \l _Toc12412 </w:instrText>
          </w:r>
          <w:r>
            <w:rPr>
              <w:bCs/>
            </w:rPr>
            <w:fldChar w:fldCharType="separate"/>
          </w:r>
          <w:r>
            <w:rPr>
              <w:rFonts w:hint="eastAsia" w:ascii="楷体" w:hAnsi="楷体" w:eastAsia="楷体"/>
              <w:szCs w:val="24"/>
            </w:rPr>
            <w:t>焦煤：等待现货企稳，盘面或探底后震荡运行    </w:t>
          </w:r>
          <w:r>
            <w:rPr>
              <w:bCs/>
            </w:rPr>
            <w:fldChar w:fldCharType="end"/>
          </w:r>
        </w:p>
        <w:p>
          <w:pPr>
            <w:pStyle w:val="6"/>
            <w:tabs>
              <w:tab w:val="right" w:leader="dot" w:pos="8306"/>
            </w:tabs>
          </w:pPr>
          <w:r>
            <w:rPr>
              <w:bCs/>
            </w:rPr>
            <w:fldChar w:fldCharType="begin"/>
          </w:r>
          <w:r>
            <w:rPr>
              <w:bCs/>
            </w:rPr>
            <w:instrText xml:space="preserve"> HYPERLINK \l _Toc6068 </w:instrText>
          </w:r>
          <w:r>
            <w:rPr>
              <w:bCs/>
            </w:rPr>
            <w:fldChar w:fldCharType="separate"/>
          </w:r>
          <w:r>
            <w:rPr>
              <w:rFonts w:hint="eastAsia" w:ascii="楷体" w:hAnsi="楷体" w:eastAsia="楷体"/>
              <w:szCs w:val="24"/>
            </w:rPr>
            <w:t>铜：联储会议纪要偏鹰派，关注区间下沿支撑</w:t>
          </w:r>
          <w:r>
            <w:rPr>
              <w:bCs/>
            </w:rPr>
            <w:fldChar w:fldCharType="end"/>
          </w:r>
        </w:p>
        <w:p>
          <w:pPr>
            <w:pStyle w:val="6"/>
            <w:tabs>
              <w:tab w:val="right" w:leader="dot" w:pos="8306"/>
            </w:tabs>
          </w:pPr>
          <w:r>
            <w:rPr>
              <w:bCs/>
            </w:rPr>
            <w:fldChar w:fldCharType="begin"/>
          </w:r>
          <w:r>
            <w:rPr>
              <w:bCs/>
            </w:rPr>
            <w:instrText xml:space="preserve"> HYPERLINK \l _Toc9671 </w:instrText>
          </w:r>
          <w:r>
            <w:rPr>
              <w:bCs/>
            </w:rPr>
            <w:fldChar w:fldCharType="separate"/>
          </w:r>
          <w:r>
            <w:rPr>
              <w:rFonts w:hint="eastAsia" w:ascii="楷体" w:hAnsi="楷体" w:eastAsia="楷体"/>
              <w:szCs w:val="24"/>
            </w:rPr>
            <w:t>铝：铝市跌破万八，价格仍有支撑效应</w:t>
          </w:r>
          <w:r>
            <w:rPr>
              <w:bCs/>
            </w:rPr>
            <w:fldChar w:fldCharType="end"/>
          </w:r>
        </w:p>
        <w:p>
          <w:pPr>
            <w:pStyle w:val="6"/>
            <w:tabs>
              <w:tab w:val="right" w:leader="dot" w:pos="8306"/>
            </w:tabs>
          </w:pPr>
          <w:r>
            <w:rPr>
              <w:bCs/>
            </w:rPr>
            <w:fldChar w:fldCharType="begin"/>
          </w:r>
          <w:r>
            <w:rPr>
              <w:bCs/>
            </w:rPr>
            <w:instrText xml:space="preserve"> HYPERLINK \l _Toc13640 </w:instrText>
          </w:r>
          <w:r>
            <w:rPr>
              <w:bCs/>
            </w:rPr>
            <w:fldChar w:fldCharType="separate"/>
          </w:r>
          <w:r>
            <w:rPr>
              <w:rFonts w:hint="eastAsia" w:ascii="楷体" w:hAnsi="楷体" w:eastAsia="楷体"/>
              <w:szCs w:val="24"/>
            </w:rPr>
            <w:t>锌：联储态度持续加息，锌价扰动偏弱震荡</w:t>
          </w:r>
          <w:r>
            <w:rPr>
              <w:bCs/>
            </w:rPr>
            <w:fldChar w:fldCharType="end"/>
          </w:r>
        </w:p>
        <w:p>
          <w:pPr>
            <w:pStyle w:val="6"/>
            <w:tabs>
              <w:tab w:val="right" w:leader="dot" w:pos="8306"/>
            </w:tabs>
          </w:pPr>
          <w:r>
            <w:rPr>
              <w:bCs/>
            </w:rPr>
            <w:fldChar w:fldCharType="begin"/>
          </w:r>
          <w:r>
            <w:rPr>
              <w:bCs/>
            </w:rPr>
            <w:instrText xml:space="preserve"> HYPERLINK \l _Toc2758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_Toc10940 </w:instrText>
          </w:r>
          <w:r>
            <w:rPr>
              <w:bCs/>
            </w:rPr>
            <w:fldChar w:fldCharType="separate"/>
          </w:r>
          <w:r>
            <w:rPr>
              <w:rFonts w:hint="eastAsia" w:ascii="楷体" w:hAnsi="楷体" w:eastAsia="楷体"/>
              <w:szCs w:val="24"/>
            </w:rPr>
            <w:t>不锈钢：短多继续持有</w:t>
          </w:r>
          <w:r>
            <w:rPr>
              <w:bCs/>
            </w:rPr>
            <w:fldChar w:fldCharType="end"/>
          </w:r>
        </w:p>
        <w:p>
          <w:pPr>
            <w:pStyle w:val="6"/>
            <w:tabs>
              <w:tab w:val="right" w:leader="dot" w:pos="8306"/>
            </w:tabs>
          </w:pPr>
          <w:r>
            <w:rPr>
              <w:bCs/>
            </w:rPr>
            <w:fldChar w:fldCharType="begin"/>
          </w:r>
          <w:r>
            <w:rPr>
              <w:bCs/>
            </w:rPr>
            <w:instrText xml:space="preserve"> HYPERLINK \l _Toc9277 </w:instrText>
          </w:r>
          <w:r>
            <w:rPr>
              <w:bCs/>
            </w:rPr>
            <w:fldChar w:fldCharType="separate"/>
          </w:r>
          <w:r>
            <w:rPr>
              <w:rFonts w:hint="eastAsia" w:ascii="楷体" w:hAnsi="楷体" w:eastAsia="楷体"/>
              <w:szCs w:val="24"/>
            </w:rPr>
            <w:t>工业硅：硅料价格大幅回落，现货市场或继续维持弱势</w:t>
          </w:r>
          <w:r>
            <w:rPr>
              <w:bCs/>
            </w:rPr>
            <w:fldChar w:fldCharType="end"/>
          </w:r>
        </w:p>
        <w:p>
          <w:pPr>
            <w:pStyle w:val="5"/>
            <w:tabs>
              <w:tab w:val="right" w:leader="dot" w:pos="8306"/>
            </w:tabs>
          </w:pPr>
          <w:r>
            <w:rPr>
              <w:bCs/>
            </w:rPr>
            <w:fldChar w:fldCharType="begin"/>
          </w:r>
          <w:r>
            <w:rPr>
              <w:bCs/>
            </w:rPr>
            <w:instrText xml:space="preserve"> HYPERLINK \l _Toc15233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_Toc31378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_Toc15927 </w:instrText>
          </w:r>
          <w:r>
            <w:rPr>
              <w:bCs/>
            </w:rPr>
            <w:fldChar w:fldCharType="separate"/>
          </w:r>
          <w:r>
            <w:rPr>
              <w:rFonts w:ascii="楷体" w:hAnsi="楷体" w:eastAsia="楷体"/>
              <w:szCs w:val="24"/>
            </w:rPr>
            <w:t>PTA</w:t>
          </w:r>
          <w:r>
            <w:rPr>
              <w:rFonts w:hint="eastAsia" w:ascii="楷体" w:hAnsi="楷体" w:eastAsia="楷体"/>
              <w:szCs w:val="24"/>
            </w:rPr>
            <w:t>：成本端支撑不在回归弱现实  TA走势偏空</w:t>
          </w:r>
          <w:r>
            <w:rPr>
              <w:bCs/>
            </w:rPr>
            <w:fldChar w:fldCharType="end"/>
          </w:r>
        </w:p>
        <w:p>
          <w:pPr>
            <w:pStyle w:val="6"/>
            <w:tabs>
              <w:tab w:val="right" w:leader="dot" w:pos="8306"/>
            </w:tabs>
          </w:pPr>
          <w:r>
            <w:rPr>
              <w:bCs/>
            </w:rPr>
            <w:fldChar w:fldCharType="begin"/>
          </w:r>
          <w:r>
            <w:rPr>
              <w:bCs/>
            </w:rPr>
            <w:instrText xml:space="preserve"> HYPERLINK \l _Toc621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短期走势仍偏强</w:t>
          </w:r>
          <w:r>
            <w:rPr>
              <w:bCs/>
            </w:rPr>
            <w:fldChar w:fldCharType="end"/>
          </w:r>
        </w:p>
        <w:p>
          <w:pPr>
            <w:pStyle w:val="6"/>
            <w:tabs>
              <w:tab w:val="right" w:leader="dot" w:pos="8306"/>
            </w:tabs>
          </w:pPr>
          <w:r>
            <w:rPr>
              <w:bCs/>
            </w:rPr>
            <w:fldChar w:fldCharType="begin"/>
          </w:r>
          <w:r>
            <w:rPr>
              <w:bCs/>
            </w:rPr>
            <w:instrText xml:space="preserve"> HYPERLINK \l _Toc4936 </w:instrText>
          </w:r>
          <w:r>
            <w:rPr>
              <w:bCs/>
            </w:rPr>
            <w:fldChar w:fldCharType="separate"/>
          </w:r>
          <w:r>
            <w:rPr>
              <w:rFonts w:hint="eastAsia" w:ascii="楷体" w:hAnsi="楷体" w:eastAsia="楷体"/>
              <w:szCs w:val="24"/>
            </w:rPr>
            <w:t>聚烯烃：节后需求提振有限，聚烯烃在成本回落下或延续窄幅整理</w:t>
          </w:r>
          <w:r>
            <w:rPr>
              <w:bCs/>
            </w:rPr>
            <w:fldChar w:fldCharType="end"/>
          </w:r>
        </w:p>
        <w:p>
          <w:pPr>
            <w:pStyle w:val="6"/>
            <w:tabs>
              <w:tab w:val="right" w:leader="dot" w:pos="8306"/>
            </w:tabs>
          </w:pPr>
          <w:r>
            <w:rPr>
              <w:bCs/>
            </w:rPr>
            <w:fldChar w:fldCharType="begin"/>
          </w:r>
          <w:r>
            <w:rPr>
              <w:bCs/>
            </w:rPr>
            <w:instrText xml:space="preserve"> HYPERLINK \l _Toc26477 </w:instrText>
          </w:r>
          <w:r>
            <w:rPr>
              <w:bCs/>
            </w:rPr>
            <w:fldChar w:fldCharType="separate"/>
          </w:r>
          <w:r>
            <w:rPr>
              <w:rFonts w:hint="eastAsia" w:ascii="楷体" w:hAnsi="楷体" w:eastAsia="楷体"/>
              <w:szCs w:val="24"/>
            </w:rPr>
            <w:t>近期聚烯烃小幅下跌</w:t>
          </w:r>
          <w:r>
            <w:rPr>
              <w:bCs/>
            </w:rPr>
            <w:fldChar w:fldCharType="end"/>
          </w:r>
        </w:p>
        <w:p>
          <w:pPr>
            <w:pStyle w:val="5"/>
            <w:tabs>
              <w:tab w:val="right" w:leader="dot" w:pos="8306"/>
            </w:tabs>
          </w:pPr>
          <w:r>
            <w:rPr>
              <w:bCs/>
            </w:rPr>
            <w:fldChar w:fldCharType="begin"/>
          </w:r>
          <w:r>
            <w:rPr>
              <w:bCs/>
            </w:rPr>
            <w:instrText xml:space="preserve"> HYPERLINK \l _Toc14670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_Toc29040 </w:instrText>
          </w:r>
          <w:r>
            <w:rPr>
              <w:bCs/>
            </w:rPr>
            <w:fldChar w:fldCharType="separate"/>
          </w:r>
          <w:r>
            <w:rPr>
              <w:rFonts w:hint="eastAsia" w:ascii="楷体" w:hAnsi="楷体" w:eastAsia="楷体"/>
              <w:szCs w:val="24"/>
            </w:rPr>
            <w:t>豆粕：短期维持高位震荡，下方存支撑</w:t>
          </w:r>
          <w:r>
            <w:rPr>
              <w:bCs/>
            </w:rPr>
            <w:fldChar w:fldCharType="end"/>
          </w:r>
        </w:p>
        <w:p>
          <w:pPr>
            <w:pStyle w:val="6"/>
            <w:tabs>
              <w:tab w:val="right" w:leader="dot" w:pos="8306"/>
            </w:tabs>
          </w:pPr>
          <w:r>
            <w:rPr>
              <w:bCs/>
            </w:rPr>
            <w:fldChar w:fldCharType="begin"/>
          </w:r>
          <w:r>
            <w:rPr>
              <w:bCs/>
            </w:rPr>
            <w:instrText xml:space="preserve"> HYPERLINK \l _Toc13739 </w:instrText>
          </w:r>
          <w:r>
            <w:rPr>
              <w:bCs/>
            </w:rPr>
            <w:fldChar w:fldCharType="separate"/>
          </w:r>
          <w:r>
            <w:rPr>
              <w:rFonts w:hint="eastAsia" w:ascii="楷体" w:hAnsi="楷体" w:eastAsia="楷体"/>
              <w:szCs w:val="24"/>
            </w:rPr>
            <w:t>油脂：外盘拖累，或继续承压</w:t>
          </w:r>
          <w:r>
            <w:rPr>
              <w:bCs/>
            </w:rPr>
            <w:fldChar w:fldCharType="end"/>
          </w:r>
        </w:p>
        <w:p>
          <w:pPr>
            <w:pStyle w:val="6"/>
            <w:tabs>
              <w:tab w:val="right" w:leader="dot" w:pos="8306"/>
            </w:tabs>
          </w:pPr>
          <w:r>
            <w:rPr>
              <w:bCs/>
            </w:rPr>
            <w:fldChar w:fldCharType="begin"/>
          </w:r>
          <w:r>
            <w:rPr>
              <w:bCs/>
            </w:rPr>
            <w:instrText xml:space="preserve"> HYPERLINK \l _Toc325 </w:instrText>
          </w:r>
          <w:r>
            <w:rPr>
              <w:bCs/>
            </w:rPr>
            <w:fldChar w:fldCharType="separate"/>
          </w:r>
          <w:r>
            <w:rPr>
              <w:rFonts w:hint="eastAsia" w:ascii="楷体" w:hAnsi="楷体" w:eastAsia="楷体"/>
              <w:bCs/>
            </w:rPr>
            <w:t>玉米与淀粉：</w:t>
          </w:r>
          <w:r>
            <w:rPr>
              <w:rFonts w:hint="eastAsia" w:ascii="楷体" w:hAnsi="楷体" w:eastAsia="楷体"/>
            </w:rPr>
            <w:t>外盘玉米因需求担忧而大幅回落</w:t>
          </w:r>
          <w:r>
            <w:rPr>
              <w:bCs/>
            </w:rPr>
            <w:fldChar w:fldCharType="end"/>
          </w:r>
        </w:p>
        <w:p>
          <w:pPr>
            <w:pStyle w:val="6"/>
            <w:tabs>
              <w:tab w:val="right" w:leader="dot" w:pos="8306"/>
            </w:tabs>
          </w:pPr>
          <w:r>
            <w:rPr>
              <w:bCs/>
            </w:rPr>
            <w:fldChar w:fldCharType="begin"/>
          </w:r>
          <w:r>
            <w:rPr>
              <w:bCs/>
            </w:rPr>
            <w:instrText xml:space="preserve"> HYPERLINK \l _Toc31496 </w:instrText>
          </w:r>
          <w:r>
            <w:rPr>
              <w:bCs/>
            </w:rPr>
            <w:fldChar w:fldCharType="separate"/>
          </w:r>
          <w:r>
            <w:rPr>
              <w:rFonts w:hint="eastAsia" w:ascii="楷体" w:hAnsi="楷体" w:eastAsia="楷体"/>
              <w:bCs/>
            </w:rPr>
            <w:t>畜禽养殖：生猪现货继续弱势</w:t>
          </w:r>
          <w:r>
            <w:rPr>
              <w:bCs/>
            </w:rPr>
            <w:fldChar w:fldCharType="end"/>
          </w:r>
        </w:p>
        <w:p>
          <w:pPr>
            <w:pStyle w:val="6"/>
            <w:tabs>
              <w:tab w:val="right" w:leader="dot" w:pos="8306"/>
            </w:tabs>
          </w:pPr>
          <w:r>
            <w:rPr>
              <w:bCs/>
            </w:rPr>
            <w:fldChar w:fldCharType="begin"/>
          </w:r>
          <w:r>
            <w:rPr>
              <w:bCs/>
            </w:rPr>
            <w:instrText xml:space="preserve"> HYPERLINK \l _Toc18366 </w:instrText>
          </w:r>
          <w:r>
            <w:rPr>
              <w:bCs/>
            </w:rPr>
            <w:fldChar w:fldCharType="separate"/>
          </w:r>
          <w:r>
            <w:rPr>
              <w:rFonts w:hint="eastAsia" w:ascii="楷体" w:hAnsi="楷体" w:eastAsia="楷体"/>
              <w:szCs w:val="24"/>
            </w:rPr>
            <w:t>郑棉：预计郑棉震荡整理，观望或看跌期权持有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406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4374"/>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春节前市场或再度缩量，难以围绕大市值个股进行博弈且节前稳增长方向板块缺乏数据支撑，资金或继续高切低，维持中小盘相对占优观点，短线大盘盘中有回调压力，但下方均线支撑较足，回调空间有限，建议IC多单继续持有。</w:t>
      </w:r>
    </w:p>
    <w:p>
      <w:pPr>
        <w:pBdr>
          <w:top w:val="single" w:color="auto" w:sz="4" w:space="0"/>
        </w:pBdr>
        <w:outlineLvl w:val="0"/>
        <w:rPr>
          <w:rFonts w:ascii="Times New Roman" w:hAnsi="Times New Roman" w:eastAsia="楷体"/>
          <w:b/>
          <w:color w:val="823C0B"/>
        </w:rPr>
      </w:pPr>
      <w:bookmarkStart w:id="7" w:name="_Toc30973"/>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3250"/>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欧美经济衰退风险逐步显现，金价维持涨势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欧盟委员会表示，预计2023年欧元区GDP仅增长0.3%。美国12月ISM制造业PMI录得48.4，为2020年5月以来新低。美联储议息会议纪要未提及2023年降息的可能性，官员担心市场过于乐观，预计利率终值水平比市场预期更高。欧美经济衰退风险或在今年有所显现，美元指数偏弱运行、避险资产配置需求支撑贵金属价格，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金属"/>
      <w:bookmarkStart w:id="11" w:name="_Toc20891"/>
      <w:bookmarkStart w:id="12" w:name="_Toc136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7396"/>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内外利空消息叠加，继续震荡调整</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美联储12月会议纪要并不如此前市场预期的那么乐观。淡季期间，产业基本面的矛盾尚在酝酿当中，更多消息及预期干扰盘面。昨日澳煤、铁矿石的传闻扰动，原料估值偏高下，有调整压力。预计盘面震荡向下调整。建议高位空单继续持有，追空需注意控制风险，预计波动区间（3900,4020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15305"/>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利空交易较为充分，情绪冲击下或探底后震荡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对焦炭第一轮提降落地，预计春节前或累计提降2-3轮，随着焦化复产及冬储进入尾声，焦炭的边际需求走弱。短期盘面提前调整下贴水幅度较大，关注（2540,2580）的大级别区间支撑，预计或底部窄幅震荡运行，后续是否加速仍需视钢材情况而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241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等待现货企稳，盘面或探底后震荡运行    </w:t>
      </w:r>
      <w:bookmarkEnd w:id="20"/>
    </w:p>
    <w:p>
      <w:pPr>
        <w:ind w:left="630" w:leftChars="300"/>
        <w:rPr>
          <w:rFonts w:ascii="楷体" w:hAnsi="楷体" w:eastAsia="楷体"/>
          <w:bCs/>
          <w:sz w:val="24"/>
          <w:szCs w:val="24"/>
        </w:rPr>
      </w:pPr>
      <w:r>
        <w:rPr>
          <w:rFonts w:hint="eastAsia" w:ascii="楷体" w:hAnsi="楷体" w:eastAsia="楷体"/>
          <w:sz w:val="24"/>
          <w:szCs w:val="24"/>
        </w:rPr>
        <w:t>下游焦炭第一轮提降落地，焦化利润再次收缩，随下游冬储进入尾声，焦煤或转入按需采购，现货承压运行。短期澳煤放开刺激下，市场情绪转为悲观，但目前看更多是点对点的有限放开，实际影响有限，且目前澳煤价格仓单高于蒙煤，盘面提前反应下或偏弱震荡运行，关注（1727,1750）的支撑。</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606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联储会议纪要偏鹰派，关注区间下沿支撑</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联储会议纪要显示，美联储官员认为，金融环境“不合理的放松”将让联储更难以压低通胀，利率可能被迫升。10月和11月通胀有放缓，但一致认为通胀仍高得不可接受。没有与会者预计，适合2023年开始下调联邦基金利率目标。通胀预期有上行风险、经济预期有下行风险，2023年可能某个时候衰退。</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(2)库存：1月4日，SHFE仓单库存29149吨，减1223吨；LME 仓单库存88575吨，增25吨。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(3)精废价差：1月4日，Mysteel精废价差1506，收窄182。目前价差在合理价差1351之上。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据彭博行业研究的美联储会议纪要情绪指标显示，本次会议纪要是2022年5月以来最偏鹰派的一份纪要。偏空的宏观情绪使得原油及整体有色均现下挫。国内经济恢复预期较强，但在疫情感染高峰及传统淡季背景下，需求暂难回升，库存开始季节性累积，现货升水下调。整体而言，国内强预期的主导尚未结束，但弱现实的拉扯使得铜价趋向于区间下沿运行，短期参考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9671"/>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铝市跌破万八，价格仍有支撑效应</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纪要透露联储态度仍偏向鹰派，欧美股市手指收涨，有色大宗普遍承压。铝市基本面供需两弱，进口铝土矿需求走升，氧化铝产能再扩，初级加工铝材进出口数据同比均有下降，反映出海外需求的疲弱，国内电解铝供应方面，贵州地区受到限电影响实行二次减产，已完成减产产能30万吨，广西、四川铝厂持续复产，甘肃继续释放新投产产能，铝产供应整体趋弱，国内电解铝产量增幅预计不及预期。当前处于季节性消费淡季，铝下游加工企业开工率下降，部分企业受需求疲弱、订单匮乏以及工作人员不足影响考虑提前放假减停产。从库存来看，交易所库存维持低位去库，社会库存拐入累库，社库累库考虑是受消费持续走弱的影响。整体来看，短期铝价受宏观及基本面疲弱影响偏弱震荡，低库存现状仍提供支撑，建议逢低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3640"/>
      <w:r>
        <w:rPr>
          <w:rFonts w:hint="eastAsia" w:ascii="楷体" w:hAnsi="楷体" w:eastAsia="楷体"/>
          <w:b/>
          <w:color w:val="000000" w:themeColor="text1"/>
          <w:sz w:val="24"/>
          <w:szCs w:val="24"/>
          <w14:textFill>
            <w14:solidFill>
              <w14:schemeClr w14:val="tx1"/>
            </w14:solidFill>
          </w14:textFill>
        </w:rPr>
        <w:t>锌：联储态度持续加息，锌价扰动偏弱震荡</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4日沪锌隔夜收盘价格23155元/吨，跌幅0.79%，上海有色网0#锌锭（Zn99.995）现货报价23840元/吨，较上一统计日报价下跌30元/吨。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议息会议纪要透露出将继续加息，美国制造业PMI创新低，宏观面承压。国内锌矿端表现宽松，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低库存现状仍存，锌价重心下移，短期价格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2758"/>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防疫政策进一步放宽，地产利好政策逐步兑现，整体市场情绪表现乐观。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0940"/>
      <w:r>
        <w:rPr>
          <w:rFonts w:hint="eastAsia" w:ascii="楷体" w:hAnsi="楷体" w:eastAsia="楷体"/>
          <w:b/>
          <w:color w:val="000000" w:themeColor="text1"/>
          <w:sz w:val="24"/>
          <w:szCs w:val="24"/>
          <w14:textFill>
            <w14:solidFill>
              <w14:schemeClr w14:val="tx1"/>
            </w14:solidFill>
          </w14:textFill>
        </w:rPr>
        <w:t>不锈钢：短多继续持有</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增加，短期价格仍将承压运行。但向下亦存在较强成本支撑，下跌空间亦不大。当前价格跟随宏观情绪波动，短期缺乏方向性，预计宽幅震荡为主，建议寻找上下安全边际参与区间交易，参考16500-17800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927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硅料价格大幅回落，现货市场或继续维持弱势</w:t>
      </w:r>
      <w:bookmarkEnd w:id="30"/>
    </w:p>
    <w:p>
      <w:pPr>
        <w:ind w:left="630" w:leftChars="300"/>
        <w:rPr>
          <w:rFonts w:ascii="楷体" w:hAnsi="楷体" w:eastAsia="楷体"/>
          <w:sz w:val="24"/>
          <w:szCs w:val="24"/>
        </w:rPr>
      </w:pPr>
      <w:r>
        <w:rPr>
          <w:rFonts w:hint="eastAsia" w:ascii="楷体" w:hAnsi="楷体" w:eastAsia="楷体"/>
          <w:sz w:val="24"/>
          <w:szCs w:val="24"/>
        </w:rPr>
        <w:t>1月4日工业硅主力合约收盘价17640元/吨，较前收盘价下跌0.73%，早盘冲高至18050元/吨压力明显增加，而后价格震荡下行。从现货基本面来看，华东地区553现货报价18150元/吨，价格继续下探。据硅业分会发布多晶硅致密料价格区间在14.8-18.0万元/吨，较高点已回落将近50%，对工业硅价格支撑将明显弱化。整体来看，现货市场仍未见明显企稳迹象，对盘面形成较大压力，但国内宏观基本面向好发展仍有支撑，预计短期价格维持震荡走势，建议高抛低吸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5233"/>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3137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上周受大风天气影响，船只入罐出现明显延误。12.29华东主港地区MEG港口库存约90.2万吨附近，环比上期下降7.8万吨。开工情况，截至12月29日，中国大陆地区乙二醇整体开工负荷在62.87%（+3.73%），其中煤制乙二醇开工负荷在49%（+7.37%），乙二醇负荷大幅提升。从聚酯需求端来看，本周聚酯装置检修依然较多，长丝继续新增检修，短纤局部调整，瓶片检修装置有陆续恢复。截至12.29初步核算聚酯负荷在66％（-2%)。本周江浙终端开工继续下降，截至12.29，江浙加弹开工率28%（-23%）、江浙织机开工率26%（-12%）、浙江印染开工率38%（-3%）。综合来看，受天气因素影响乙二醇卸货延迟，显性库存堆积推迟。但是供给端开工率大幅回升及MEG新装置逐步投产，供应环节仍在逐步增量中。月底终端放假潮来临，目前加弹、织造、印染基本都处于收尾状态，染厂已经多停止进料，1月10日前多将结束生产。短期来看，受整体商品市场信心提振、寒潮因素北美部分乙二醇装置临时停车，进口缩量明显等因素，乙二醇走强偏强。中期乙二醇供应过剩局面持续存在，且累库幅度较大。近期关注北美供应端受寒潮影响装置恢复消息，EG05仍建议逢高空配。</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592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：成本端支撑不在回归弱现实  TA走势偏空</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本周期台化120万吨短停，亚东75降负至7成，逸盛新材料720万吨装置恢复至9成，英力士110万吨重启暂时推后，至12.29 PTA负荷调整至62%（+2%）。 新装置方面，12月PTA两套新装置终于迎来投产消息，东营威联250万吨装置其中一条生产线12月14日附近出合格品，嘉通能源250万吨PTA装置其中一条线12月24日附近出合格品。本周聚酯装置检修依然较多，长丝继续新增检修，短纤局部调整，瓶片检修装置有陆续恢复。截至12.29，初步核算聚酯负荷在66％（-2%）。终端方面，本周江浙终端开工继续下降，江浙终端工厂原料备货年后使用，前加弹、织造、印染基本都处于收尾状态，染厂已经多停止进料，1月10日前多将结束生产。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目前市场交易成本端支撑不在回归弱现实，TA走势偏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621"/>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短期走势仍偏强</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供应方面，本周随着装置利润明显修复，PVC生产企业检修损失量明显下降，行业开工负荷率逐步提升。截止12.29 本周PVC整体开工负荷率75.96%，环比提升2.65%；其中电石法PVC开工负荷率74.47%，环比提升1.70%；乙烯法PVC开工负荷率81.25%，环比提升6.02%。除了存量开工提升以外，1月份还有信发、聚隆、广西华谊各40万吨新装置部分将量产。一季度供应压力较大。社会库存方面，随着在途货源及待卸货源的逐步入库，近期社库累库幅度加快，但12月份部分生产企业出口接单量25万左右，出口订单若在1月出现集中交付将延缓社库的累库进程。短期来看，出口增量对于价格仍能起到边际利好驱动。需求方面，1月份下半月多数制品企业将多数放假，整体需求将明显减弱。但考虑到当前价格偏低，制品企业或将在1月份存在适当备货现象。综合来看，虽供需边际仍在走弱，但PVC强预期及出口增量仍主导盘面走势。在宏观氛围仍旧偏好及低价补库预期下，PVC走势仍偏强，节前维持6100-6500区间操作。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4936"/>
      <w:r>
        <w:rPr>
          <w:rFonts w:hint="eastAsia" w:ascii="楷体" w:hAnsi="楷体" w:eastAsia="楷体"/>
          <w:b/>
          <w:color w:val="000000" w:themeColor="text1"/>
          <w:sz w:val="24"/>
          <w:szCs w:val="24"/>
          <w14:textFill>
            <w14:solidFill>
              <w14:schemeClr w14:val="tx1"/>
            </w14:solidFill>
          </w14:textFill>
        </w:rPr>
        <w:t>聚烯烃：节后需求提振有限，聚烯烃在成本回落下或延续窄幅整理</w:t>
      </w:r>
      <w:bookmarkEnd w:id="36"/>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7" w:name="_Toc26477"/>
      <w:r>
        <w:rPr>
          <w:rFonts w:hint="eastAsia" w:ascii="楷体" w:hAnsi="楷体" w:eastAsia="楷体"/>
          <w:b/>
          <w:color w:val="000000" w:themeColor="text1"/>
          <w:sz w:val="24"/>
          <w:szCs w:val="24"/>
          <w14:textFill>
            <w14:solidFill>
              <w14:schemeClr w14:val="tx1"/>
            </w14:solidFill>
          </w14:textFill>
        </w:rPr>
        <w:t>近期聚烯烃小幅下跌</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本周国内PE库存环比12月23日下降3.67%，其中样本主要生产环节PE库存环比下降8.83%，PE样本港口库存环比下降2.25%，样本贸易企业库存环比增加2.86%。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担心全球经济衰退抑制需求， 国际油价连续第二天大跌， 布伦特原油期货遭遇自1991年以来的最大两日百分比跌幅，目前油制PE利润大约为-229.81元/吨，油制PP利润大约为-1424.22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延续走弱对聚烯烃支撑力度有所减弱，下游受疫情影响开工情况一般，订单提振力度有限，节前备货略有增加，预计今日聚烯烃窄幅整理。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7800左右支撑较强和PE 8200压力位左右支撑较强。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8" w:name="_Toc14670"/>
      <w:r>
        <w:rPr>
          <w:rFonts w:hint="eastAsia" w:ascii="Times New Roman" w:hAnsi="Times New Roman" w:eastAsia="楷体"/>
          <w:b/>
          <w:color w:val="823C0B"/>
          <w:sz w:val="30"/>
          <w:szCs w:val="30"/>
        </w:rPr>
        <w:t>[农产品]</w:t>
      </w:r>
      <w:bookmarkEnd w:id="13"/>
      <w:bookmarkEnd w:id="38"/>
    </w:p>
    <w:p>
      <w:pPr>
        <w:ind w:left="420" w:leftChars="200"/>
        <w:outlineLvl w:val="1"/>
        <w:rPr>
          <w:rFonts w:hint="eastAsia" w:ascii="楷体" w:hAnsi="楷体" w:eastAsia="楷体"/>
          <w:b/>
          <w:sz w:val="24"/>
          <w:szCs w:val="24"/>
        </w:rPr>
      </w:pPr>
      <w:bookmarkStart w:id="39" w:name="_Toc2904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短期维持高位震荡，下方存支撑</w:t>
      </w:r>
      <w:bookmarkEnd w:id="39"/>
    </w:p>
    <w:p>
      <w:pPr>
        <w:ind w:left="630" w:leftChars="300"/>
        <w:rPr>
          <w:rFonts w:ascii="楷体" w:hAnsi="楷体" w:eastAsia="楷体"/>
          <w:sz w:val="24"/>
          <w:szCs w:val="24"/>
        </w:rPr>
      </w:pPr>
      <w:r>
        <w:rPr>
          <w:rFonts w:hint="eastAsia" w:ascii="楷体" w:hAnsi="楷体" w:eastAsia="楷体"/>
          <w:sz w:val="24"/>
          <w:szCs w:val="24"/>
        </w:rPr>
        <w:t>外盘方面，受累于获利了结和原油疲软，CBOT大豆回调整理，带动内盘豆粕回落。但短期南美天气升水以及大豆出口强劲仍对美豆构成强支撑。虽阿根廷近期迎来降雨，但目前的降雨量仍无法缓解产区干旱情况，当前受干旱天气影响种植进度偏慢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目前进入交割月资金已逐渐转至远月合约，在供应预期增加下延续近强远弱格局，若未明显利空行情下，预计豆粕仍将维持高位震荡，短线低多参与；中长期维持供给恢复预期，美豆及豆粕价格重心下移观点不变，关注南美种植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40" w:name="_Toc1373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外盘拖累，或继续承压</w:t>
      </w:r>
      <w:bookmarkEnd w:id="40"/>
    </w:p>
    <w:p>
      <w:pPr>
        <w:ind w:left="630" w:leftChars="300"/>
        <w:rPr>
          <w:rFonts w:ascii="楷体" w:hAnsi="楷体" w:eastAsia="楷体"/>
          <w:sz w:val="24"/>
          <w:szCs w:val="24"/>
        </w:rPr>
      </w:pPr>
      <w:r>
        <w:rPr>
          <w:rFonts w:hint="eastAsia" w:ascii="楷体" w:hAnsi="楷体" w:eastAsia="楷体"/>
          <w:sz w:val="24"/>
          <w:szCs w:val="24"/>
        </w:rPr>
        <w:t>外盘方面，在经济衰退担忧下，国际原油价格大幅下挫，带动外盘油脂走弱，从而拖累内盘走势。棕榈油支撑主要来自产地减产周期以及印尼出口和生柴政策端的利好。马棕产量在强降雨天气影响下预计进一步下滑，但在出口放缓下，库存的降幅仍待观望。而印尼将在23年2月开始强制实施B35计划，同时DMO出口配比收紧至1：6，或进一步利好马棕需求，对马盘构成支撑。国内棕榈油供应较充裕，需求方面在冬季消费淡季下增量有限，棕榈油库存当前在供过于求下也进一步创历史新高，随着12月份进口下滑累库速度放缓并逐步见顶。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短期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1" w:name="_Toc32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外盘玉米因需求担忧而大幅回落</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2019年情形来看，市场对节后余粮压力或仍存在担忧，再加上目前更远月合约即7-9-11月依然贴水，或抑制中下游补库积极性，这意味着国内玉米市场仍处于被动去库存阶段。而参考去年情况来看，新作上市压力释放的被动去库存或已经结束，接下来有望进入新一轮主动补库存阶段。综合来看，考虑到下游存在节前备货需求，而目前深加工企业与南北方港口库存均处于低位，短期国内期现货有望延续反弹态势，但后期特别是春节前需要留意再度回落的可能性，1月整体而言，需要密切关注外盘美玉米期价走势。中期暂维持中性，短期谨慎看多，建议谨慎投资者观望为宜，激进投资者可短线参与。</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走扩符合我们之前报告的预期，主要源于成本端、供需端和副产品端均有望支持价差走扩，成本端来看，国内玉米有可能进入主动补库存阶段，除此之外，华北产区售粮进度相对快于去年同期，考虑到今年小麦不支持饲用替代，再加上东北玉米流入窗口长期关闭，后期华北-东北玉米价差有望走扩；供需端来看，11月以来需求弱势主要源于疫情因素的影响，后期或趋于恢复；副产品端来看，近期加速下跌，带动淀粉现货加工利润转为亏损，有望通过行业开机率带动供应收缩，从而促进行业供需改善。在这种情况下，我们建议前期淀粉-玉米价差走扩套利（如有的话）可以考虑继续持有，重要变数或在于成本端，特别春节前市场会否转而担心节后仍有余粮压力。</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31496"/>
      <w:r>
        <w:rPr>
          <w:rFonts w:hint="eastAsia" w:ascii="楷体" w:hAnsi="楷体" w:eastAsia="楷体"/>
          <w:b/>
          <w:bCs/>
          <w:color w:val="000000" w:themeColor="text1"/>
          <w14:textFill>
            <w14:solidFill>
              <w14:schemeClr w14:val="tx1"/>
            </w14:solidFill>
          </w14:textFill>
        </w:rPr>
        <w:t>畜禽养殖：生猪现货继续弱势</w:t>
      </w:r>
      <w:bookmarkEnd w:id="42"/>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12月下旬期现货反弹，表明市场预期疫情对需求影响最大的时候或已经过去，接下来短期即春节前市场供需及其现货走势有望带来市场预期的变动，这包括两个层面，其一是需求改善或者恢复的幅度，其二是供应已经及其有待释放的部分。除此之外，接下来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3" w:name="_Toc18366"/>
      <w:r>
        <w:rPr>
          <w:rFonts w:hint="eastAsia" w:ascii="楷体" w:hAnsi="楷体" w:eastAsia="楷体"/>
          <w:b/>
          <w:sz w:val="24"/>
          <w:szCs w:val="24"/>
        </w:rPr>
        <w:t>郑棉：预计郑棉震荡整理，观望或看跌期权持有</w:t>
      </w:r>
      <w:bookmarkEnd w:id="43"/>
    </w:p>
    <w:p>
      <w:pPr>
        <w:ind w:left="630" w:leftChars="300"/>
        <w:rPr>
          <w:rFonts w:ascii="楷体" w:hAnsi="楷体" w:eastAsia="楷体"/>
          <w:sz w:val="24"/>
          <w:szCs w:val="24"/>
        </w:rPr>
      </w:pPr>
      <w:r>
        <w:rPr>
          <w:rFonts w:hint="eastAsia" w:ascii="楷体" w:hAnsi="楷体" w:eastAsia="楷体"/>
          <w:sz w:val="24"/>
          <w:szCs w:val="24"/>
        </w:rPr>
        <w:t>2022年棉花是跌幅最大的品种，在新年度种植里和其他农产品相比比值较低，根据机构的调查，未来意向种植面积略有下调。叠加国内消费好转预期，资金和散户对棉花行情颇为期待。不过，预期是否能够兑现，还需要现实数据的印证支持。12月份，受疫情冲击等因素影响，中国采购经理指数比上月有所下降，其中制造业采购经理指数、非制造业商务活动指数和综合PMI产出指数分别为47.0%、41.6%和42.6%，我国经济景气水平总体有所回落。因价格已提前反映复苏预期，短期郑棉或难以逾越1.45万关口。当前销售进度滞后于去年同期，建议相关企业在行情较好时提前兑现部分利润。</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9667"/>
      <w:bookmarkStart w:id="46" w:name="_Toc72481108"/>
      <w:bookmarkStart w:id="47" w:name="_Toc12779"/>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2023年1月5日星期四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7F3074"/>
    <w:rsid w:val="258A2E5C"/>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9</Pages>
  <Words>7643</Words>
  <Characters>8239</Characters>
  <Lines>50</Lines>
  <Paragraphs>14</Paragraphs>
  <TotalTime>67</TotalTime>
  <ScaleCrop>false</ScaleCrop>
  <LinksUpToDate>false</LinksUpToDate>
  <CharactersWithSpaces>8275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2023-01-05T09:31:36Z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