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_Toc1462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_Toc26450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bookmarkStart w:id="48" w:name="_GoBack"/>
          <w:bookmarkEnd w:id="48"/>
        </w:p>
        <w:p>
          <w:pPr>
            <w:pStyle w:val="5"/>
            <w:tabs>
              <w:tab w:val="right" w:leader="dot" w:pos="8306"/>
            </w:tabs>
          </w:pPr>
          <w:r>
            <w:rPr>
              <w:bCs/>
            </w:rPr>
            <w:fldChar w:fldCharType="begin"/>
          </w:r>
          <w:r>
            <w:rPr>
              <w:bCs/>
            </w:rPr>
            <w:instrText xml:space="preserve"> HYPERLINK \l _Toc30354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_Toc15176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关注欧美经济衰退风险，贵金属价格维持涨势</w:t>
          </w:r>
          <w:r>
            <w:rPr>
              <w:bCs/>
            </w:rPr>
            <w:fldChar w:fldCharType="end"/>
          </w:r>
        </w:p>
        <w:p>
          <w:pPr>
            <w:pStyle w:val="5"/>
            <w:tabs>
              <w:tab w:val="right" w:leader="dot" w:pos="8306"/>
            </w:tabs>
          </w:pPr>
          <w:r>
            <w:rPr>
              <w:bCs/>
            </w:rPr>
            <w:fldChar w:fldCharType="begin"/>
          </w:r>
          <w:r>
            <w:rPr>
              <w:bCs/>
            </w:rPr>
            <w:instrText xml:space="preserve"> HYPERLINK \l _Toc10680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_Toc11487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震荡向下调整，暂无大跌的动力</w:t>
          </w:r>
          <w:r>
            <w:rPr>
              <w:bCs/>
            </w:rPr>
            <w:fldChar w:fldCharType="end"/>
          </w:r>
        </w:p>
        <w:p>
          <w:pPr>
            <w:pStyle w:val="6"/>
            <w:tabs>
              <w:tab w:val="right" w:leader="dot" w:pos="8306"/>
            </w:tabs>
          </w:pPr>
          <w:r>
            <w:rPr>
              <w:bCs/>
            </w:rPr>
            <w:fldChar w:fldCharType="begin"/>
          </w:r>
          <w:r>
            <w:rPr>
              <w:bCs/>
            </w:rPr>
            <w:instrText xml:space="preserve"> HYPERLINK \l _Toc27511 </w:instrText>
          </w:r>
          <w:r>
            <w:rPr>
              <w:bCs/>
            </w:rPr>
            <w:fldChar w:fldCharType="separate"/>
          </w:r>
          <w:r>
            <w:rPr>
              <w:rFonts w:hint="eastAsia" w:ascii="楷体" w:hAnsi="楷体" w:eastAsia="楷体"/>
              <w:szCs w:val="24"/>
            </w:rPr>
            <w:t>焦炭：第一轮提降落地，预计底部窄幅震荡运行</w:t>
          </w:r>
          <w:r>
            <w:rPr>
              <w:bCs/>
            </w:rPr>
            <w:fldChar w:fldCharType="end"/>
          </w:r>
        </w:p>
        <w:p>
          <w:pPr>
            <w:pStyle w:val="6"/>
            <w:tabs>
              <w:tab w:val="right" w:leader="dot" w:pos="8306"/>
            </w:tabs>
          </w:pPr>
          <w:r>
            <w:rPr>
              <w:bCs/>
            </w:rPr>
            <w:fldChar w:fldCharType="begin"/>
          </w:r>
          <w:r>
            <w:rPr>
              <w:bCs/>
            </w:rPr>
            <w:instrText xml:space="preserve"> HYPERLINK \l _Toc32055 </w:instrText>
          </w:r>
          <w:r>
            <w:rPr>
              <w:bCs/>
            </w:rPr>
            <w:fldChar w:fldCharType="separate"/>
          </w:r>
          <w:r>
            <w:rPr>
              <w:rFonts w:hint="eastAsia" w:ascii="楷体" w:hAnsi="楷体" w:eastAsia="楷体"/>
              <w:szCs w:val="24"/>
            </w:rPr>
            <w:t>焦煤：现货驱动转弱，关注底部支撑    </w:t>
          </w:r>
          <w:r>
            <w:rPr>
              <w:bCs/>
            </w:rPr>
            <w:fldChar w:fldCharType="end"/>
          </w:r>
        </w:p>
        <w:p>
          <w:pPr>
            <w:pStyle w:val="6"/>
            <w:tabs>
              <w:tab w:val="right" w:leader="dot" w:pos="8306"/>
            </w:tabs>
          </w:pPr>
          <w:r>
            <w:rPr>
              <w:bCs/>
            </w:rPr>
            <w:fldChar w:fldCharType="begin"/>
          </w:r>
          <w:r>
            <w:rPr>
              <w:bCs/>
            </w:rPr>
            <w:instrText xml:space="preserve"> HYPERLINK \l _Toc11856 </w:instrText>
          </w:r>
          <w:r>
            <w:rPr>
              <w:bCs/>
            </w:rPr>
            <w:fldChar w:fldCharType="separate"/>
          </w:r>
          <w:r>
            <w:rPr>
              <w:rFonts w:hint="eastAsia" w:ascii="楷体" w:hAnsi="楷体" w:eastAsia="楷体"/>
              <w:szCs w:val="24"/>
            </w:rPr>
            <w:t>铜：现实需求疲弱，铜价区间震荡偏弱运行</w:t>
          </w:r>
          <w:r>
            <w:rPr>
              <w:bCs/>
            </w:rPr>
            <w:fldChar w:fldCharType="end"/>
          </w:r>
        </w:p>
        <w:p>
          <w:pPr>
            <w:pStyle w:val="6"/>
            <w:tabs>
              <w:tab w:val="right" w:leader="dot" w:pos="8306"/>
            </w:tabs>
          </w:pPr>
          <w:r>
            <w:rPr>
              <w:bCs/>
            </w:rPr>
            <w:fldChar w:fldCharType="begin"/>
          </w:r>
          <w:r>
            <w:rPr>
              <w:bCs/>
            </w:rPr>
            <w:instrText xml:space="preserve"> HYPERLINK \l _Toc15142 </w:instrText>
          </w:r>
          <w:r>
            <w:rPr>
              <w:bCs/>
            </w:rPr>
            <w:fldChar w:fldCharType="separate"/>
          </w:r>
          <w:r>
            <w:rPr>
              <w:rFonts w:hint="eastAsia" w:ascii="楷体" w:hAnsi="楷体" w:eastAsia="楷体"/>
              <w:szCs w:val="24"/>
            </w:rPr>
            <w:t>铝：铝市供需均弱，价格维持震荡</w:t>
          </w:r>
          <w:r>
            <w:rPr>
              <w:bCs/>
            </w:rPr>
            <w:fldChar w:fldCharType="end"/>
          </w:r>
        </w:p>
        <w:p>
          <w:pPr>
            <w:pStyle w:val="6"/>
            <w:tabs>
              <w:tab w:val="right" w:leader="dot" w:pos="8306"/>
            </w:tabs>
          </w:pPr>
          <w:r>
            <w:rPr>
              <w:bCs/>
            </w:rPr>
            <w:fldChar w:fldCharType="begin"/>
          </w:r>
          <w:r>
            <w:rPr>
              <w:bCs/>
            </w:rPr>
            <w:instrText xml:space="preserve"> HYPERLINK \l _Toc31416 </w:instrText>
          </w:r>
          <w:r>
            <w:rPr>
              <w:bCs/>
            </w:rPr>
            <w:fldChar w:fldCharType="separate"/>
          </w:r>
          <w:r>
            <w:rPr>
              <w:rFonts w:hint="eastAsia" w:ascii="楷体" w:hAnsi="楷体" w:eastAsia="楷体"/>
              <w:szCs w:val="24"/>
            </w:rPr>
            <w:t>锌：市场情绪等待指引，价格仍震荡为主</w:t>
          </w:r>
          <w:r>
            <w:rPr>
              <w:bCs/>
            </w:rPr>
            <w:fldChar w:fldCharType="end"/>
          </w:r>
        </w:p>
        <w:p>
          <w:pPr>
            <w:pStyle w:val="6"/>
            <w:tabs>
              <w:tab w:val="right" w:leader="dot" w:pos="8306"/>
            </w:tabs>
          </w:pPr>
          <w:r>
            <w:rPr>
              <w:bCs/>
            </w:rPr>
            <w:fldChar w:fldCharType="begin"/>
          </w:r>
          <w:r>
            <w:rPr>
              <w:bCs/>
            </w:rPr>
            <w:instrText xml:space="preserve"> HYPERLINK \l _Toc30327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_Toc19913 </w:instrText>
          </w:r>
          <w:r>
            <w:rPr>
              <w:bCs/>
            </w:rPr>
            <w:fldChar w:fldCharType="separate"/>
          </w:r>
          <w:r>
            <w:rPr>
              <w:rFonts w:hint="eastAsia" w:ascii="楷体" w:hAnsi="楷体" w:eastAsia="楷体"/>
              <w:szCs w:val="24"/>
            </w:rPr>
            <w:t>不锈钢：短多继续持有</w:t>
          </w:r>
          <w:r>
            <w:rPr>
              <w:bCs/>
            </w:rPr>
            <w:fldChar w:fldCharType="end"/>
          </w:r>
        </w:p>
        <w:p>
          <w:pPr>
            <w:pStyle w:val="6"/>
            <w:tabs>
              <w:tab w:val="right" w:leader="dot" w:pos="8306"/>
            </w:tabs>
          </w:pPr>
          <w:r>
            <w:rPr>
              <w:bCs/>
            </w:rPr>
            <w:fldChar w:fldCharType="begin"/>
          </w:r>
          <w:r>
            <w:rPr>
              <w:bCs/>
            </w:rPr>
            <w:instrText xml:space="preserve"> HYPERLINK \l _Toc14934 </w:instrText>
          </w:r>
          <w:r>
            <w:rPr>
              <w:bCs/>
            </w:rPr>
            <w:fldChar w:fldCharType="separate"/>
          </w:r>
          <w:r>
            <w:rPr>
              <w:rFonts w:hint="eastAsia" w:ascii="楷体" w:hAnsi="楷体" w:eastAsia="楷体"/>
              <w:szCs w:val="24"/>
            </w:rPr>
            <w:t>工业硅：供需格局偏宽松，关注区间波段交易机会</w:t>
          </w:r>
          <w:r>
            <w:rPr>
              <w:bCs/>
            </w:rPr>
            <w:fldChar w:fldCharType="end"/>
          </w:r>
        </w:p>
        <w:p>
          <w:pPr>
            <w:pStyle w:val="5"/>
            <w:tabs>
              <w:tab w:val="right" w:leader="dot" w:pos="8306"/>
            </w:tabs>
          </w:pPr>
          <w:r>
            <w:rPr>
              <w:bCs/>
            </w:rPr>
            <w:fldChar w:fldCharType="begin"/>
          </w:r>
          <w:r>
            <w:rPr>
              <w:bCs/>
            </w:rPr>
            <w:instrText xml:space="preserve"> HYPERLINK \l _Toc26260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_Toc28634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_Toc16119 </w:instrText>
          </w:r>
          <w:r>
            <w:rPr>
              <w:bCs/>
            </w:rPr>
            <w:fldChar w:fldCharType="separate"/>
          </w:r>
          <w:r>
            <w:rPr>
              <w:rFonts w:ascii="楷体" w:hAnsi="楷体" w:eastAsia="楷体"/>
              <w:szCs w:val="24"/>
            </w:rPr>
            <w:t>PTA</w:t>
          </w:r>
          <w:r>
            <w:rPr>
              <w:rFonts w:hint="eastAsia" w:ascii="楷体" w:hAnsi="楷体" w:eastAsia="楷体"/>
              <w:szCs w:val="24"/>
            </w:rPr>
            <w:t>：下游即将迎来放假  TA面临下行风险</w:t>
          </w:r>
          <w:r>
            <w:rPr>
              <w:bCs/>
            </w:rPr>
            <w:fldChar w:fldCharType="end"/>
          </w:r>
        </w:p>
        <w:p>
          <w:pPr>
            <w:pStyle w:val="6"/>
            <w:tabs>
              <w:tab w:val="right" w:leader="dot" w:pos="8306"/>
            </w:tabs>
          </w:pPr>
          <w:r>
            <w:rPr>
              <w:bCs/>
            </w:rPr>
            <w:fldChar w:fldCharType="begin"/>
          </w:r>
          <w:r>
            <w:rPr>
              <w:bCs/>
            </w:rPr>
            <w:instrText xml:space="preserve"> HYPERLINK \l _Toc4613 </w:instrText>
          </w:r>
          <w:r>
            <w:rPr>
              <w:bCs/>
            </w:rPr>
            <w:fldChar w:fldCharType="separate"/>
          </w:r>
          <w:r>
            <w:rPr>
              <w:rFonts w:hint="eastAsia" w:ascii="楷体" w:hAnsi="楷体" w:eastAsia="楷体"/>
              <w:szCs w:val="24"/>
            </w:rPr>
            <w:t>PVC:强预期及出口增量提振 短期走势仍偏强</w:t>
          </w:r>
          <w:r>
            <w:rPr>
              <w:bCs/>
            </w:rPr>
            <w:fldChar w:fldCharType="end"/>
          </w:r>
        </w:p>
        <w:p>
          <w:pPr>
            <w:pStyle w:val="6"/>
            <w:tabs>
              <w:tab w:val="right" w:leader="dot" w:pos="8306"/>
            </w:tabs>
          </w:pPr>
          <w:r>
            <w:rPr>
              <w:bCs/>
            </w:rPr>
            <w:fldChar w:fldCharType="begin"/>
          </w:r>
          <w:r>
            <w:rPr>
              <w:bCs/>
            </w:rPr>
            <w:instrText xml:space="preserve"> HYPERLINK \l _Toc5149 </w:instrText>
          </w:r>
          <w:r>
            <w:rPr>
              <w:bCs/>
            </w:rPr>
            <w:fldChar w:fldCharType="separate"/>
          </w:r>
          <w:r>
            <w:rPr>
              <w:rFonts w:hint="eastAsia" w:ascii="楷体" w:hAnsi="楷体" w:eastAsia="楷体"/>
              <w:szCs w:val="24"/>
            </w:rPr>
            <w:t>聚烯烃：节后需求提振有限，聚烯烃或延续窄幅整理</w:t>
          </w:r>
          <w:r>
            <w:rPr>
              <w:bCs/>
            </w:rPr>
            <w:fldChar w:fldCharType="end"/>
          </w:r>
        </w:p>
        <w:p>
          <w:pPr>
            <w:pStyle w:val="5"/>
            <w:tabs>
              <w:tab w:val="right" w:leader="dot" w:pos="8306"/>
            </w:tabs>
          </w:pPr>
          <w:r>
            <w:rPr>
              <w:bCs/>
            </w:rPr>
            <w:fldChar w:fldCharType="begin"/>
          </w:r>
          <w:r>
            <w:rPr>
              <w:bCs/>
            </w:rPr>
            <w:instrText xml:space="preserve"> HYPERLINK \l _Toc9916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_Toc17434 </w:instrText>
          </w:r>
          <w:r>
            <w:rPr>
              <w:bCs/>
            </w:rPr>
            <w:fldChar w:fldCharType="separate"/>
          </w:r>
          <w:r>
            <w:rPr>
              <w:rFonts w:hint="eastAsia" w:ascii="楷体" w:hAnsi="楷体" w:eastAsia="楷体"/>
              <w:szCs w:val="24"/>
            </w:rPr>
            <w:t>豆粕：短期维持高位震荡，下方支撑仍存</w:t>
          </w:r>
          <w:r>
            <w:rPr>
              <w:bCs/>
            </w:rPr>
            <w:fldChar w:fldCharType="end"/>
          </w:r>
        </w:p>
        <w:p>
          <w:pPr>
            <w:pStyle w:val="6"/>
            <w:tabs>
              <w:tab w:val="right" w:leader="dot" w:pos="8306"/>
            </w:tabs>
          </w:pPr>
          <w:r>
            <w:rPr>
              <w:bCs/>
            </w:rPr>
            <w:fldChar w:fldCharType="begin"/>
          </w:r>
          <w:r>
            <w:rPr>
              <w:bCs/>
            </w:rPr>
            <w:instrText xml:space="preserve"> HYPERLINK \l _Toc19584 </w:instrText>
          </w:r>
          <w:r>
            <w:rPr>
              <w:bCs/>
            </w:rPr>
            <w:fldChar w:fldCharType="separate"/>
          </w:r>
          <w:r>
            <w:rPr>
              <w:rFonts w:hint="eastAsia" w:ascii="楷体" w:hAnsi="楷体" w:eastAsia="楷体"/>
              <w:szCs w:val="24"/>
            </w:rPr>
            <w:t>油脂：上方空间预计有限，建议短线操作</w:t>
          </w:r>
          <w:r>
            <w:rPr>
              <w:bCs/>
            </w:rPr>
            <w:fldChar w:fldCharType="end"/>
          </w:r>
        </w:p>
        <w:p>
          <w:pPr>
            <w:pStyle w:val="6"/>
            <w:tabs>
              <w:tab w:val="right" w:leader="dot" w:pos="8306"/>
            </w:tabs>
          </w:pPr>
          <w:r>
            <w:rPr>
              <w:bCs/>
            </w:rPr>
            <w:fldChar w:fldCharType="begin"/>
          </w:r>
          <w:r>
            <w:rPr>
              <w:bCs/>
            </w:rPr>
            <w:instrText xml:space="preserve"> HYPERLINK \l _Toc12604 </w:instrText>
          </w:r>
          <w:r>
            <w:rPr>
              <w:bCs/>
            </w:rPr>
            <w:fldChar w:fldCharType="separate"/>
          </w:r>
          <w:r>
            <w:rPr>
              <w:rFonts w:hint="eastAsia" w:ascii="楷体" w:hAnsi="楷体" w:eastAsia="楷体"/>
              <w:bCs/>
            </w:rPr>
            <w:t>玉米与淀粉：</w:t>
          </w:r>
          <w:r>
            <w:rPr>
              <w:rFonts w:hint="eastAsia" w:ascii="楷体" w:hAnsi="楷体" w:eastAsia="楷体"/>
            </w:rPr>
            <w:t>产区玉米表现分化</w:t>
          </w:r>
          <w:r>
            <w:rPr>
              <w:bCs/>
            </w:rPr>
            <w:fldChar w:fldCharType="end"/>
          </w:r>
        </w:p>
        <w:p>
          <w:pPr>
            <w:pStyle w:val="6"/>
            <w:tabs>
              <w:tab w:val="right" w:leader="dot" w:pos="8306"/>
            </w:tabs>
          </w:pPr>
          <w:r>
            <w:rPr>
              <w:bCs/>
            </w:rPr>
            <w:fldChar w:fldCharType="begin"/>
          </w:r>
          <w:r>
            <w:rPr>
              <w:bCs/>
            </w:rPr>
            <w:instrText xml:space="preserve"> HYPERLINK \l _Toc27376 </w:instrText>
          </w:r>
          <w:r>
            <w:rPr>
              <w:bCs/>
            </w:rPr>
            <w:fldChar w:fldCharType="separate"/>
          </w:r>
          <w:r>
            <w:rPr>
              <w:rFonts w:hint="eastAsia" w:ascii="楷体" w:hAnsi="楷体" w:eastAsia="楷体"/>
              <w:bCs/>
            </w:rPr>
            <w:t>畜禽养殖：现货表现不一</w:t>
          </w:r>
          <w:r>
            <w:rPr>
              <w:bCs/>
            </w:rPr>
            <w:fldChar w:fldCharType="end"/>
          </w:r>
        </w:p>
        <w:p>
          <w:pPr>
            <w:pStyle w:val="6"/>
            <w:tabs>
              <w:tab w:val="right" w:leader="dot" w:pos="8306"/>
            </w:tabs>
          </w:pPr>
          <w:r>
            <w:rPr>
              <w:bCs/>
            </w:rPr>
            <w:fldChar w:fldCharType="begin"/>
          </w:r>
          <w:r>
            <w:rPr>
              <w:bCs/>
            </w:rPr>
            <w:instrText xml:space="preserve"> HYPERLINK \l _Toc8454 </w:instrText>
          </w:r>
          <w:r>
            <w:rPr>
              <w:bCs/>
            </w:rPr>
            <w:fldChar w:fldCharType="separate"/>
          </w:r>
          <w:r>
            <w:rPr>
              <w:rFonts w:hint="eastAsia" w:ascii="楷体" w:hAnsi="楷体" w:eastAsia="楷体"/>
              <w:szCs w:val="24"/>
            </w:rPr>
            <w:t>郑棉：油价带领国际商品大跌，美棉冲高回落。预计郑棉震荡整理，观望或看跌期权持有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462"/>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6450"/>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存量博弈下资金或继续高低切，对于前期涨幅较大的消费风格来说存在逢高获利了结风险，短期维持中小盘相对占优观点。后续关注基本面修复弹性、稳增长政策落地力度及微观流动性改善等因素。</w:t>
      </w:r>
    </w:p>
    <w:p>
      <w:pPr>
        <w:pBdr>
          <w:top w:val="single" w:color="auto" w:sz="4" w:space="0"/>
        </w:pBdr>
        <w:outlineLvl w:val="0"/>
        <w:rPr>
          <w:rFonts w:ascii="Times New Roman" w:hAnsi="Times New Roman" w:eastAsia="楷体"/>
          <w:b/>
          <w:color w:val="823C0B"/>
        </w:rPr>
      </w:pPr>
      <w:bookmarkStart w:id="7" w:name="_Toc30354"/>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5176"/>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关注欧美经济衰退风险，贵金属价格维持涨势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截止12月30日收盘，外盘COMEX黄金期货主力月涨2.65%，报1830.1美元/盎司；COMEX白银期货主力月涨7.97%，报24.18美元/盎司；内盘沪金主力12月30日下午收盘报410.72元/克，月涨1.13%；沪银主力报5363元/千克，月涨8.96%。市场对于2023年美联储偏向鸽派的预期持续发酵，欧美股市普跌亦对避险情绪形成提振，贵金属价格大幅反弹。进入2023年后重点关注欧美等海外主要经济体的经济衰退风险，以及全球金融环境收缩背后可能隐含的流动性紧缺风险。在美国通胀回落拐点确认、经济增长进一步放缓、衰退风险隐现的宏观背景下，叠加货币政策边际转向开启的政策环境，贵金属价格或重获支撑，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10680"/>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11487"/>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震荡向下调整，暂无大跌的动力</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后现金流的改善或成为下游终端和贸易商补库的主要支撑，补库力度决定高点。强预期弱现实格局下，节前交易或转向弱现实，成本支撑边际转弱下，调整幅度视原料而定，需求尚未进入验真阶段，原料整体供应仍偏紧，成材矛盾仍在累积，现货价格承压运行，但大跌驱动并不明显，盘面或调整保持合理的正基差。震荡向下调整，可轻仓逢高短空，预计运行区间（3850，4200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7511"/>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第一轮提降落地，预计底部窄幅震荡运行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期间。钢厂对焦炭第一轮提降落地，预计春节前或累计提降2-3轮，随着焦化复产及冬储进入尾声，焦炭的边际需求走弱。短期盘面提前调整下贴水幅度较大，关注（2580,2630）的区间支撑，预计或底部窄幅震荡运行，后续是否加速仍需视钢材情况而定。</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3205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现货驱动转弱，关注底部支撑    </w:t>
      </w:r>
      <w:bookmarkEnd w:id="20"/>
    </w:p>
    <w:p>
      <w:pPr>
        <w:ind w:left="630" w:leftChars="300"/>
        <w:rPr>
          <w:rFonts w:ascii="楷体" w:hAnsi="楷体" w:eastAsia="楷体"/>
          <w:bCs/>
          <w:sz w:val="24"/>
          <w:szCs w:val="24"/>
        </w:rPr>
      </w:pPr>
      <w:r>
        <w:rPr>
          <w:rFonts w:hint="eastAsia" w:ascii="楷体" w:hAnsi="楷体" w:eastAsia="楷体"/>
          <w:sz w:val="24"/>
          <w:szCs w:val="24"/>
        </w:rPr>
        <w:t>下游第一轮提降落地，焦化利润再次收缩，随下游冬储进入尾声，焦煤或转入按需采购，现货承压运行，盘面提前反应下或偏弱震荡运行，关注支撑区间（1750,1820），后续是否加速仍需视钢材情况而定。</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11856"/>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现实需求疲弱，铜价区间震荡偏弱运行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(1)库存：1月3日，SHFE仓单库存30372吨，增375吨；LME 仓单库存88550吨，减375吨。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(2)精废价差：1月3日，Mysteel精废价差1698，收窄187。目前价差在合理价差1356之上。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下行及通胀压力对铜价保持抑制。国内经济恢复预期较强，但在疫情感染高峰及传统淡季背景下，需求暂难回升，库存开始季节性累积，现货升水下调。整体而言，国内强预期的主导尚未结束，但弱现实的拉扯使得铜价趋向于区间下沿运行，短期参考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15142"/>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铝市供需均弱，价格维持震荡</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宏观情绪偏弱，日本央行考虑改变低利率路线，美日汇率剧烈震荡创五个月内新低，美国12月货币政策纪要、美国“非农报告”等数据将在周内公布，对市场整体交投情绪或有方向指引，FOMC对终值利率的预期调整为5.1%，认为继联储12月加息后仍有部分上调空间。铝市基本面供需两弱，进口铝土矿需求走升，氧化铝产能再扩，初级加工铝材进出口数据同比均有下降，反映出海外需求的疲弱，国内电解铝供应方面，贵州地区受到限电影响实行二次减产，已完成减产产能30万吨，广西、四川铝厂持续复产，甘肃继续释放新投产产能，铝产供应整体趋弱，国内电解铝产量增幅预计不及预期。当前处于季节性消费淡季，铝下游加工企业开工率下降，部分企业受需求疲弱、订单匮乏以及工作人员不足影响考虑提前放假减停产。从库存来看，交易所库存维持低位去库，社会库存拐入累库，社库累库考虑是受消费持续走弱的影响。整体来看，短期铝价仍维系震荡走势，持续关注下游需求及库存变化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31416"/>
      <w:r>
        <w:rPr>
          <w:rFonts w:hint="eastAsia" w:ascii="楷体" w:hAnsi="楷体" w:eastAsia="楷体"/>
          <w:b/>
          <w:color w:val="000000" w:themeColor="text1"/>
          <w:sz w:val="24"/>
          <w:szCs w:val="24"/>
          <w14:textFill>
            <w14:solidFill>
              <w14:schemeClr w14:val="tx1"/>
            </w14:solidFill>
          </w14:textFill>
        </w:rPr>
        <w:t>锌：市场情绪等待指引，价格仍震荡为主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4日沪锌午后收盘价格23380元/吨，跌幅0.17%，上海有色网0#锌锭（Zn99.995）现货报价23870元/吨，较上一统计日报价下跌120元/吨。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处“高通胀”叠加“强加息”背景之下，全球经济衰退风险仍存，周内将公布多项重磅经济事件，市场交易情绪仍待指引。国内锌矿端表现宽松，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较小，低库存现状仍存，锌价重心下移，短期价格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30327"/>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防疫政策进一步放宽，地产利好政策逐步兑现，整体市场情绪表现乐观。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9913"/>
      <w:r>
        <w:rPr>
          <w:rFonts w:hint="eastAsia" w:ascii="楷体" w:hAnsi="楷体" w:eastAsia="楷体"/>
          <w:b/>
          <w:color w:val="000000" w:themeColor="text1"/>
          <w:sz w:val="24"/>
          <w:szCs w:val="24"/>
          <w14:textFill>
            <w14:solidFill>
              <w14:schemeClr w14:val="tx1"/>
            </w14:solidFill>
          </w14:textFill>
        </w:rPr>
        <w:t>不锈钢：短多继续持有</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增加，短期价格仍将承压运行。但向下亦存在较强成本支撑，下跌空间亦不大。当前价格跟随宏观情绪波动，短期缺乏方向性，预计宽幅震荡为主，建议寻找上下安全边际参与区间交易，参考16500-17800。</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493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供需格局偏宽松，关注区间波段交易机会</w:t>
      </w:r>
      <w:bookmarkEnd w:id="30"/>
    </w:p>
    <w:p>
      <w:pPr>
        <w:ind w:left="630" w:leftChars="300"/>
        <w:rPr>
          <w:rFonts w:ascii="楷体" w:hAnsi="楷体" w:eastAsia="楷体"/>
          <w:sz w:val="24"/>
          <w:szCs w:val="24"/>
        </w:rPr>
      </w:pPr>
      <w:r>
        <w:rPr>
          <w:rFonts w:hint="eastAsia" w:ascii="楷体" w:hAnsi="楷体" w:eastAsia="楷体"/>
          <w:sz w:val="24"/>
          <w:szCs w:val="24"/>
        </w:rPr>
        <w:t>当前西南地区进入枯水期，多数企业进行停炉减产操作，但新疆复产下叠加年末需求持续低迷，供需格局整体依旧偏宽松。现货市场整体偏弱将压制盘面大幅上涨，但国内经济修复预期以及枯水期高成本均对市场有支撑，预计硅价将以区间（17000，18500）震荡为主，操作建议以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6260"/>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8634"/>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上周受大风天气影响，船只入罐出现明显延误。12.29华东主港地区MEG港口库存约90.2万吨附近，环比上期下降7.8万吨。开工情况，截至12月29日，中国大陆地区乙二醇整体开工负荷在62.87%（+3.73%），其中煤制乙二醇开工负荷在49%（+7.37%），乙二醇负荷大幅提升。从聚酯需求端来看，本周聚酯装置检修依然较多，长丝继续新增检修，短纤局部调整，瓶片检修装置有陆续恢复。截至12.29初步核算聚酯负荷在66％（-2%)。本周江浙终端开工继续下降，截至12.29，江浙加弹开工率28%（-23%）、江浙织机开工率26%（-12%）、浙江印染开工率38%（-3%）。综合来看，受天气因素影响乙二醇卸货延迟，显性库存堆积推迟。但是供给端开工率大幅回升及MEG新装置逐步投产，供应环节仍在逐步增量中。月底终端放假潮来临，目前加弹、织造、印染基本都处于收尾状态，染厂已经多停止进料，1月10日前多将结束生产。短期来看，受整体商品市场信心提振、寒潮因素北美部分乙二醇装置临时停车，进口缩量明显等因素，乙二醇走强偏强。中期乙二醇供应过剩局面持续存在，且累库幅度较大。近期关注北美供应端受寒潮影响装置恢复消息，EG05仍建议逢高空配。</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6119"/>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TA面临下行风险</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本周期台化120万吨短停，亚东75降负至7成，逸盛新材料720万吨装置恢复至9成，英力士110万吨重启暂时推后，至12.29 PTA负荷调整至62%（+2%）。 新装置方面，12月PTA两套新装置终于迎来投产消息，东营威联250万吨装置其中一条生产线12月14日附近出合格品，嘉通能源250万吨PTA装置其中一条线12月24日附近出合格品。本周聚酯装置检修依然较多，长丝继续新增检修，短纤局部调整，瓶片检修装置有陆续恢复。截至12.29，初步核算聚酯负荷在66％（-2%）。终端方面，本周江浙终端开工继续下降，江浙终端工厂原料备货年后使用，前加弹、织造、印染基本都处于收尾状态，染厂已经多停止进料，1月10日前多将结束生产。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目前市场交易的逻辑还是在于后期需求端的恢复，一旦没有成本端支撑，TA仍面临回调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4613"/>
      <w:r>
        <w:rPr>
          <w:rFonts w:hint="eastAsia" w:ascii="楷体" w:hAnsi="楷体" w:eastAsia="楷体"/>
          <w:b/>
          <w:color w:val="000000" w:themeColor="text1"/>
          <w:sz w:val="24"/>
          <w:szCs w:val="24"/>
          <w14:textFill>
            <w14:solidFill>
              <w14:schemeClr w14:val="tx1"/>
            </w14:solidFill>
          </w14:textFill>
        </w:rPr>
        <w:t>PVC:强预期及出口增量提振 短期走势仍偏强</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供应方面，本周随着装置利润明显修复，PVC生产企业检修损失量明显下降，行业开工负荷率逐步提升。截止12.29 本周PVC整体开工负荷率75.96%，环比提升2.65%；其中电石法PVC开工负荷率74.47%，环比提升1.70%；乙烯法PVC开工负荷率81.25%，环比提升6.02%。除了存量开工提升以外，1月份还有信发、聚隆、广西华谊各40万吨新装置部分将量产。一季度供应压力较大。社会库存方面，随着在途货源及待卸货源的逐步入库，近期社库累库幅度加快，但12月份部分生产企业出口接单量25万左右，出口订单若在1月出现集中交付将延缓社库的累库进程。短期来看，出口增量对于价格仍能起到边际利好驱动。需求方面，1月份下半月多数制品企业将多数放假，整体需求将明显减弱。但考虑到当前价格偏低，制品企业或将在1月份存在适当备货现象。综合来看，虽供需边际仍在走弱，但PVC强预期及出口增量仍主导盘面走势。在宏观氛围仍旧偏好及低价补库预期下，PVC走势仍偏强，节前维持6100-6500区间操作。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5149"/>
      <w:r>
        <w:rPr>
          <w:rFonts w:hint="eastAsia" w:ascii="楷体" w:hAnsi="楷体" w:eastAsia="楷体"/>
          <w:b/>
          <w:color w:val="000000" w:themeColor="text1"/>
          <w:sz w:val="24"/>
          <w:szCs w:val="24"/>
          <w14:textFill>
            <w14:solidFill>
              <w14:schemeClr w14:val="tx1"/>
            </w14:solidFill>
          </w14:textFill>
        </w:rPr>
        <w:t>聚烯烃：节后需求提振有限，聚烯烃或延续窄幅整理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12月23日下降3.67%，其中样本主要生产环节PE库存环比下降8.83%，PE样本港口库存环比下降2.25%，样本贸易企业库存环比增加2.86%。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对全球经济衰退担忧日益加剧，美元汇率上涨也打压以美元计价的商品期货市场气氛，欧美原油期货早盘上涨后大幅度收低，目前油制PE利润大约为-547.61元/吨，油制PP利润大约为-1741.21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价格对聚乙烯支撑力度有所减弱，下游受疫情影响开工情况一般，订单提振力度有限，节前备货略有增加，预计今日聚烯烃窄幅整理。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7800左右支撑较强和PE 8200压力位左右支撑较强。仅供参考。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9916"/>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17434"/>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短期维持高位震荡，下方支撑仍存</w:t>
      </w:r>
      <w:bookmarkEnd w:id="38"/>
    </w:p>
    <w:p>
      <w:pPr>
        <w:ind w:left="630" w:leftChars="300"/>
        <w:rPr>
          <w:rFonts w:ascii="楷体" w:hAnsi="楷体" w:eastAsia="楷体"/>
          <w:sz w:val="24"/>
          <w:szCs w:val="24"/>
        </w:rPr>
      </w:pPr>
      <w:r>
        <w:rPr>
          <w:rFonts w:hint="eastAsia" w:ascii="楷体" w:hAnsi="楷体" w:eastAsia="楷体"/>
          <w:sz w:val="24"/>
          <w:szCs w:val="24"/>
        </w:rPr>
        <w:t>外盘方面，受累于获利了结和原油疲软，CBOT大豆开盘便回调，带动内盘豆粕回落。但短期南美天气升水以及大豆出口强劲仍对美豆构成支撑。虽阿根廷近期迎来降雨，但降雨稀少，当前受干旱天气影响种植进度和优良率持续下滑，产量不确定性仍存。国内市场，随着延迟到港量在12月份陆续到港，当前大豆港口库存累库速度也有所加快。油厂开机及压榨持续维持高位，豆粕库存已连续几周增加，但在油厂榨利亏损下23年1-2月份大豆缺口仍存，预计年后累库速度放缓。下游养殖利润近期大幅下滑，因生猪大量出栏，但下游需求不及预期，饲企和养殖企业等对豆粕采购需求减弱，但节前仍有备货需求。短期进入交割月资金已逐渐转至远月合约，在供应预期增加下延续近强远弱格局，若未明显利空行情下，预计豆粕仍将维持高位震荡，短线参与；中长期维持供给恢复预期，美豆及豆粕价格重心下移观点不变，关注南美种植情况，可关注5-9反套机会。</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1958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上方空间预计有限，建议短线操作</w:t>
      </w:r>
      <w:bookmarkEnd w:id="39"/>
    </w:p>
    <w:p>
      <w:pPr>
        <w:ind w:left="630" w:leftChars="300"/>
        <w:rPr>
          <w:rFonts w:ascii="楷体" w:hAnsi="楷体" w:eastAsia="楷体"/>
          <w:sz w:val="24"/>
          <w:szCs w:val="24"/>
        </w:rPr>
      </w:pPr>
      <w:r>
        <w:rPr>
          <w:rFonts w:hint="eastAsia" w:ascii="楷体" w:hAnsi="楷体" w:eastAsia="楷体"/>
          <w:sz w:val="24"/>
          <w:szCs w:val="24"/>
        </w:rPr>
        <w:t>外盘方面，国际原油及外盘油脂在利多消息支撑下，短期走势偏强，对内盘油脂构成支撑。棕榈油支撑主要来自产地减产周期以及印尼出口和生柴政策端的利好。数据显示12月1-25日马棕产量预计环比减少4.35%，出口环比减少2.1%，12月马棕库存预计进一步下滑。但出口放缓仍限制马盘反弹幅度。而印尼将在23年2月开始强制实施B35计划，同时DMO出口配比收紧至1：6。国内棕榈油供应较宽松，需求方面在冬季消费淡季下增量有限，棕榈油库存当前在供过于求下也进一步创历史新高，随着12月份进口下滑累库速度放缓，但短期供应压力较大。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1260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产区玉米表现分化</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2019年情形来看，市场对节后余粮压力或仍存在担忧，再加上目前更远月合约即7-9-11月依然贴水，或抑制中下游补库积极性，这意味着国内玉米市场仍处于被动去库存阶段。而参考去年情况来看，新作上市压力释放的被动去库存或已经结束，接下来有望进入新一轮主动补库存阶段。综合来看，考虑到下游存在节前备货需求，而目前深加工企业与南北方港口库存均处于低位，短期国内期现货有望延续反弹态势，但后期特别是春节前需要留意再度回落的可能性，1月整体而言，需要密切关注外盘美玉米期价走势。中期暂维持中性，短期谨慎看多，建议谨慎投资者观望为宜，激进投资者可短线参与。</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走扩符合我们之前报告的预期，主要源于成本端、供需端和副产品端均有望支持价差走扩，成本端来看，国内玉米有可能进入主动补库存阶段，除此之外，华北产区售粮进度相对快于去年同期，考虑到今年小麦不支持饲用替代，再加上东北玉米流入窗口长期关闭，后期华北-东北玉米价差有望走扩；供需端来看，11月以来需求弱势主要源于疫情因素的影响，后期或趋于恢复；副产品端来看，近期加速下跌，带动淀粉现货加工利润转为亏损，有望通过行业开机率带动供应收缩，从而促进行业供需改善。在这种情况下，我们建议前期淀粉-玉米价差走扩套利（如有的话）可以考虑继续持有，重要变数或在于成本端，特别春节前市场会否转而担心节后仍有余粮压力。</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7376"/>
      <w:r>
        <w:rPr>
          <w:rFonts w:hint="eastAsia" w:ascii="楷体" w:hAnsi="楷体" w:eastAsia="楷体"/>
          <w:b/>
          <w:bCs/>
          <w:color w:val="000000" w:themeColor="text1"/>
          <w14:textFill>
            <w14:solidFill>
              <w14:schemeClr w14:val="tx1"/>
            </w14:solidFill>
          </w14:textFill>
        </w:rPr>
        <w:t>畜禽养殖：现货表现不一</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12月下旬期现货反弹，表明市场预期疫情对需求影响最大的时候或已经过去，接下来短期即春节前市场供需及其现货走势有望带来市场预期的变动，这包括两个层面，其一是需求改善或者恢复的幅度，其二是供应已经及其有待释放的部分。除此之外，接下来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8454"/>
      <w:r>
        <w:rPr>
          <w:rFonts w:hint="eastAsia" w:ascii="楷体" w:hAnsi="楷体" w:eastAsia="楷体"/>
          <w:b/>
          <w:sz w:val="24"/>
          <w:szCs w:val="24"/>
        </w:rPr>
        <w:t>郑棉：油价带领国际商品大跌，美棉冲高回落。预计郑棉震荡整理，观望或看跌期权持有</w:t>
      </w:r>
      <w:bookmarkEnd w:id="42"/>
    </w:p>
    <w:p>
      <w:pPr>
        <w:ind w:left="630" w:leftChars="300"/>
        <w:rPr>
          <w:rFonts w:ascii="楷体" w:hAnsi="楷体" w:eastAsia="楷体"/>
          <w:sz w:val="24"/>
          <w:szCs w:val="24"/>
        </w:rPr>
      </w:pPr>
      <w:r>
        <w:rPr>
          <w:rFonts w:hint="eastAsia" w:ascii="楷体" w:hAnsi="楷体" w:eastAsia="楷体"/>
          <w:sz w:val="24"/>
          <w:szCs w:val="24"/>
        </w:rPr>
        <w:t>因2022年棉花是跌幅最大的品种，在新年度种植里和其他农产品相比比值较低，预估种植面积或将缩减，叠加国内消费好转预期，资金和散户对棉花行情颇为期待。根据钢联调研，上游对棉花看涨比例增加，但纺织企业的预期依然较为悲观。预计郑棉震荡整理，考虑下游持续放假至春节，新棉丰产，近期大量上市后套保需求增多，消费想恢复过往常态也需要较长时间，或难以逾越1.45万关口。当前销售进度滞后于去年同期，建议相关企业在行情较好时提前兑现部分利润。</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19667"/>
      <w:bookmarkStart w:id="45" w:name="_Toc72481108"/>
      <w:bookmarkStart w:id="46" w:name="_Toc12779"/>
      <w:bookmarkStart w:id="47" w:name="_Toc98426751"/>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2023年1月4日星期三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7F3074"/>
    <w:rsid w:val="258A2E5C"/>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7529</Words>
  <Characters>8116</Characters>
  <Lines>50</Lines>
  <Paragraphs>14</Paragraphs>
  <TotalTime>185</TotalTime>
  <ScaleCrop>false</ScaleCrop>
  <LinksUpToDate>false</LinksUpToDate>
  <CharactersWithSpaces>8148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2023-01-04T09:40:50Z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