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7" w:name="_GoBack"/>
          <w:bookmarkEnd w:id="47"/>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_Toc4552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_Toc10620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_Toc13255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_Toc5154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关注欧美经济衰退风险，贵金属价格维持涨势</w:t>
          </w:r>
          <w:r>
            <w:rPr>
              <w:bCs/>
            </w:rPr>
            <w:fldChar w:fldCharType="end"/>
          </w:r>
        </w:p>
        <w:p>
          <w:pPr>
            <w:pStyle w:val="5"/>
            <w:tabs>
              <w:tab w:val="right" w:leader="dot" w:pos="8306"/>
            </w:tabs>
          </w:pPr>
          <w:r>
            <w:rPr>
              <w:bCs/>
            </w:rPr>
            <w:fldChar w:fldCharType="begin"/>
          </w:r>
          <w:r>
            <w:rPr>
              <w:bCs/>
            </w:rPr>
            <w:instrText xml:space="preserve"> HYPERLINK \l _Toc23304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_Toc23907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供需双弱格局下，市场或向现实回归</w:t>
          </w:r>
          <w:r>
            <w:rPr>
              <w:bCs/>
            </w:rPr>
            <w:fldChar w:fldCharType="end"/>
          </w:r>
        </w:p>
        <w:p>
          <w:pPr>
            <w:pStyle w:val="6"/>
            <w:tabs>
              <w:tab w:val="right" w:leader="dot" w:pos="8306"/>
            </w:tabs>
          </w:pPr>
          <w:r>
            <w:rPr>
              <w:bCs/>
            </w:rPr>
            <w:fldChar w:fldCharType="begin"/>
          </w:r>
          <w:r>
            <w:rPr>
              <w:bCs/>
            </w:rPr>
            <w:instrText xml:space="preserve"> HYPERLINK \l _Toc25696 </w:instrText>
          </w:r>
          <w:r>
            <w:rPr>
              <w:bCs/>
            </w:rPr>
            <w:fldChar w:fldCharType="separate"/>
          </w:r>
          <w:r>
            <w:rPr>
              <w:rFonts w:hint="eastAsia" w:ascii="楷体" w:hAnsi="楷体" w:eastAsia="楷体"/>
              <w:szCs w:val="24"/>
            </w:rPr>
            <w:t>焦炭：第一轮提降落地，预计底部窄幅震荡运行</w:t>
          </w:r>
          <w:r>
            <w:rPr>
              <w:bCs/>
            </w:rPr>
            <w:fldChar w:fldCharType="end"/>
          </w:r>
        </w:p>
        <w:p>
          <w:pPr>
            <w:pStyle w:val="6"/>
            <w:tabs>
              <w:tab w:val="right" w:leader="dot" w:pos="8306"/>
            </w:tabs>
          </w:pPr>
          <w:r>
            <w:rPr>
              <w:bCs/>
            </w:rPr>
            <w:fldChar w:fldCharType="begin"/>
          </w:r>
          <w:r>
            <w:rPr>
              <w:bCs/>
            </w:rPr>
            <w:instrText xml:space="preserve"> HYPERLINK \l _Toc11179 </w:instrText>
          </w:r>
          <w:r>
            <w:rPr>
              <w:bCs/>
            </w:rPr>
            <w:fldChar w:fldCharType="separate"/>
          </w:r>
          <w:r>
            <w:rPr>
              <w:rFonts w:hint="eastAsia" w:ascii="楷体" w:hAnsi="楷体" w:eastAsia="楷体"/>
              <w:szCs w:val="24"/>
            </w:rPr>
            <w:t>焦煤：现货驱动转弱，关注底部支撑    </w:t>
          </w:r>
          <w:r>
            <w:rPr>
              <w:bCs/>
            </w:rPr>
            <w:fldChar w:fldCharType="end"/>
          </w:r>
        </w:p>
        <w:p>
          <w:pPr>
            <w:pStyle w:val="6"/>
            <w:tabs>
              <w:tab w:val="right" w:leader="dot" w:pos="8306"/>
            </w:tabs>
          </w:pPr>
          <w:r>
            <w:rPr>
              <w:bCs/>
            </w:rPr>
            <w:fldChar w:fldCharType="begin"/>
          </w:r>
          <w:r>
            <w:rPr>
              <w:bCs/>
            </w:rPr>
            <w:instrText xml:space="preserve"> HYPERLINK \l _Toc28080 </w:instrText>
          </w:r>
          <w:r>
            <w:rPr>
              <w:bCs/>
            </w:rPr>
            <w:fldChar w:fldCharType="separate"/>
          </w:r>
          <w:r>
            <w:rPr>
              <w:rFonts w:hint="eastAsia" w:ascii="楷体" w:hAnsi="楷体" w:eastAsia="楷体"/>
              <w:szCs w:val="24"/>
            </w:rPr>
            <w:t>铜：短期缺乏方向性，震荡为主</w:t>
          </w:r>
          <w:r>
            <w:rPr>
              <w:bCs/>
            </w:rPr>
            <w:fldChar w:fldCharType="end"/>
          </w:r>
        </w:p>
        <w:p>
          <w:pPr>
            <w:pStyle w:val="6"/>
            <w:tabs>
              <w:tab w:val="right" w:leader="dot" w:pos="8306"/>
            </w:tabs>
          </w:pPr>
          <w:r>
            <w:rPr>
              <w:bCs/>
            </w:rPr>
            <w:fldChar w:fldCharType="begin"/>
          </w:r>
          <w:r>
            <w:rPr>
              <w:bCs/>
            </w:rPr>
            <w:instrText xml:space="preserve"> HYPERLINK \l _Toc6624 </w:instrText>
          </w:r>
          <w:r>
            <w:rPr>
              <w:bCs/>
            </w:rPr>
            <w:fldChar w:fldCharType="separate"/>
          </w:r>
          <w:r>
            <w:rPr>
              <w:rFonts w:hint="eastAsia" w:ascii="楷体" w:hAnsi="楷体" w:eastAsia="楷体"/>
              <w:szCs w:val="24"/>
            </w:rPr>
            <w:t>铝：铝市供需双疲，短期价格维持震荡</w:t>
          </w:r>
          <w:r>
            <w:rPr>
              <w:bCs/>
            </w:rPr>
            <w:fldChar w:fldCharType="end"/>
          </w:r>
        </w:p>
        <w:p>
          <w:pPr>
            <w:pStyle w:val="6"/>
            <w:tabs>
              <w:tab w:val="right" w:leader="dot" w:pos="8306"/>
            </w:tabs>
          </w:pPr>
          <w:r>
            <w:rPr>
              <w:bCs/>
            </w:rPr>
            <w:fldChar w:fldCharType="begin"/>
          </w:r>
          <w:r>
            <w:rPr>
              <w:bCs/>
            </w:rPr>
            <w:instrText xml:space="preserve"> HYPERLINK \l _Toc20677 </w:instrText>
          </w:r>
          <w:r>
            <w:rPr>
              <w:bCs/>
            </w:rPr>
            <w:fldChar w:fldCharType="separate"/>
          </w:r>
          <w:r>
            <w:rPr>
              <w:rFonts w:hint="eastAsia" w:ascii="楷体" w:hAnsi="楷体" w:eastAsia="楷体"/>
              <w:szCs w:val="24"/>
            </w:rPr>
            <w:t>锌：锌市供修需弱，价格震荡为主</w:t>
          </w:r>
          <w:r>
            <w:rPr>
              <w:bCs/>
            </w:rPr>
            <w:fldChar w:fldCharType="end"/>
          </w:r>
        </w:p>
        <w:p>
          <w:pPr>
            <w:pStyle w:val="6"/>
            <w:tabs>
              <w:tab w:val="right" w:leader="dot" w:pos="8306"/>
            </w:tabs>
          </w:pPr>
          <w:r>
            <w:rPr>
              <w:bCs/>
            </w:rPr>
            <w:fldChar w:fldCharType="begin"/>
          </w:r>
          <w:r>
            <w:rPr>
              <w:bCs/>
            </w:rPr>
            <w:instrText xml:space="preserve"> HYPERLINK \l _Toc812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_Toc2662 </w:instrText>
          </w:r>
          <w:r>
            <w:rPr>
              <w:bCs/>
            </w:rPr>
            <w:fldChar w:fldCharType="separate"/>
          </w:r>
          <w:r>
            <w:rPr>
              <w:rFonts w:hint="eastAsia" w:ascii="楷体" w:hAnsi="楷体" w:eastAsia="楷体"/>
              <w:szCs w:val="24"/>
            </w:rPr>
            <w:t>不锈钢：上下驱动均不足，暂时观望</w:t>
          </w:r>
          <w:r>
            <w:rPr>
              <w:bCs/>
            </w:rPr>
            <w:fldChar w:fldCharType="end"/>
          </w:r>
        </w:p>
        <w:p>
          <w:pPr>
            <w:pStyle w:val="6"/>
            <w:tabs>
              <w:tab w:val="right" w:leader="dot" w:pos="8306"/>
            </w:tabs>
          </w:pPr>
          <w:r>
            <w:rPr>
              <w:bCs/>
            </w:rPr>
            <w:fldChar w:fldCharType="begin"/>
          </w:r>
          <w:r>
            <w:rPr>
              <w:bCs/>
            </w:rPr>
            <w:instrText xml:space="preserve"> HYPERLINK \l _Toc28247 </w:instrText>
          </w:r>
          <w:r>
            <w:rPr>
              <w:bCs/>
            </w:rPr>
            <w:fldChar w:fldCharType="separate"/>
          </w:r>
          <w:r>
            <w:rPr>
              <w:rFonts w:hint="eastAsia" w:ascii="楷体" w:hAnsi="楷体" w:eastAsia="楷体"/>
              <w:szCs w:val="24"/>
            </w:rPr>
            <w:t>工业硅：强预期与弱现实下资金博弈，建议以波段交易为主</w:t>
          </w:r>
          <w:r>
            <w:rPr>
              <w:bCs/>
            </w:rPr>
            <w:fldChar w:fldCharType="end"/>
          </w:r>
        </w:p>
        <w:p>
          <w:pPr>
            <w:pStyle w:val="5"/>
            <w:tabs>
              <w:tab w:val="right" w:leader="dot" w:pos="8306"/>
            </w:tabs>
          </w:pPr>
          <w:r>
            <w:rPr>
              <w:bCs/>
            </w:rPr>
            <w:fldChar w:fldCharType="begin"/>
          </w:r>
          <w:r>
            <w:rPr>
              <w:bCs/>
            </w:rPr>
            <w:instrText xml:space="preserve"> HYPERLINK \l _Toc5848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_Toc7367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_Toc22355 </w:instrText>
          </w:r>
          <w:r>
            <w:rPr>
              <w:bCs/>
            </w:rPr>
            <w:fldChar w:fldCharType="separate"/>
          </w:r>
          <w:r>
            <w:rPr>
              <w:rFonts w:ascii="楷体" w:hAnsi="楷体" w:eastAsia="楷体"/>
              <w:szCs w:val="24"/>
            </w:rPr>
            <w:t>PTA</w:t>
          </w:r>
          <w:r>
            <w:rPr>
              <w:rFonts w:hint="eastAsia" w:ascii="楷体" w:hAnsi="楷体" w:eastAsia="楷体"/>
              <w:szCs w:val="24"/>
            </w:rPr>
            <w:t>：下游即将迎来放假  TA面临下行风险</w:t>
          </w:r>
          <w:r>
            <w:rPr>
              <w:bCs/>
            </w:rPr>
            <w:fldChar w:fldCharType="end"/>
          </w:r>
        </w:p>
        <w:p>
          <w:pPr>
            <w:pStyle w:val="6"/>
            <w:tabs>
              <w:tab w:val="right" w:leader="dot" w:pos="8306"/>
            </w:tabs>
          </w:pPr>
          <w:r>
            <w:rPr>
              <w:bCs/>
            </w:rPr>
            <w:fldChar w:fldCharType="begin"/>
          </w:r>
          <w:r>
            <w:rPr>
              <w:bCs/>
            </w:rPr>
            <w:instrText xml:space="preserve"> HYPERLINK \l _Toc8857 </w:instrText>
          </w:r>
          <w:r>
            <w:rPr>
              <w:bCs/>
            </w:rPr>
            <w:fldChar w:fldCharType="separate"/>
          </w:r>
          <w:r>
            <w:rPr>
              <w:rFonts w:hint="eastAsia" w:ascii="楷体" w:hAnsi="楷体" w:eastAsia="楷体"/>
              <w:szCs w:val="24"/>
            </w:rPr>
            <w:t>聚烯烃：节后需求缺乏亮点，聚烯烃或延续窄幅整理</w:t>
          </w:r>
          <w:r>
            <w:rPr>
              <w:bCs/>
            </w:rPr>
            <w:fldChar w:fldCharType="end"/>
          </w:r>
        </w:p>
        <w:p>
          <w:pPr>
            <w:pStyle w:val="5"/>
            <w:tabs>
              <w:tab w:val="right" w:leader="dot" w:pos="8306"/>
            </w:tabs>
          </w:pPr>
          <w:r>
            <w:rPr>
              <w:bCs/>
            </w:rPr>
            <w:fldChar w:fldCharType="begin"/>
          </w:r>
          <w:r>
            <w:rPr>
              <w:bCs/>
            </w:rPr>
            <w:instrText xml:space="preserve"> HYPERLINK \l _Toc28729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_Toc22644 </w:instrText>
          </w:r>
          <w:r>
            <w:rPr>
              <w:bCs/>
            </w:rPr>
            <w:fldChar w:fldCharType="separate"/>
          </w:r>
          <w:r>
            <w:rPr>
              <w:rFonts w:hint="eastAsia" w:ascii="楷体" w:hAnsi="楷体" w:eastAsia="楷体"/>
              <w:szCs w:val="24"/>
            </w:rPr>
            <w:t>豆粕：短期维持高位震荡，短线低多操作</w:t>
          </w:r>
          <w:r>
            <w:rPr>
              <w:bCs/>
            </w:rPr>
            <w:fldChar w:fldCharType="end"/>
          </w:r>
        </w:p>
        <w:p>
          <w:pPr>
            <w:pStyle w:val="6"/>
            <w:tabs>
              <w:tab w:val="right" w:leader="dot" w:pos="8306"/>
            </w:tabs>
          </w:pPr>
          <w:r>
            <w:rPr>
              <w:bCs/>
            </w:rPr>
            <w:fldChar w:fldCharType="begin"/>
          </w:r>
          <w:r>
            <w:rPr>
              <w:bCs/>
            </w:rPr>
            <w:instrText xml:space="preserve"> HYPERLINK \l _Toc19996 </w:instrText>
          </w:r>
          <w:r>
            <w:rPr>
              <w:bCs/>
            </w:rPr>
            <w:fldChar w:fldCharType="separate"/>
          </w:r>
          <w:r>
            <w:rPr>
              <w:rFonts w:hint="eastAsia" w:ascii="楷体" w:hAnsi="楷体" w:eastAsia="楷体"/>
              <w:szCs w:val="24"/>
            </w:rPr>
            <w:t>油脂：上方空间预计有限，建议短线操作</w:t>
          </w:r>
          <w:r>
            <w:rPr>
              <w:bCs/>
            </w:rPr>
            <w:fldChar w:fldCharType="end"/>
          </w:r>
        </w:p>
        <w:p>
          <w:pPr>
            <w:pStyle w:val="6"/>
            <w:tabs>
              <w:tab w:val="right" w:leader="dot" w:pos="8306"/>
            </w:tabs>
          </w:pPr>
          <w:r>
            <w:rPr>
              <w:bCs/>
            </w:rPr>
            <w:fldChar w:fldCharType="begin"/>
          </w:r>
          <w:r>
            <w:rPr>
              <w:bCs/>
            </w:rPr>
            <w:instrText xml:space="preserve"> HYPERLINK \l _Toc15623 </w:instrText>
          </w:r>
          <w:r>
            <w:rPr>
              <w:bCs/>
            </w:rPr>
            <w:fldChar w:fldCharType="separate"/>
          </w:r>
          <w:r>
            <w:rPr>
              <w:rFonts w:hint="eastAsia" w:ascii="楷体" w:hAnsi="楷体" w:eastAsia="楷体"/>
              <w:bCs/>
            </w:rPr>
            <w:t>玉米与淀粉：</w:t>
          </w:r>
          <w:r>
            <w:rPr>
              <w:rFonts w:hint="eastAsia" w:ascii="楷体" w:hAnsi="楷体" w:eastAsia="楷体"/>
            </w:rPr>
            <w:t>重点留意外盘期价走势</w:t>
          </w:r>
          <w:r>
            <w:rPr>
              <w:bCs/>
            </w:rPr>
            <w:fldChar w:fldCharType="end"/>
          </w:r>
        </w:p>
        <w:p>
          <w:pPr>
            <w:pStyle w:val="6"/>
            <w:tabs>
              <w:tab w:val="right" w:leader="dot" w:pos="8306"/>
            </w:tabs>
          </w:pPr>
          <w:r>
            <w:rPr>
              <w:bCs/>
            </w:rPr>
            <w:fldChar w:fldCharType="begin"/>
          </w:r>
          <w:r>
            <w:rPr>
              <w:bCs/>
            </w:rPr>
            <w:instrText xml:space="preserve"> HYPERLINK \l _Toc12239 </w:instrText>
          </w:r>
          <w:r>
            <w:rPr>
              <w:bCs/>
            </w:rPr>
            <w:fldChar w:fldCharType="separate"/>
          </w:r>
          <w:r>
            <w:rPr>
              <w:rFonts w:hint="eastAsia" w:ascii="楷体" w:hAnsi="楷体" w:eastAsia="楷体"/>
              <w:bCs/>
            </w:rPr>
            <w:t>畜禽养殖：等待现货回暖</w:t>
          </w:r>
          <w:r>
            <w:rPr>
              <w:bCs/>
            </w:rPr>
            <w:fldChar w:fldCharType="end"/>
          </w:r>
        </w:p>
        <w:p>
          <w:pPr>
            <w:pStyle w:val="6"/>
            <w:tabs>
              <w:tab w:val="right" w:leader="dot" w:pos="8306"/>
            </w:tabs>
          </w:pPr>
          <w:r>
            <w:rPr>
              <w:bCs/>
            </w:rPr>
            <w:fldChar w:fldCharType="begin"/>
          </w:r>
          <w:r>
            <w:rPr>
              <w:bCs/>
            </w:rPr>
            <w:instrText xml:space="preserve"> HYPERLINK \l _Toc19273 </w:instrText>
          </w:r>
          <w:r>
            <w:rPr>
              <w:bCs/>
            </w:rPr>
            <w:fldChar w:fldCharType="separate"/>
          </w:r>
          <w:r>
            <w:rPr>
              <w:rFonts w:hint="eastAsia" w:ascii="楷体" w:hAnsi="楷体" w:eastAsia="楷体"/>
              <w:szCs w:val="24"/>
            </w:rPr>
            <w:t>郑棉：节日期间美棉承压震荡。预计节后郑棉平稳开盘后偏强震荡，观望或看跌期权持有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4552"/>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062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存量博弈下资金或继续高低切，对于前期涨幅较大的消费风格来说存在逢高获利了结风险，短期维持中小盘相对占优观点。后续关注基本面修复弹性、稳增长政策落地力度及微观流动性改善等因素。</w:t>
      </w:r>
    </w:p>
    <w:p>
      <w:pPr>
        <w:pBdr>
          <w:top w:val="single" w:color="auto" w:sz="4" w:space="0"/>
        </w:pBdr>
        <w:outlineLvl w:val="0"/>
        <w:rPr>
          <w:rFonts w:ascii="Times New Roman" w:hAnsi="Times New Roman" w:eastAsia="楷体"/>
          <w:b/>
          <w:color w:val="823C0B"/>
        </w:rPr>
      </w:pPr>
      <w:bookmarkStart w:id="7" w:name="_Toc13255"/>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5154"/>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关注欧美经济衰退风险，贵金属价格维持涨势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截止12月30日收盘，外盘COMEX黄金期货主力月涨2.65%，报1830.1美元/盎司；COMEX白银期货主力月涨7.97%，报24.18美元/盎司；内盘沪金主力12月30日下午收盘报410.72元/克，月涨1.13%；沪银主力报5363元/千克，月涨8.96%。市场对于2023年美联储偏向鸽派的预期持续发酵，欧美股市普跌亦对避险情绪形成提振，贵金属价格大幅反弹。进入2023年后重点关注欧美等海外主要经济体的经济衰退风险，以及全球金融环境收缩背后可能隐含的流动性紧缺风险。在美国通胀回落拐点确认、经济增长进一步放缓、衰退风险隐现的宏观背景下，叠加货币政策边际转向开启的政策环境，贵金属价格或重获支撑，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20891"/>
      <w:bookmarkStart w:id="10" w:name="_Toc3096"/>
      <w:bookmarkStart w:id="11" w:name="金属"/>
      <w:bookmarkStart w:id="12" w:name="_Toc23304"/>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2390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供需双弱格局下，市场或向现实回归</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后现金流的改善或成为下游终端和贸易商补库的主要支撑，补库力度决定高点。强预期弱现实格局下，节前交易或转向弱现实，成本支撑边际转弱下，调整幅度视原料而定，需求尚未进入验真阶段，原料整体供应仍偏紧，成材矛盾仍在累积，现货价格承压运行，但大跌驱动并不明显，盘面或调整保持合理的正基差。震荡向下调整，可轻仓逢高短空，预计运行区间（3850，4200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5696"/>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第一轮提降落地，预计底部窄幅震荡运行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期间。部分钢厂对焦炭第一轮提降落地，随着焦化复产及冬储进入尾声，焦炭的边际需求走弱。短期盘面提前调整下铁水幅度较大，关注（2600,2630）的区间支撑，预计或底部窄幅震荡运行，后续是否加速仍需视钢材情况而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1179"/>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现货驱动转弱，关注底部支撑    </w:t>
      </w:r>
      <w:bookmarkEnd w:id="20"/>
    </w:p>
    <w:p>
      <w:pPr>
        <w:ind w:left="630" w:leftChars="300"/>
        <w:rPr>
          <w:rFonts w:ascii="楷体" w:hAnsi="楷体" w:eastAsia="楷体"/>
          <w:bCs/>
          <w:sz w:val="24"/>
          <w:szCs w:val="24"/>
        </w:rPr>
      </w:pPr>
      <w:r>
        <w:rPr>
          <w:rFonts w:hint="eastAsia" w:ascii="楷体" w:hAnsi="楷体" w:eastAsia="楷体"/>
          <w:sz w:val="24"/>
          <w:szCs w:val="24"/>
        </w:rPr>
        <w:t>下游第一轮提降落地，焦化利润再次收缩，随下游冬储进入尾声，焦煤或转入按需采购，现货承压运行，盘面提前反应下或偏弱震荡运行，关注支撑区间（1750,1820），后续是否加速仍需视钢材情况而定。</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8080"/>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短期缺乏方向性，震荡为主</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(1)库存：12月30日，SHFE周库存69268吨，较上周五增14699吨；LME 仓单库存88925吨，较上周五增7450吨。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(2)精废价差：12月30日，Mysteel精废价差1879，收窄48。目前价差在合理价差1361之上。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防疫政策进一步放宽，地产利好政策逐步兑现，整体市场情绪表现乐观。供需面，进入消费淡季，市场需求维持弱势，同时，国内的产量和进口都难以在短期内出现大幅回升，明显的累库时间或将推迟至明年。国内库存再度去化，现货偏紧对价格仍然形成支撑。价格目前跟随宏观情绪波动，短期缺乏方向性，参考65000-67500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6624"/>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铝市供需双疲，短期价格维持震荡</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环境仍处强加息周期，市场预期今年或进入衰退，宏观因子影响偏弱。印尼表示从23年中旬开始禁止铝土矿出口，铝价获得供应缺口预期支撑。国内多项利好政策出台，实际政策投放效果仍待市场检验，多地疫情蔓延对经济消费有消极影响，供应端持续扰动，贵州地区受限电影响二次减产，进入消费淡季及临近过节，下游需求走向更为疲弱，低库存现状仍存，价格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0677"/>
      <w:r>
        <w:rPr>
          <w:rFonts w:hint="eastAsia" w:ascii="楷体" w:hAnsi="楷体" w:eastAsia="楷体"/>
          <w:b/>
          <w:color w:val="000000" w:themeColor="text1"/>
          <w:sz w:val="24"/>
          <w:szCs w:val="24"/>
          <w14:textFill>
            <w14:solidFill>
              <w14:schemeClr w14:val="tx1"/>
            </w14:solidFill>
          </w14:textFill>
        </w:rPr>
        <w:t>锌：锌市供修需弱，价格震荡为主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30日沪锌午后收盘价格23765元/吨，跌幅0.31%，上海有色网0#锌锭（Zn99.995）现货报价23990元/吨，较上一统计日报价下跌190元/吨。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处“高通胀”叠加“强加息”背景之下，全球经济衰退风险仍存，国内将新冠肺炎更名并实施“乙类乙管”，疫情对市场冲击走弱。国内锌矿端表现宽松，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锌价重心下移，短期价格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812"/>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防疫政策进一步放宽，地产利好政策逐步兑现，整体市场情绪表现乐观。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662"/>
      <w:r>
        <w:rPr>
          <w:rFonts w:hint="eastAsia" w:ascii="楷体" w:hAnsi="楷体" w:eastAsia="楷体"/>
          <w:b/>
          <w:color w:val="000000" w:themeColor="text1"/>
          <w:sz w:val="24"/>
          <w:szCs w:val="24"/>
          <w14:textFill>
            <w14:solidFill>
              <w14:schemeClr w14:val="tx1"/>
            </w14:solidFill>
          </w14:textFill>
        </w:rPr>
        <w:t>不锈钢：上下驱动均不足，暂时观望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增加，短期价格仍将承压运行。但向下亦存在较强成本支撑，下跌空间亦不大。当前价格跟随宏观情绪波动，短期缺乏方向性，预计宽幅震荡为主，建议寻找上下安全边际参与区间交易，参考16500-17800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824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强预期与弱现实下资金博弈，建议以波段交易为主</w:t>
      </w:r>
      <w:bookmarkEnd w:id="30"/>
    </w:p>
    <w:p>
      <w:pPr>
        <w:ind w:left="630" w:leftChars="300"/>
        <w:rPr>
          <w:rFonts w:ascii="楷体" w:hAnsi="楷体" w:eastAsia="楷体"/>
          <w:sz w:val="24"/>
          <w:szCs w:val="24"/>
        </w:rPr>
      </w:pPr>
      <w:r>
        <w:rPr>
          <w:rFonts w:hint="eastAsia" w:ascii="楷体" w:hAnsi="楷体" w:eastAsia="楷体"/>
          <w:sz w:val="24"/>
          <w:szCs w:val="24"/>
        </w:rPr>
        <w:t>当前供需格局整体偏宽松，现货市场整体偏弱运行对硅价大幅上涨存在压制作用，但国内经济修复预期以及枯水期高成本均对市场有支撑。短期市场资金将在强预期与弱现实之间博弈，预计硅价将以区间震荡为主，操作建议以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5848"/>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736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近期受大风天气影响，船只入罐出现明显延误。12.29华东主港地区MEG港口库存约90.2万吨附近，环比上期下降7.8万吨。开工情况，截至12月29日，中国大陆地区乙二醇整体开工负荷在62.87%（+3.73%），其中煤制乙二醇开工负荷在49%（+7.37%），乙二醇负荷大幅提升。从聚酯需求端来看，本周期聚酯装置检修依然较多，长丝继续新增检修，短纤局部调整，瓶片检修装置有陆续恢复。截至12.29初步核算聚酯负荷在66％（-2%)。本周期江浙终端开工继续下降，截至12.29，江浙加弹开工率28%（-23%）、江浙织机开工率26%（-12%）、浙江印染开工率38%（-3%）。综合来看，受天气因素影响乙二醇卸货延迟，显性库存堆积推迟。但是供给端开工率大幅回升及MEG新装置逐步投产，供应环节仍在逐步增量中。月底终端放假潮来临，目前加弹、织造、印染基本都处于收尾状态，染厂已经多停止进料，1月10日前多将结束生产。乙二醇供需矛盾依旧严峻走势承压。</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35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TA面临下行风险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本周期台化120万吨短停，亚东75降负至7成，逸盛新材料720万吨装置恢复至9成，英力士110万吨重启暂时推后，至12.29PTA负荷调整至62%（+2%）。 新装置方面，12月PTA两套新装置终于迎来投产消息，东营威联250万吨装置其中一条生产线12月14日附近出合格品，嘉通能源250万吨PTA装置其中一条线12月24日附近出合格品。本周聚酯装置检修依然较多，长丝继续新增检修，短纤局部调整，瓶片检修装置有陆续恢复。截至12.29初步核算聚酯负荷在66％（-2%）。终端方面，本周期江浙终端开工继续下降，江浙终端工厂原料备货年后使用，前加弹、织造、印染基本都处于收尾状态，染厂已经多停止进料，1月10日前多将结束生产。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强预期带来的涨幅已逐步兑现，伴随成本端支撑走弱及现实端转弱的矛盾，TA面临回调风险。</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8857"/>
      <w:r>
        <w:rPr>
          <w:rFonts w:hint="eastAsia" w:ascii="楷体" w:hAnsi="楷体" w:eastAsia="楷体"/>
          <w:b/>
          <w:color w:val="000000" w:themeColor="text1"/>
          <w:sz w:val="24"/>
          <w:szCs w:val="24"/>
          <w14:textFill>
            <w14:solidFill>
              <w14:schemeClr w14:val="tx1"/>
            </w14:solidFill>
          </w14:textFill>
        </w:rPr>
        <w:t>聚烯烃：节后需求缺乏亮点，聚烯烃或延续窄幅整理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因全球新年假期恰逢周末，本周一进行调休， 国际原油期货休市一天、无结算价，目前油制PE利润大约为-264.97元/吨，油制PP利润大约为-1499.86元/吨，相较年度偏低位置已有较大恢复；需求方面，PE下游方面，棚膜需求持续减弱，地膜订单跟进缓慢，农膜厂家仍略显谨慎，坚持刚需采购。PP方面，BOPP整体成交一般，BOPP企业未交付订单多数在5-15天，部分至1月中旬。综合来看，节前市场表现平淡，下游受到疫情影响，备货不及预期，开工负荷下滑，节后归来，需求端缺乏亮点，叠加工厂陆续放假，订单不足，且场内暂无新增检修装置，供应端存一定压力，预计今日聚烯烃窄幅偏弱波动。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28729"/>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2264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短期维持高位震荡，短线低多操作</w:t>
      </w:r>
      <w:bookmarkEnd w:id="37"/>
    </w:p>
    <w:p>
      <w:pPr>
        <w:ind w:left="630" w:leftChars="300"/>
        <w:rPr>
          <w:rFonts w:ascii="楷体" w:hAnsi="楷体" w:eastAsia="楷体"/>
          <w:sz w:val="24"/>
          <w:szCs w:val="24"/>
        </w:rPr>
      </w:pPr>
      <w:r>
        <w:rPr>
          <w:rFonts w:hint="eastAsia" w:ascii="楷体" w:hAnsi="楷体" w:eastAsia="楷体"/>
          <w:sz w:val="24"/>
          <w:szCs w:val="24"/>
        </w:rPr>
        <w:t>外盘方面，CBOT大豆依然维持高位盘整，因南美天气升水以及大豆出口强劲构成支撑。虽阿根廷有降雨预期，但当前受干旱天气影响种植进度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短期进入交割月资金已逐渐转至远月合约，在供应预期增加下延续近强远弱格局，若未明显利空行情下，预计豆粕仍将维持高位震荡，短期建议低多参与；中长期维持供给恢复预期，美豆及豆粕价格重心下移观点不变，关注南美种植情况。</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999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上方空间预计有限，建议短线操作</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及外盘油脂在利多消息支撑下，短期走势偏强，对内盘油脂构成支撑。棕榈油支撑主要来自产地减产周期以及印尼出口和生柴政策端的利好。数据显示12月1-25日马棕产量预计环比减少4.35%，出口环比减少2.1%，12月马棕库存预计进一步下滑。但出口放缓仍限制马盘反弹幅度。而印尼将在23年2月开始强制实施B35计划，同时DMO出口配比收紧至1：6。国内棕榈油供应较宽松，需求方面在冬季消费淡季下增量有限，棕榈油库存当前在供过于求下也进一步创历史新高，随着12月份进口下滑累库速度放缓，但短期供应压力较大。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1562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重点留意外盘期价走势</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2019年情形来看，市场对节后余粮压力或仍存在担忧，再加上目前更远月合约即7-9-11月依然贴水，或抑制中下游补库积极性，这意味着国内玉米市场仍处于被动去库存阶段。而参考去年情况来看，新作上市压力释放的被动去库存或已经结束，接下来有望进入新一轮主动补库存阶段。综合来看，考虑到下游存在节前备货需求，而目前深加工企业与南北方港口库存均处于低位，短期国内期现货有望延续反弹态势，但后期特别是春节前需要留意再度回落的可能性，1月整体而言，需要密切关注外盘美玉米期价走势。中期暂维持中性，短期谨慎看多，建议谨慎投资者观望为宜，激进投资者可短线参与。</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走扩符合我们之前报告的预期，主要源于成本端、供需端和副产品端均有望支持价差走扩，成本端来看，国内玉米有可能进入主动补库存阶段，除此之外，华北产区售粮进度相对快于去年同期，考虑到今年小麦不支持饲用替代，再加上东北玉米流入窗口长期关闭，后期华北-东北玉米价差有望走扩；供需端来看，11月以来需求弱势主要源于疫情因素的影响，后期或趋于恢复；副产品端来看，近期加速下跌，带动淀粉现货加工利润转为亏损，有望通过行业开机率带动供应收缩，从而促进行业供需改善。在这种情况下，我们建议前期淀粉-玉米价差走扩套利（如有的话）可以考虑继续持有，重要变数或在于成本端，特别春节前市场会否转而担心节后仍有余粮压力。</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2239"/>
      <w:r>
        <w:rPr>
          <w:rFonts w:hint="eastAsia" w:ascii="楷体" w:hAnsi="楷体" w:eastAsia="楷体"/>
          <w:b/>
          <w:bCs/>
          <w:color w:val="000000" w:themeColor="text1"/>
          <w14:textFill>
            <w14:solidFill>
              <w14:schemeClr w14:val="tx1"/>
            </w14:solidFill>
          </w14:textFill>
        </w:rPr>
        <w:t>畜禽养殖：等待现货回暖</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12月下旬期现货反弹，表明市场预期疫情对需求影响最大的时候或已经过去，接下来短期即春节前市场供需及其现货走势有望带来市场预期的变动，这包括两个层面，其一是需求改善或者恢复的幅度，其二是供应已经及其有待释放的部分。除此之外，接下来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19273"/>
      <w:r>
        <w:rPr>
          <w:rFonts w:hint="eastAsia" w:ascii="楷体" w:hAnsi="楷体" w:eastAsia="楷体"/>
          <w:b/>
          <w:sz w:val="24"/>
          <w:szCs w:val="24"/>
        </w:rPr>
        <w:t>郑棉：节日期间美棉承压震荡。预计节后郑棉平稳开盘后偏强震荡，观望或看跌期权持有</w:t>
      </w:r>
      <w:bookmarkEnd w:id="41"/>
    </w:p>
    <w:p>
      <w:pPr>
        <w:ind w:left="630" w:leftChars="300"/>
        <w:rPr>
          <w:rFonts w:ascii="楷体" w:hAnsi="楷体" w:eastAsia="楷体"/>
          <w:sz w:val="24"/>
          <w:szCs w:val="24"/>
        </w:rPr>
      </w:pPr>
      <w:r>
        <w:rPr>
          <w:rFonts w:hint="eastAsia" w:ascii="楷体" w:hAnsi="楷体" w:eastAsia="楷体"/>
          <w:sz w:val="24"/>
          <w:szCs w:val="24"/>
        </w:rPr>
        <w:t>当前市场情绪偏乐观，在疫情管控措施不断放宽，国内市场即将向国际打开的时候，对未来良好的预期使得商品整体维持偏强走势，市场对新年行情颇为期待。下游纱线、布料服装跃跃待涨，但终端接受度似乎不高。部分企业订单情况好转，据传部分订单可至1月。但普遍还是以小单、散单居多，缺乏大单。因各省疫情峰值的来临，纺织企业员工到岗率和开机率始终维持低迷，纺织企业大规模原料补库基本已结束，继续高价补库的意愿较低。多数企业都已放假，直至春节。在此期间现货价格难有大幅波动，因得不到多数现货企业的反馈。考虑节假日影响和01合约即将进入交割月，为防止资金异动，产业可考虑持有看跌期权以规避节假日期间风险。</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72481108"/>
      <w:bookmarkStart w:id="44" w:name="_Toc12779"/>
      <w:bookmarkStart w:id="45" w:name="_Toc98426751"/>
      <w:bookmarkStart w:id="46" w:name="_Toc71212556"/>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2023年1月3日星期二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7F3074"/>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6858</Words>
  <Characters>7363</Characters>
  <Lines>50</Lines>
  <Paragraphs>14</Paragraphs>
  <TotalTime>46</TotalTime>
  <ScaleCrop>false</ScaleCrop>
  <LinksUpToDate>false</LinksUpToDate>
  <CharactersWithSpaces>7391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2023-01-03T06:46:28Z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