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47" w:name="_GoBack"/>
          <w:bookmarkEnd w:id="47"/>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_Toc4552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_Toc10620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IC多单持有</w:t>
          </w:r>
          <w:r>
            <w:rPr>
              <w:bCs/>
            </w:rPr>
            <w:fldChar w:fldCharType="end"/>
          </w:r>
        </w:p>
        <w:p>
          <w:pPr>
            <w:pStyle w:val="5"/>
            <w:tabs>
              <w:tab w:val="right" w:leader="dot" w:pos="8306"/>
            </w:tabs>
          </w:pPr>
          <w:r>
            <w:rPr>
              <w:bCs/>
            </w:rPr>
            <w:fldChar w:fldCharType="begin"/>
          </w:r>
          <w:r>
            <w:rPr>
              <w:bCs/>
            </w:rPr>
            <w:instrText xml:space="preserve"> HYPERLINK \l _Toc13255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_Toc5154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关注欧美经济衰退风险，贵金属价格维持涨势</w:t>
          </w:r>
          <w:r>
            <w:rPr>
              <w:bCs/>
            </w:rPr>
            <w:fldChar w:fldCharType="end"/>
          </w:r>
        </w:p>
        <w:p>
          <w:pPr>
            <w:pStyle w:val="5"/>
            <w:tabs>
              <w:tab w:val="right" w:leader="dot" w:pos="8306"/>
            </w:tabs>
          </w:pPr>
          <w:r>
            <w:rPr>
              <w:bCs/>
            </w:rPr>
            <w:fldChar w:fldCharType="begin"/>
          </w:r>
          <w:r>
            <w:rPr>
              <w:bCs/>
            </w:rPr>
            <w:instrText xml:space="preserve"> HYPERLINK \l _Toc23304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_Toc23907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供需双弱格局下，市场或向现实回归</w:t>
          </w:r>
          <w:r>
            <w:rPr>
              <w:bCs/>
            </w:rPr>
            <w:fldChar w:fldCharType="end"/>
          </w:r>
        </w:p>
        <w:p>
          <w:pPr>
            <w:pStyle w:val="6"/>
            <w:tabs>
              <w:tab w:val="right" w:leader="dot" w:pos="8306"/>
            </w:tabs>
          </w:pPr>
          <w:r>
            <w:rPr>
              <w:bCs/>
            </w:rPr>
            <w:fldChar w:fldCharType="begin"/>
          </w:r>
          <w:r>
            <w:rPr>
              <w:bCs/>
            </w:rPr>
            <w:instrText xml:space="preserve"> HYPERLINK \l _Toc25696 </w:instrText>
          </w:r>
          <w:r>
            <w:rPr>
              <w:bCs/>
            </w:rPr>
            <w:fldChar w:fldCharType="separate"/>
          </w:r>
          <w:r>
            <w:rPr>
              <w:rFonts w:hint="eastAsia" w:ascii="楷体" w:hAnsi="楷体" w:eastAsia="楷体"/>
              <w:szCs w:val="24"/>
            </w:rPr>
            <w:t>焦炭：第一轮提降落地，预计底部窄幅震荡运行</w:t>
          </w:r>
          <w:r>
            <w:rPr>
              <w:bCs/>
            </w:rPr>
            <w:fldChar w:fldCharType="end"/>
          </w:r>
        </w:p>
        <w:p>
          <w:pPr>
            <w:pStyle w:val="6"/>
            <w:tabs>
              <w:tab w:val="right" w:leader="dot" w:pos="8306"/>
            </w:tabs>
          </w:pPr>
          <w:r>
            <w:rPr>
              <w:bCs/>
            </w:rPr>
            <w:fldChar w:fldCharType="begin"/>
          </w:r>
          <w:r>
            <w:rPr>
              <w:bCs/>
            </w:rPr>
            <w:instrText xml:space="preserve"> HYPERLINK \l _Toc11179 </w:instrText>
          </w:r>
          <w:r>
            <w:rPr>
              <w:bCs/>
            </w:rPr>
            <w:fldChar w:fldCharType="separate"/>
          </w:r>
          <w:r>
            <w:rPr>
              <w:rFonts w:hint="eastAsia" w:ascii="楷体" w:hAnsi="楷体" w:eastAsia="楷体"/>
              <w:szCs w:val="24"/>
            </w:rPr>
            <w:t>焦煤：现货驱动转弱，关注底部支撑    </w:t>
          </w:r>
          <w:r>
            <w:rPr>
              <w:bCs/>
            </w:rPr>
            <w:fldChar w:fldCharType="end"/>
          </w:r>
        </w:p>
        <w:p>
          <w:pPr>
            <w:pStyle w:val="6"/>
            <w:tabs>
              <w:tab w:val="right" w:leader="dot" w:pos="8306"/>
            </w:tabs>
          </w:pPr>
          <w:r>
            <w:rPr>
              <w:bCs/>
            </w:rPr>
            <w:fldChar w:fldCharType="begin"/>
          </w:r>
          <w:r>
            <w:rPr>
              <w:bCs/>
            </w:rPr>
            <w:instrText xml:space="preserve"> HYPERLINK \l _Toc28080 </w:instrText>
          </w:r>
          <w:r>
            <w:rPr>
              <w:bCs/>
            </w:rPr>
            <w:fldChar w:fldCharType="separate"/>
          </w:r>
          <w:r>
            <w:rPr>
              <w:rFonts w:hint="eastAsia" w:ascii="楷体" w:hAnsi="楷体" w:eastAsia="楷体"/>
              <w:szCs w:val="24"/>
            </w:rPr>
            <w:t>铜：短期缺乏方向性，震荡为主</w:t>
          </w:r>
          <w:r>
            <w:rPr>
              <w:bCs/>
            </w:rPr>
            <w:fldChar w:fldCharType="end"/>
          </w:r>
        </w:p>
        <w:p>
          <w:pPr>
            <w:pStyle w:val="6"/>
            <w:tabs>
              <w:tab w:val="right" w:leader="dot" w:pos="8306"/>
            </w:tabs>
          </w:pPr>
          <w:r>
            <w:rPr>
              <w:bCs/>
            </w:rPr>
            <w:fldChar w:fldCharType="begin"/>
          </w:r>
          <w:r>
            <w:rPr>
              <w:bCs/>
            </w:rPr>
            <w:instrText xml:space="preserve"> HYPERLINK \l _Toc6624 </w:instrText>
          </w:r>
          <w:r>
            <w:rPr>
              <w:bCs/>
            </w:rPr>
            <w:fldChar w:fldCharType="separate"/>
          </w:r>
          <w:r>
            <w:rPr>
              <w:rFonts w:hint="eastAsia" w:ascii="楷体" w:hAnsi="楷体" w:eastAsia="楷体"/>
              <w:szCs w:val="24"/>
            </w:rPr>
            <w:t>铝：铝市供需双疲，短期价格维持震荡</w:t>
          </w:r>
          <w:r>
            <w:rPr>
              <w:bCs/>
            </w:rPr>
            <w:fldChar w:fldCharType="end"/>
          </w:r>
        </w:p>
        <w:p>
          <w:pPr>
            <w:pStyle w:val="6"/>
            <w:tabs>
              <w:tab w:val="right" w:leader="dot" w:pos="8306"/>
            </w:tabs>
          </w:pPr>
          <w:r>
            <w:rPr>
              <w:bCs/>
            </w:rPr>
            <w:fldChar w:fldCharType="begin"/>
          </w:r>
          <w:r>
            <w:rPr>
              <w:bCs/>
            </w:rPr>
            <w:instrText xml:space="preserve"> HYPERLINK \l _Toc20677 </w:instrText>
          </w:r>
          <w:r>
            <w:rPr>
              <w:bCs/>
            </w:rPr>
            <w:fldChar w:fldCharType="separate"/>
          </w:r>
          <w:r>
            <w:rPr>
              <w:rFonts w:hint="eastAsia" w:ascii="楷体" w:hAnsi="楷体" w:eastAsia="楷体"/>
              <w:szCs w:val="24"/>
            </w:rPr>
            <w:t>锌：锌市供修需弱，价格震荡为主</w:t>
          </w:r>
          <w:r>
            <w:rPr>
              <w:bCs/>
            </w:rPr>
            <w:fldChar w:fldCharType="end"/>
          </w:r>
        </w:p>
        <w:p>
          <w:pPr>
            <w:pStyle w:val="6"/>
            <w:tabs>
              <w:tab w:val="right" w:leader="dot" w:pos="8306"/>
            </w:tabs>
          </w:pPr>
          <w:r>
            <w:rPr>
              <w:bCs/>
            </w:rPr>
            <w:fldChar w:fldCharType="begin"/>
          </w:r>
          <w:r>
            <w:rPr>
              <w:bCs/>
            </w:rPr>
            <w:instrText xml:space="preserve"> HYPERLINK \l _Toc812 </w:instrText>
          </w:r>
          <w:r>
            <w:rPr>
              <w:bCs/>
            </w:rPr>
            <w:fldChar w:fldCharType="separate"/>
          </w:r>
          <w:r>
            <w:rPr>
              <w:rFonts w:hint="eastAsia" w:ascii="楷体" w:hAnsi="楷体" w:eastAsia="楷体"/>
              <w:szCs w:val="24"/>
            </w:rPr>
            <w:t>镍：维持高位运行，观望为主</w:t>
          </w:r>
          <w:r>
            <w:rPr>
              <w:bCs/>
            </w:rPr>
            <w:fldChar w:fldCharType="end"/>
          </w:r>
        </w:p>
        <w:p>
          <w:pPr>
            <w:pStyle w:val="6"/>
            <w:tabs>
              <w:tab w:val="right" w:leader="dot" w:pos="8306"/>
            </w:tabs>
          </w:pPr>
          <w:r>
            <w:rPr>
              <w:bCs/>
            </w:rPr>
            <w:fldChar w:fldCharType="begin"/>
          </w:r>
          <w:r>
            <w:rPr>
              <w:bCs/>
            </w:rPr>
            <w:instrText xml:space="preserve"> HYPERLINK \l _Toc2662 </w:instrText>
          </w:r>
          <w:r>
            <w:rPr>
              <w:bCs/>
            </w:rPr>
            <w:fldChar w:fldCharType="separate"/>
          </w:r>
          <w:r>
            <w:rPr>
              <w:rFonts w:hint="eastAsia" w:ascii="楷体" w:hAnsi="楷体" w:eastAsia="楷体"/>
              <w:szCs w:val="24"/>
            </w:rPr>
            <w:t>不锈钢：上下驱动均不足，暂时观望</w:t>
          </w:r>
          <w:r>
            <w:rPr>
              <w:bCs/>
            </w:rPr>
            <w:fldChar w:fldCharType="end"/>
          </w:r>
        </w:p>
        <w:p>
          <w:pPr>
            <w:pStyle w:val="6"/>
            <w:tabs>
              <w:tab w:val="right" w:leader="dot" w:pos="8306"/>
            </w:tabs>
          </w:pPr>
          <w:r>
            <w:rPr>
              <w:bCs/>
            </w:rPr>
            <w:fldChar w:fldCharType="begin"/>
          </w:r>
          <w:r>
            <w:rPr>
              <w:bCs/>
            </w:rPr>
            <w:instrText xml:space="preserve"> HYPERLINK \l _Toc28247 </w:instrText>
          </w:r>
          <w:r>
            <w:rPr>
              <w:bCs/>
            </w:rPr>
            <w:fldChar w:fldCharType="separate"/>
          </w:r>
          <w:r>
            <w:rPr>
              <w:rFonts w:hint="eastAsia" w:ascii="楷体" w:hAnsi="楷体" w:eastAsia="楷体"/>
              <w:szCs w:val="24"/>
            </w:rPr>
            <w:t>工业硅：强预期与弱现实下资金博弈，建议以波段交易为主</w:t>
          </w:r>
          <w:r>
            <w:rPr>
              <w:bCs/>
            </w:rPr>
            <w:fldChar w:fldCharType="end"/>
          </w:r>
        </w:p>
        <w:p>
          <w:pPr>
            <w:pStyle w:val="5"/>
            <w:tabs>
              <w:tab w:val="right" w:leader="dot" w:pos="8306"/>
            </w:tabs>
          </w:pPr>
          <w:r>
            <w:rPr>
              <w:bCs/>
            </w:rPr>
            <w:fldChar w:fldCharType="begin"/>
          </w:r>
          <w:r>
            <w:rPr>
              <w:bCs/>
            </w:rPr>
            <w:instrText xml:space="preserve"> HYPERLINK \l _Toc5848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_Toc7367 </w:instrText>
          </w:r>
          <w:r>
            <w:rPr>
              <w:bCs/>
            </w:rPr>
            <w:fldChar w:fldCharType="separate"/>
          </w:r>
          <w:r>
            <w:rPr>
              <w:rFonts w:hint="eastAsia" w:ascii="Times New Roman" w:hAnsi="Times New Roman" w:eastAsia="楷体"/>
              <w:szCs w:val="24"/>
            </w:rPr>
            <w:t>乙二醇：供增需减 乙二醇走势承压</w:t>
          </w:r>
          <w:r>
            <w:rPr>
              <w:bCs/>
            </w:rPr>
            <w:fldChar w:fldCharType="end"/>
          </w:r>
        </w:p>
        <w:p>
          <w:pPr>
            <w:pStyle w:val="6"/>
            <w:tabs>
              <w:tab w:val="right" w:leader="dot" w:pos="8306"/>
            </w:tabs>
          </w:pPr>
          <w:r>
            <w:rPr>
              <w:bCs/>
            </w:rPr>
            <w:fldChar w:fldCharType="begin"/>
          </w:r>
          <w:r>
            <w:rPr>
              <w:bCs/>
            </w:rPr>
            <w:instrText xml:space="preserve"> HYPERLINK \l _Toc22355 </w:instrText>
          </w:r>
          <w:r>
            <w:rPr>
              <w:bCs/>
            </w:rPr>
            <w:fldChar w:fldCharType="separate"/>
          </w:r>
          <w:r>
            <w:rPr>
              <w:rFonts w:ascii="楷体" w:hAnsi="楷体" w:eastAsia="楷体"/>
              <w:szCs w:val="24"/>
            </w:rPr>
            <w:t>PTA</w:t>
          </w:r>
          <w:r>
            <w:rPr>
              <w:rFonts w:hint="eastAsia" w:ascii="楷体" w:hAnsi="楷体" w:eastAsia="楷体"/>
              <w:szCs w:val="24"/>
            </w:rPr>
            <w:t>：下游即将迎来放假  TA面临下行风险</w:t>
          </w:r>
          <w:r>
            <w:rPr>
              <w:bCs/>
            </w:rPr>
            <w:fldChar w:fldCharType="end"/>
          </w:r>
        </w:p>
        <w:p>
          <w:pPr>
            <w:pStyle w:val="6"/>
            <w:tabs>
              <w:tab w:val="right" w:leader="dot" w:pos="8306"/>
            </w:tabs>
          </w:pPr>
          <w:r>
            <w:rPr>
              <w:bCs/>
            </w:rPr>
            <w:fldChar w:fldCharType="begin"/>
          </w:r>
          <w:r>
            <w:rPr>
              <w:bCs/>
            </w:rPr>
            <w:instrText xml:space="preserve"> HYPERLINK \l _Toc8857 </w:instrText>
          </w:r>
          <w:r>
            <w:rPr>
              <w:bCs/>
            </w:rPr>
            <w:fldChar w:fldCharType="separate"/>
          </w:r>
          <w:r>
            <w:rPr>
              <w:rFonts w:hint="eastAsia" w:ascii="楷体" w:hAnsi="楷体" w:eastAsia="楷体"/>
              <w:szCs w:val="24"/>
            </w:rPr>
            <w:t>聚烯烃：节后需求缺乏亮点，聚烯烃或延续窄幅整理</w:t>
          </w:r>
          <w:r>
            <w:rPr>
              <w:bCs/>
            </w:rPr>
            <w:fldChar w:fldCharType="end"/>
          </w:r>
        </w:p>
        <w:p>
          <w:pPr>
            <w:pStyle w:val="5"/>
            <w:tabs>
              <w:tab w:val="right" w:leader="dot" w:pos="8306"/>
            </w:tabs>
          </w:pPr>
          <w:r>
            <w:rPr>
              <w:bCs/>
            </w:rPr>
            <w:fldChar w:fldCharType="begin"/>
          </w:r>
          <w:r>
            <w:rPr>
              <w:bCs/>
            </w:rPr>
            <w:instrText xml:space="preserve"> HYPERLINK \l _Toc28729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_Toc22644 </w:instrText>
          </w:r>
          <w:r>
            <w:rPr>
              <w:bCs/>
            </w:rPr>
            <w:fldChar w:fldCharType="separate"/>
          </w:r>
          <w:r>
            <w:rPr>
              <w:rFonts w:hint="eastAsia" w:ascii="楷体" w:hAnsi="楷体" w:eastAsia="楷体"/>
              <w:szCs w:val="24"/>
            </w:rPr>
            <w:t>豆粕：短期维持高位震荡，短线低多操作</w:t>
          </w:r>
          <w:r>
            <w:rPr>
              <w:bCs/>
            </w:rPr>
            <w:fldChar w:fldCharType="end"/>
          </w:r>
        </w:p>
        <w:p>
          <w:pPr>
            <w:pStyle w:val="6"/>
            <w:tabs>
              <w:tab w:val="right" w:leader="dot" w:pos="8306"/>
            </w:tabs>
          </w:pPr>
          <w:r>
            <w:rPr>
              <w:bCs/>
            </w:rPr>
            <w:fldChar w:fldCharType="begin"/>
          </w:r>
          <w:r>
            <w:rPr>
              <w:bCs/>
            </w:rPr>
            <w:instrText xml:space="preserve"> HYPERLINK \l _Toc19996 </w:instrText>
          </w:r>
          <w:r>
            <w:rPr>
              <w:bCs/>
            </w:rPr>
            <w:fldChar w:fldCharType="separate"/>
          </w:r>
          <w:r>
            <w:rPr>
              <w:rFonts w:hint="eastAsia" w:ascii="楷体" w:hAnsi="楷体" w:eastAsia="楷体"/>
              <w:szCs w:val="24"/>
            </w:rPr>
            <w:t>油脂：上方空间预计有限，建议短线操作</w:t>
          </w:r>
          <w:r>
            <w:rPr>
              <w:bCs/>
            </w:rPr>
            <w:fldChar w:fldCharType="end"/>
          </w:r>
        </w:p>
        <w:p>
          <w:pPr>
            <w:pStyle w:val="6"/>
            <w:tabs>
              <w:tab w:val="right" w:leader="dot" w:pos="8306"/>
            </w:tabs>
          </w:pPr>
          <w:r>
            <w:rPr>
              <w:bCs/>
            </w:rPr>
            <w:fldChar w:fldCharType="begin"/>
          </w:r>
          <w:r>
            <w:rPr>
              <w:bCs/>
            </w:rPr>
            <w:instrText xml:space="preserve"> HYPERLINK \l _Toc15623 </w:instrText>
          </w:r>
          <w:r>
            <w:rPr>
              <w:bCs/>
            </w:rPr>
            <w:fldChar w:fldCharType="separate"/>
          </w:r>
          <w:r>
            <w:rPr>
              <w:rFonts w:hint="eastAsia" w:ascii="楷体" w:hAnsi="楷体" w:eastAsia="楷体"/>
              <w:bCs/>
            </w:rPr>
            <w:t>玉米与淀粉：</w:t>
          </w:r>
          <w:r>
            <w:rPr>
              <w:rFonts w:hint="eastAsia" w:ascii="楷体" w:hAnsi="楷体" w:eastAsia="楷体"/>
            </w:rPr>
            <w:t>重点留意外盘期价走势</w:t>
          </w:r>
          <w:r>
            <w:rPr>
              <w:bCs/>
            </w:rPr>
            <w:fldChar w:fldCharType="end"/>
          </w:r>
        </w:p>
        <w:p>
          <w:pPr>
            <w:pStyle w:val="6"/>
            <w:tabs>
              <w:tab w:val="right" w:leader="dot" w:pos="8306"/>
            </w:tabs>
          </w:pPr>
          <w:r>
            <w:rPr>
              <w:bCs/>
            </w:rPr>
            <w:fldChar w:fldCharType="begin"/>
          </w:r>
          <w:r>
            <w:rPr>
              <w:bCs/>
            </w:rPr>
            <w:instrText xml:space="preserve"> HYPERLINK \l _Toc12239 </w:instrText>
          </w:r>
          <w:r>
            <w:rPr>
              <w:bCs/>
            </w:rPr>
            <w:fldChar w:fldCharType="separate"/>
          </w:r>
          <w:r>
            <w:rPr>
              <w:rFonts w:hint="eastAsia" w:ascii="楷体" w:hAnsi="楷体" w:eastAsia="楷体"/>
              <w:bCs/>
            </w:rPr>
            <w:t>畜禽养殖：等待现货回暖</w:t>
          </w:r>
          <w:r>
            <w:rPr>
              <w:bCs/>
            </w:rPr>
            <w:fldChar w:fldCharType="end"/>
          </w:r>
        </w:p>
        <w:p>
          <w:pPr>
            <w:pStyle w:val="6"/>
            <w:tabs>
              <w:tab w:val="right" w:leader="dot" w:pos="8306"/>
            </w:tabs>
          </w:pPr>
          <w:r>
            <w:rPr>
              <w:bCs/>
            </w:rPr>
            <w:fldChar w:fldCharType="begin"/>
          </w:r>
          <w:r>
            <w:rPr>
              <w:bCs/>
            </w:rPr>
            <w:instrText xml:space="preserve"> HYPERLINK \l _Toc19273 </w:instrText>
          </w:r>
          <w:r>
            <w:rPr>
              <w:bCs/>
            </w:rPr>
            <w:fldChar w:fldCharType="separate"/>
          </w:r>
          <w:r>
            <w:rPr>
              <w:rFonts w:hint="eastAsia" w:ascii="楷体" w:hAnsi="楷体" w:eastAsia="楷体"/>
              <w:szCs w:val="24"/>
            </w:rPr>
            <w:t>郑棉：节日期间美棉承压震荡。预计节后郑棉平稳开盘后偏强震荡，观望或看跌期权持有</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8033"/>
      <w:bookmarkStart w:id="1" w:name="_Toc19317"/>
      <w:bookmarkStart w:id="2" w:name="_Toc4552"/>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10620"/>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IC多单持有</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存量博弈下资金或继续高低切，对于前期涨幅较大的消费风格来说存在逢高获利了结风险，短期维持中小盘相对占优观点。后续关注基本面修复弹性、稳增长政策落地力度及微观流动性改善等因素。</w:t>
      </w:r>
    </w:p>
    <w:p>
      <w:pPr>
        <w:pBdr>
          <w:top w:val="single" w:color="auto" w:sz="4" w:space="0"/>
        </w:pBdr>
        <w:outlineLvl w:val="0"/>
        <w:rPr>
          <w:rFonts w:ascii="Times New Roman" w:hAnsi="Times New Roman" w:eastAsia="楷体"/>
          <w:b/>
          <w:color w:val="823C0B"/>
        </w:rPr>
      </w:pPr>
      <w:bookmarkStart w:id="7" w:name="_Toc13255"/>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8" w:name="_Toc5154"/>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关注欧美经济衰退风险，贵金属价格维持涨势</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截止12月30日收盘，外盘COMEX黄金期货主力月涨2.65%，报1830.1美元/盎司；COMEX白银期货主力月涨7.97%，报24.18美元/盎司；内盘沪金主力12月30日下午收盘报410.72元/克，月涨1.13%；沪银主力报5363元/千克，月涨8.96%。市场对于2023年美联储偏向鸽派的预期持续发酵，欧美股市普跌亦对避险情绪形成提振，贵金属价格大幅反弹。进入2023年后重点关注欧美等海外主要经济体的经济衰退风险，以及全球金融环境收缩背后可能隐含的流动性紧缺风险。在美国通胀回落拐点确认、经济增长进一步放缓、衰退风险隐现的宏观背景下，叠加货币政策边际转向开启的政策环境，贵金属价格或重获支撑，建议沪金、沪银此前多单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_Toc20891"/>
      <w:bookmarkStart w:id="10" w:name="_Toc3096"/>
      <w:bookmarkStart w:id="11" w:name="金属"/>
      <w:bookmarkStart w:id="12" w:name="_Toc23304"/>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27831"/>
      <w:bookmarkStart w:id="15" w:name="_Toc5371"/>
      <w:bookmarkStart w:id="16" w:name="_Toc23907"/>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供需双弱格局下，市场或向现实回归</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元旦后现金流的改善或成为下游终端和贸易商补库的主要支撑，补库力度决定高点。强预期弱现实格局下，节前交易或转向弱现实，成本支撑边际转弱下，调整幅度视原料而定，需求尚未进入验真阶段，原料整体供应仍偏紧，成材矛盾仍在累积，现货价格承压运行，但大跌驱动并不明显，盘面或调整保持合理的正基差。震荡向下调整，可轻仓逢高短空，预计运行区间（3850，4200）。</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11356"/>
      <w:bookmarkStart w:id="18" w:name="_Toc4790"/>
      <w:bookmarkStart w:id="19" w:name="_Toc25696"/>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第一轮提降落地，预计底部窄幅震荡运行</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元旦期间。部分钢厂对焦炭第一轮提降落地，随着焦化复产及冬储进入尾声，焦炭的边际需求走弱。短期盘面提前调整下铁水幅度较大，关注（2600,2630）的区间支撑，预计或底部窄幅震荡运行，后续是否加速仍需视钢材情况而定。</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11179"/>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现货驱动转弱，关注底部支撑    </w:t>
      </w:r>
      <w:bookmarkEnd w:id="20"/>
    </w:p>
    <w:p>
      <w:pPr>
        <w:ind w:left="630" w:leftChars="300"/>
        <w:rPr>
          <w:rFonts w:ascii="楷体" w:hAnsi="楷体" w:eastAsia="楷体"/>
          <w:bCs/>
          <w:sz w:val="24"/>
          <w:szCs w:val="24"/>
        </w:rPr>
      </w:pPr>
      <w:r>
        <w:rPr>
          <w:rFonts w:hint="eastAsia" w:ascii="楷体" w:hAnsi="楷体" w:eastAsia="楷体"/>
          <w:sz w:val="24"/>
          <w:szCs w:val="24"/>
        </w:rPr>
        <w:t>下游第一轮提降落地，焦化利润再次收缩，随下游冬储进入尾声，焦煤或转入按需采购，现货承压运行，盘面提前反应下或偏弱震荡运行，关注支撑区间（1750,1820），后续是否加速仍需视钢材情况而定。</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9719"/>
      <w:bookmarkStart w:id="22" w:name="_Toc25617"/>
      <w:bookmarkStart w:id="23" w:name="_Toc28080"/>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短期缺乏方向性，震荡为主</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(1)库存：12月30日，SHFE周库存69268吨，较上周五增14699吨；LME 仓单库存88925吨，较上周五增7450吨。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(2)精废价差：12月30日，Mysteel精废价差1879，收窄48。目前价差在合理价差1361之上。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国内防疫政策进一步放宽，地产利好政策逐步兑现，整体市场情绪表现乐观。供需面，进入消费淡季，市场需求维持弱势，同时，国内的产量和进口都难以在短期内出现大幅回升，明显的累库时间或将推迟至明年。国内库存再度去化，现货偏紧对价格仍然形成支撑。价格目前跟随宏观情绪波动，短期缺乏方向性，参考65000-67500。</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8897"/>
      <w:bookmarkStart w:id="25" w:name="_Toc6247"/>
      <w:bookmarkStart w:id="26" w:name="_Toc6624"/>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铝市供需双疲，短期价格维持震荡</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经济环境仍处强加息周期，市场预期今年或进入衰退，宏观因子影响偏弱。印尼表示从23年中旬开始禁止铝土矿出口，铝价获得供应缺口预期支撑。国内多项利好政策出台，实际政策投放效果仍待市场检验，多地疫情蔓延对经济消费有消极影响，供应端持续扰动，贵州地区受限电影响二次减产，进入消费淡季及临近过节，下游需求走向更为疲弱，低库存现状仍存，价格有较强支撑，短期以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20677"/>
      <w:r>
        <w:rPr>
          <w:rFonts w:hint="eastAsia" w:ascii="楷体" w:hAnsi="楷体" w:eastAsia="楷体"/>
          <w:b/>
          <w:color w:val="000000" w:themeColor="text1"/>
          <w:sz w:val="24"/>
          <w:szCs w:val="24"/>
          <w14:textFill>
            <w14:solidFill>
              <w14:schemeClr w14:val="tx1"/>
            </w14:solidFill>
          </w14:textFill>
        </w:rPr>
        <w:t>锌：锌市供修需弱，价格震荡为主</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30日沪锌午后收盘价格23765元/吨，跌幅0.31%，上海有色网0#锌锭（Zn99.995）现货报价23990元/吨，较上一统计日报价下跌190元/吨。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宏观仍处“高通胀”叠加“强加息”背景之下，全球经济衰退风险仍存，国内将新冠肺炎更名并实施“乙类乙管”，疫情对市场冲击走弱。国内锌矿端表现宽松，冶炼端仍有较高利润刺激冶炼厂追产，但受疫情开放影响整体开工率仍在走弱，需求进入消费淡季，部分企业停产检修或提前放假，现货市场供应偏紧，贸易商惜售，库存仍维持低位，上中游宽松加产，下游消费疲弱，后续或有锌产累库动作，但短期大幅累库可能性较小，锌价重心下移，短期价格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812"/>
      <w:r>
        <w:rPr>
          <w:rFonts w:hint="eastAsia" w:ascii="楷体" w:hAnsi="楷体" w:eastAsia="楷体"/>
          <w:b/>
          <w:color w:val="000000" w:themeColor="text1"/>
          <w:sz w:val="24"/>
          <w:szCs w:val="24"/>
          <w14:textFill>
            <w14:solidFill>
              <w14:schemeClr w14:val="tx1"/>
            </w14:solidFill>
          </w14:textFill>
        </w:rPr>
        <w:t>镍：维持高位运行，观望为主</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国内防疫政策进一步放宽，地产利好政策逐步兑现，整体市场情绪表现乐观。国内精炼镍库存持续走低，现货紧缺，升水高企，支撑镍价。LME镍库存缓慢回升，现货大幅贴水，反应海外需求疲弱。预计镍价仍将维持高位运行，继续上行驱动有限。当前镍估值偏高，交易上不建议追多，观望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2662"/>
      <w:r>
        <w:rPr>
          <w:rFonts w:hint="eastAsia" w:ascii="楷体" w:hAnsi="楷体" w:eastAsia="楷体"/>
          <w:b/>
          <w:color w:val="000000" w:themeColor="text1"/>
          <w:sz w:val="24"/>
          <w:szCs w:val="24"/>
          <w14:textFill>
            <w14:solidFill>
              <w14:schemeClr w14:val="tx1"/>
            </w14:solidFill>
          </w14:textFill>
        </w:rPr>
        <w:t>不锈钢：上下驱动均不足，暂时观望</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受到短期疫情冲击影响，叠加淡季，不锈钢需求疲弱，社会库存持续增加，短期价格仍将承压运行。但向下亦存在较强成本支撑，下跌空间亦不大。当前价格跟随宏观情绪波动，短期缺乏方向性，预计宽幅震荡为主，建议寻找上下安全边际参与区间交易，参考16500-17800。</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2824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强预期与弱现实下资金博弈，建议以波段交易为主</w:t>
      </w:r>
      <w:bookmarkEnd w:id="30"/>
    </w:p>
    <w:p>
      <w:pPr>
        <w:ind w:left="630" w:leftChars="300"/>
        <w:rPr>
          <w:rFonts w:ascii="楷体" w:hAnsi="楷体" w:eastAsia="楷体"/>
          <w:sz w:val="24"/>
          <w:szCs w:val="24"/>
        </w:rPr>
      </w:pPr>
      <w:r>
        <w:rPr>
          <w:rFonts w:hint="eastAsia" w:ascii="楷体" w:hAnsi="楷体" w:eastAsia="楷体"/>
          <w:sz w:val="24"/>
          <w:szCs w:val="24"/>
        </w:rPr>
        <w:t>当前供需格局整体偏宽松，现货市场整体偏弱运行对硅价大幅上涨存在压制作用，但国内经济修复预期以及枯水期高成本均对市场有支撑。短期市场资金将在强预期与弱现实之间博弈，预计硅价将以区间震荡为主，操作建议以波段交易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5848"/>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7367"/>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供增需减 乙二醇走势承压</w:t>
      </w:r>
      <w:bookmarkEnd w:id="33"/>
    </w:p>
    <w:p>
      <w:pPr>
        <w:ind w:left="630" w:leftChars="300"/>
        <w:rPr>
          <w:rFonts w:ascii="楷体" w:hAnsi="楷体" w:eastAsia="楷体"/>
          <w:sz w:val="24"/>
          <w:szCs w:val="24"/>
        </w:rPr>
      </w:pPr>
      <w:r>
        <w:rPr>
          <w:rFonts w:hint="eastAsia" w:ascii="楷体" w:hAnsi="楷体" w:eastAsia="楷体"/>
          <w:sz w:val="24"/>
          <w:szCs w:val="24"/>
        </w:rPr>
        <w:t>供需情况，近期受大风天气影响，船只入罐出现明显延误。12.29华东主港地区MEG港口库存约90.2万吨附近，环比上期下降7.8万吨。开工情况，截至12月29日，中国大陆地区乙二醇整体开工负荷在62.87%（+3.73%），其中煤制乙二醇开工负荷在49%（+7.37%），乙二醇负荷大幅提升。从聚酯需求端来看，本周期聚酯装置检修依然较多，长丝继续新增检修，短纤局部调整，瓶片检修装置有陆续恢复。截至12.29初步核算聚酯负荷在66％（-2%)。本周期江浙终端开工继续下降，截至12.29，江浙加弹开工率28%（-23%）、江浙织机开工率26%（-12%）、浙江印染开工率38%（-3%）。综合来看，受天气因素影响乙二醇卸货延迟，显性库存堆积推迟。但是供给端开工率大幅回升及MEG新装置逐步投产，供应环节仍在逐步增量中。月底终端放假潮来临，目前加弹、织造、印染基本都处于收尾状态，染厂已经多停止进料，1月10日前多将结束生产。乙二醇供需矛盾依旧严峻走势承压。</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22355"/>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：下游即将迎来放假  TA面临下行风险</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本周期台化120万吨短停，亚东75降负至7成，逸盛新材料720万吨装置恢复至9成，英力士110万吨重启暂时推后，至12.29PTA负荷调整至62%（+2%）。 新装置方面，12月PTA两套新装置终于迎来投产消息，东营威联250万吨装置其中一条生产线12月14日附近出合格品，嘉通能源250万吨PTA装置其中一条线12月24日附近出合格品。本周聚酯装置检修依然较多，长丝继续新增检修，短纤局部调整，瓶片检修装置有陆续恢复。截至12.29初步核算聚酯负荷在66％（-2%）。终端方面，本周期江浙终端开工继续下降，江浙终端工厂原料备货年后使用，前加弹、织造、印染基本都处于收尾状态，染厂已经多停止进料，1月10日前多将结束生产。月底终端放假潮来临，工厂可能被迫提前放假。按往年惯例终端开工率在春节假期会大幅下降至20%左右，终端提前放假之下聚酯降负节奏有加速可能。在新装置持续输出以及需求走弱态势下，PTA仍有季节性累库压力，预估1月累库幅度在40~50万吨。强预期带来的涨幅已逐步兑现，伴随成本端支撑走弱及现实端转弱的矛盾，TA面临回调风险。</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5" w:name="_Toc8857"/>
      <w:r>
        <w:rPr>
          <w:rFonts w:hint="eastAsia" w:ascii="楷体" w:hAnsi="楷体" w:eastAsia="楷体"/>
          <w:b/>
          <w:color w:val="000000" w:themeColor="text1"/>
          <w:sz w:val="24"/>
          <w:szCs w:val="24"/>
          <w14:textFill>
            <w14:solidFill>
              <w14:schemeClr w14:val="tx1"/>
            </w14:solidFill>
          </w14:textFill>
        </w:rPr>
        <w:t>聚烯烃：节后需求缺乏亮点，聚烯烃或延续窄幅整理</w:t>
      </w:r>
      <w:bookmarkEnd w:id="35"/>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近期聚烯烃涨跌互现。库存方面，本周国内PE库存环比下降1.30%，其中样本主要生产环节PE库存环比下降3.31%，PE样本港口库存环比增加1.91%，样本贸易企业库存环比下滑3.33%。本周国内PP库存环比下降2.59%。其中主要生产环节PP库存下降、贸易商库存和港口库存均有上升。供应方面，供应方面，本周PE暂无新增检修装置；本周上海石化一套10万吨产能LDPE装置将开机重启；PP本周新增中原石化和上海赛科共计35万吨装置停车检修，中原石化另一6万吨装置将于本周开车重启。成本端方面，因全球新年假期恰逢周末，本周一进行调休， 国际原油期货休市一天、无结算价，目前油制PE利润大约为-264.97元/吨，油制PP利润大约为-1499.86元/吨，相较年度偏低位置已有较大恢复；需求方面，PE下游方面，棚膜需求持续减弱，地膜订单跟进缓慢，农膜厂家仍略显谨慎，坚持刚需采购。PP方面，BOPP整体成交一般，BOPP企业未交付订单多数在5-15天，部分至1月中旬。综合来看，节前市场表现平淡，下游受到疫情影响，备货不及预期，开工负荷下滑，节后归来，需求端缺乏亮点，叠加工厂陆续放假，订单不足，且场内暂无新增检修装置，供应端存一定压力，预计今日聚烯烃窄幅偏弱波动。短期暂时维持小幅调整，中长期依旧有下行风险。12-明年1月PE、PP仍有多套装置等待投产，叠加进口套利窗口打开，供应压力不减。塑料供需趋弱累库下高空思路不变，上行空间有限。预计近期在供需弱平衡下聚烯烃将窄幅偏弱整理，短期PP 7800左右支撑较强和PE 8150压力位左右支撑较强。仅供参考。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6" w:name="_Toc28729"/>
      <w:r>
        <w:rPr>
          <w:rFonts w:hint="eastAsia" w:ascii="Times New Roman" w:hAnsi="Times New Roman" w:eastAsia="楷体"/>
          <w:b/>
          <w:color w:val="823C0B"/>
          <w:sz w:val="30"/>
          <w:szCs w:val="30"/>
        </w:rPr>
        <w:t>[农产品]</w:t>
      </w:r>
      <w:bookmarkEnd w:id="13"/>
      <w:bookmarkEnd w:id="36"/>
    </w:p>
    <w:p>
      <w:pPr>
        <w:ind w:left="420" w:leftChars="200"/>
        <w:outlineLvl w:val="1"/>
        <w:rPr>
          <w:rFonts w:hint="eastAsia" w:ascii="楷体" w:hAnsi="楷体" w:eastAsia="楷体"/>
          <w:b/>
          <w:sz w:val="24"/>
          <w:szCs w:val="24"/>
        </w:rPr>
      </w:pPr>
      <w:bookmarkStart w:id="37" w:name="_Toc22644"/>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短期维持高位震荡，短线低多操作</w:t>
      </w:r>
      <w:bookmarkEnd w:id="37"/>
    </w:p>
    <w:p>
      <w:pPr>
        <w:ind w:left="630" w:leftChars="300"/>
        <w:rPr>
          <w:rFonts w:ascii="楷体" w:hAnsi="楷体" w:eastAsia="楷体"/>
          <w:sz w:val="24"/>
          <w:szCs w:val="24"/>
        </w:rPr>
      </w:pPr>
      <w:r>
        <w:rPr>
          <w:rFonts w:hint="eastAsia" w:ascii="楷体" w:hAnsi="楷体" w:eastAsia="楷体"/>
          <w:sz w:val="24"/>
          <w:szCs w:val="24"/>
        </w:rPr>
        <w:t>外盘方面，CBOT大豆依然维持高位盘整，因南美天气升水以及大豆出口强劲构成支撑。虽阿根廷有降雨预期，但当前受干旱天气影响种植进度和优良率持续下滑，产量不确定性仍存。国内市场，随着延迟到港量在12月份陆续到港，当前大豆港口库存累库速度也有所加快。油厂开机及压榨持续维持高位，豆粕库存已连续几周增加，但在油厂榨利亏损下23年1-2月份大豆缺口仍存，预计年后累库速度放缓。下游养殖利润近期大幅下滑，因生猪大量出栏，但下游需求不及预期，饲企和养殖企业等对豆粕采购需求减弱，但节前仍有备货需求。短期进入交割月资金已逐渐转至远月合约，在供应预期增加下延续近强远弱格局，若未明显利空行情下，预计豆粕仍将维持高位震荡，短期建议低多参与；中长期维持供给恢复预期，美豆及豆粕价格重心下移观点不变，关注南美种植情况。</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8" w:name="_Toc19996"/>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上方空间预计有限，建议短线操作</w:t>
      </w:r>
      <w:bookmarkEnd w:id="38"/>
    </w:p>
    <w:p>
      <w:pPr>
        <w:ind w:left="630" w:leftChars="300"/>
        <w:rPr>
          <w:rFonts w:ascii="楷体" w:hAnsi="楷体" w:eastAsia="楷体"/>
          <w:sz w:val="24"/>
          <w:szCs w:val="24"/>
        </w:rPr>
      </w:pPr>
      <w:r>
        <w:rPr>
          <w:rFonts w:hint="eastAsia" w:ascii="楷体" w:hAnsi="楷体" w:eastAsia="楷体"/>
          <w:sz w:val="24"/>
          <w:szCs w:val="24"/>
        </w:rPr>
        <w:t>外盘方面，国际原油及外盘油脂在利多消息支撑下，短期走势偏强，对内盘油脂构成支撑。棕榈油支撑主要来自产地减产周期以及印尼出口和生柴政策端的利好。数据显示12月1-25日马棕产量预计环比减少4.35%，出口环比减少2.1%，12月马棕库存预计进一步下滑。但出口放缓仍限制马盘反弹幅度。而印尼将在23年2月开始强制实施B35计划，同时DMO出口配比收紧至1：6。国内棕榈油供应较宽松，需求方面在冬季消费淡季下增量有限，棕榈油库存当前在供过于求下也进一步创历史新高，随着12月份进口下滑累库速度放缓，但短期供应压力较大。近期豆油下游成交有所回暖，进入传统旺季备货阶段提振，虽近期防疫政策优化，但下游消费需求在新冠病例增加下未见明显好转。供应端随着12月到港修复，进口大豆库存持续回升，油厂压榨维持高位后边际供应预计逐渐好转，关注豆油库存修复情况，短期在库存低位下延续近强远弱格局。菜油在供应边际预期改善下，也维持近强远弱格局，但在库存尚未明显修复下，基差维持高位。随着进口加籽到港量逐步增加，菜籽累库进度加快。同时在刚需以及临近春节前备货下，菜油库存修复仍需时间。预计油脂在供应边际增加及下游消费整体呈现旺季不旺的局面，上方空间预计有限，短期油脂预计维持底部宽幅震荡，建议波段操作，短线高抛低吸。</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9" w:name="_Toc1562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重点留意外盘期价走势</w:t>
      </w:r>
      <w:bookmarkEnd w:id="39"/>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目前处于被动去库存到主动补库存的转换时刻，对于当前具体处于哪一阶段尚难以确定，参考2019年情形来看，市场对节后余粮压力或仍存在担忧，再加上目前更远月合约即7-9-11月依然贴水，或抑制中下游补库积极性，这意味着国内玉米市场仍处于被动去库存阶段。而参考去年情况来看，新作上市压力释放的被动去库存或已经结束，接下来有望进入新一轮主动补库存阶段。综合来看，考虑到下游存在节前备货需求，而目前深加工企业与南北方港口库存均处于低位，短期国内期现货有望延续反弹态势，但后期特别是春节前需要留意再度回落的可能性，1月整体而言，需要密切关注外盘美玉米期价走势。中期暂维持中性，短期谨慎看多，建议谨慎投资者观望为宜，激进投资者可短线参与。</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走扩符合我们之前报告的预期，主要源于成本端、供需端和副产品端均有望支持价差走扩，成本端来看，国内玉米有可能进入主动补库存阶段，除此之外，华北产区售粮进度相对快于去年同期，考虑到今年小麦不支持饲用替代，再加上东北玉米流入窗口长期关闭，后期华北-东北玉米价差有望走扩；供需端来看，11月以来需求弱势主要源于疫情因素的影响，后期或趋于恢复；副产品端来看，近期加速下跌，带动淀粉现货加工利润转为亏损，有望通过行业开机率带动供应收缩，从而促进行业供需改善。在这种情况下，我们建议前期淀粉-玉米价差走扩套利（如有的话）可以考虑继续持有，重要变数或在于成本端，特别春节前市场会否转而担心节后仍有余粮压力。</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12239"/>
      <w:r>
        <w:rPr>
          <w:rFonts w:hint="eastAsia" w:ascii="楷体" w:hAnsi="楷体" w:eastAsia="楷体"/>
          <w:b/>
          <w:bCs/>
          <w:color w:val="000000" w:themeColor="text1"/>
          <w14:textFill>
            <w14:solidFill>
              <w14:schemeClr w14:val="tx1"/>
            </w14:solidFill>
          </w14:textFill>
        </w:rPr>
        <w:t>畜禽养殖：等待现货回暖</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12月下旬期现货反弹，表明市场预期疫情对需求影响最大的时候或已经过去，接下来短期即春节前市场供需及其现货走势有望带来市场预期的变动，这包括两个层面，其一是需求改善或者恢复的幅度，其二是供应已经及其有待释放的部分。除此之外，接下来中期还需要猪价对生猪周期潜在影响的可能性，因12月以来猪价跌破成本线大概率打破前期产能恢复节奏，但后期供需改善带动猪价上涨，会否再度恢复能繁母猪补栏值得重点留意，这意味近月期价如3月和5月合约可能低估，而远月合约则可能被高估。在这种情况下，维持谨慎看多观点，前期多单建议继续持有，不建议追多。</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今年动物蛋白供应格局类似于2019年，而鸡蛋供需两弱格局则类似于去年。12月蛋鸡存补栏参考卓创资讯数据，在产蛋鸡存栏数据同比和环比均小幅下滑，期现货表现弱势更多源于需求受到疫情的扰动，后期需求改善/恢复有望带动鸡蛋期现货的反弹。更为重要也值得重点关注的是，考虑到鸡蛋供需格局延续2021年以来的供需两弱的格局，需要特别留意需求端的变化，因一旦需求恢复或者改善，那么蛋鸡养殖需要一波产能恢复的过程，这一过程往往伴随着鸡蛋现货价格上涨，及其对应的蛋鸡养殖利润的提升，结合上述生猪供需潜在变化，我们倾向于可能发生在5月之前。在这种情况下，维持谨慎看多观点，建议前期5月合约多单（如有的话）建议继续持有，不建议追多。</w:t>
      </w: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1" w:name="_Toc19273"/>
      <w:r>
        <w:rPr>
          <w:rFonts w:hint="eastAsia" w:ascii="楷体" w:hAnsi="楷体" w:eastAsia="楷体"/>
          <w:b/>
          <w:sz w:val="24"/>
          <w:szCs w:val="24"/>
        </w:rPr>
        <w:t>郑棉：节日期间美棉承压震荡。预计节后郑棉平稳开盘后偏强震荡，观望或看跌期权持有</w:t>
      </w:r>
      <w:bookmarkEnd w:id="41"/>
    </w:p>
    <w:p>
      <w:pPr>
        <w:ind w:left="630" w:leftChars="300"/>
        <w:rPr>
          <w:rFonts w:ascii="楷体" w:hAnsi="楷体" w:eastAsia="楷体"/>
          <w:sz w:val="24"/>
          <w:szCs w:val="24"/>
        </w:rPr>
      </w:pPr>
      <w:r>
        <w:rPr>
          <w:rFonts w:hint="eastAsia" w:ascii="楷体" w:hAnsi="楷体" w:eastAsia="楷体"/>
          <w:sz w:val="24"/>
          <w:szCs w:val="24"/>
        </w:rPr>
        <w:t>当前市场情绪偏乐观，在疫情管控措施不断放宽，国内市场即将向国际打开的时候，对未来良好的预期使得商品整体维持偏强走势，市场对新年行情颇为期待。下游纱线、布料服装跃跃待涨，但终端接受度似乎不高。部分企业订单情况好转，据传部分订单可至1月。但普遍还是以小单、散单居多，缺乏大单。因各省疫情峰值的来临，纺织企业员工到岗率和开机率始终维持低迷，纺织企业大规模原料补库基本已结束，继续高价补库的意愿较低。多数企业都已放假，直至春节。在此期间现货价格难有大幅波动，因得不到多数现货企业的反馈。考虑节假日影响和01合约即将进入交割月，为防止资金异动，产业可考虑持有看跌期权以规避节假日期间风险。</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2" w:name="_Toc19667"/>
      <w:bookmarkStart w:id="43" w:name="_Toc72481108"/>
      <w:bookmarkStart w:id="44" w:name="_Toc12779"/>
      <w:bookmarkStart w:id="45" w:name="_Toc98426751"/>
      <w:bookmarkStart w:id="46" w:name="_Toc71212556"/>
      <w:r>
        <w:rPr>
          <w:rFonts w:ascii="Times New Roman" w:hAnsi="Times New Roman" w:eastAsia="楷体"/>
          <w:b/>
          <w:color w:val="411D05"/>
          <w:sz w:val="30"/>
          <w:szCs w:val="30"/>
        </w:rPr>
        <w:t>免责声明</w:t>
      </w:r>
      <w:bookmarkEnd w:id="42"/>
      <w:bookmarkEnd w:id="43"/>
      <w:bookmarkEnd w:id="44"/>
      <w:bookmarkEnd w:id="45"/>
      <w:bookmarkEnd w:id="46"/>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2023年1月3日星期二</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6B2613D"/>
    <w:rsid w:val="06B753E3"/>
    <w:rsid w:val="09F160E3"/>
    <w:rsid w:val="0C1F7DEE"/>
    <w:rsid w:val="0D032A7C"/>
    <w:rsid w:val="100732C8"/>
    <w:rsid w:val="10DA6205"/>
    <w:rsid w:val="129B2E20"/>
    <w:rsid w:val="12AA5DF8"/>
    <w:rsid w:val="15364A7C"/>
    <w:rsid w:val="15D52593"/>
    <w:rsid w:val="197E6634"/>
    <w:rsid w:val="1B8A2034"/>
    <w:rsid w:val="1BC72FF7"/>
    <w:rsid w:val="1D5030CD"/>
    <w:rsid w:val="1DFF64E4"/>
    <w:rsid w:val="2056595D"/>
    <w:rsid w:val="20AE4DE8"/>
    <w:rsid w:val="21996AC1"/>
    <w:rsid w:val="219F3EE2"/>
    <w:rsid w:val="24321B2E"/>
    <w:rsid w:val="247F3074"/>
    <w:rsid w:val="25B924F3"/>
    <w:rsid w:val="26F95364"/>
    <w:rsid w:val="2DC02C2B"/>
    <w:rsid w:val="2DE440F7"/>
    <w:rsid w:val="2FA70F17"/>
    <w:rsid w:val="340E7198"/>
    <w:rsid w:val="373F75CC"/>
    <w:rsid w:val="3AC9385E"/>
    <w:rsid w:val="3B3306F0"/>
    <w:rsid w:val="3B563B4D"/>
    <w:rsid w:val="3C2825B0"/>
    <w:rsid w:val="3C2B26B7"/>
    <w:rsid w:val="3D8B796D"/>
    <w:rsid w:val="3DA80A30"/>
    <w:rsid w:val="3EE0186C"/>
    <w:rsid w:val="441077D2"/>
    <w:rsid w:val="44396064"/>
    <w:rsid w:val="459609D9"/>
    <w:rsid w:val="45A37566"/>
    <w:rsid w:val="45CF0A85"/>
    <w:rsid w:val="4B6224E5"/>
    <w:rsid w:val="4D2A3925"/>
    <w:rsid w:val="4DB20386"/>
    <w:rsid w:val="5005695E"/>
    <w:rsid w:val="50286811"/>
    <w:rsid w:val="51266B84"/>
    <w:rsid w:val="546B5509"/>
    <w:rsid w:val="548642E9"/>
    <w:rsid w:val="56DD4D3A"/>
    <w:rsid w:val="57CB522F"/>
    <w:rsid w:val="59C52328"/>
    <w:rsid w:val="5D5617A6"/>
    <w:rsid w:val="5EA7685B"/>
    <w:rsid w:val="62710E5F"/>
    <w:rsid w:val="64C32497"/>
    <w:rsid w:val="66D04BBC"/>
    <w:rsid w:val="685D4EEE"/>
    <w:rsid w:val="6ECB7DD2"/>
    <w:rsid w:val="713E0334"/>
    <w:rsid w:val="729B5F03"/>
    <w:rsid w:val="72F62A89"/>
    <w:rsid w:val="737357AF"/>
    <w:rsid w:val="778F5135"/>
    <w:rsid w:val="78E55995"/>
    <w:rsid w:val="7ABE4B56"/>
    <w:rsid w:val="7B3E5659"/>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6596</Words>
  <Characters>7134</Characters>
  <Lines>50</Lines>
  <Paragraphs>14</Paragraphs>
  <TotalTime>0</TotalTime>
  <ScaleCrop>false</ScaleCrop>
  <LinksUpToDate>false</LinksUpToDate>
  <CharactersWithSpaces>7163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2023-01-03T01:55:11Z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