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color w:val="823C0B"/>
          <w:sz w:val="30"/>
          <w:szCs w:val="30"/>
        </w:rPr>
      </w:pPr>
      <w:bookmarkStart w:id="47" w:name="_GoBack"/>
      <w:bookmarkEnd w:id="47"/>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17"/>
            <w:rPr>
              <w:b/>
              <w:bCs/>
            </w:rPr>
          </w:pPr>
        </w:p>
        <w:p>
          <w:pPr>
            <w:pStyle w:val="5"/>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_Toc20987 </w:instrText>
          </w:r>
          <w:r>
            <w:rPr>
              <w:bCs/>
            </w:rPr>
            <w:fldChar w:fldCharType="separate"/>
          </w:r>
          <w:r>
            <w:rPr>
              <w:rFonts w:hint="eastAsia" w:ascii="Times New Roman" w:hAnsi="Times New Roman" w:eastAsia="楷体"/>
              <w:szCs w:val="30"/>
            </w:rPr>
            <w:t>[金融]</w:t>
          </w:r>
          <w:r>
            <w:rPr>
              <w:bCs/>
            </w:rPr>
            <w:fldChar w:fldCharType="end"/>
          </w:r>
        </w:p>
        <w:p>
          <w:pPr>
            <w:pStyle w:val="6"/>
            <w:tabs>
              <w:tab w:val="right" w:leader="dot" w:pos="8306"/>
            </w:tabs>
          </w:pPr>
          <w:r>
            <w:rPr>
              <w:bCs/>
            </w:rPr>
            <w:fldChar w:fldCharType="begin"/>
          </w:r>
          <w:r>
            <w:rPr>
              <w:bCs/>
            </w:rPr>
            <w:instrText xml:space="preserve"> HYPERLINK \l _Toc14325 </w:instrText>
          </w:r>
          <w:r>
            <w:rPr>
              <w:bCs/>
            </w:rPr>
            <w:fldChar w:fldCharType="separate"/>
          </w:r>
          <w:r>
            <w:rPr>
              <w:rFonts w:hint="eastAsia" w:ascii="Times New Roman" w:hAnsi="Times New Roman" w:eastAsia="楷体"/>
              <w:szCs w:val="24"/>
            </w:rPr>
            <w:t>股指：</w:t>
          </w:r>
          <w:r>
            <w:rPr>
              <w:rFonts w:hint="eastAsia" w:ascii="Times New Roman" w:hAnsi="Times New Roman" w:eastAsia="楷体"/>
              <w:szCs w:val="24"/>
              <w:highlight w:val="none"/>
            </w:rPr>
            <w:t>IC多单持有</w:t>
          </w:r>
          <w:r>
            <w:rPr>
              <w:bCs/>
            </w:rPr>
            <w:fldChar w:fldCharType="end"/>
          </w:r>
        </w:p>
        <w:p>
          <w:pPr>
            <w:pStyle w:val="5"/>
            <w:tabs>
              <w:tab w:val="right" w:leader="dot" w:pos="8306"/>
            </w:tabs>
          </w:pPr>
          <w:r>
            <w:rPr>
              <w:bCs/>
            </w:rPr>
            <w:fldChar w:fldCharType="begin"/>
          </w:r>
          <w:r>
            <w:rPr>
              <w:bCs/>
            </w:rPr>
            <w:instrText xml:space="preserve"> HYPERLINK \l _Toc26710 </w:instrText>
          </w:r>
          <w:r>
            <w:rPr>
              <w:bCs/>
            </w:rPr>
            <w:fldChar w:fldCharType="separate"/>
          </w:r>
          <w:r>
            <w:rPr>
              <w:rFonts w:hint="eastAsia" w:ascii="Times New Roman" w:hAnsi="Times New Roman" w:eastAsia="楷体"/>
              <w:szCs w:val="30"/>
            </w:rPr>
            <w:t>[</w:t>
          </w:r>
          <w:r>
            <w:rPr>
              <w:rFonts w:hint="eastAsia" w:ascii="Times New Roman" w:hAnsi="Times New Roman" w:eastAsia="楷体"/>
              <w:szCs w:val="30"/>
              <w:lang w:val="en-US" w:eastAsia="zh-CN"/>
            </w:rPr>
            <w:t>贵</w:t>
          </w:r>
          <w:r>
            <w:rPr>
              <w:rFonts w:hint="eastAsia" w:ascii="Times New Roman" w:hAnsi="Times New Roman" w:eastAsia="楷体"/>
              <w:szCs w:val="30"/>
            </w:rPr>
            <w:t>金</w:t>
          </w:r>
          <w:r>
            <w:rPr>
              <w:rFonts w:hint="eastAsia" w:ascii="Times New Roman" w:hAnsi="Times New Roman" w:eastAsia="楷体"/>
              <w:szCs w:val="30"/>
              <w:lang w:val="en-US" w:eastAsia="zh-CN"/>
            </w:rPr>
            <w:t>属</w:t>
          </w:r>
          <w:r>
            <w:rPr>
              <w:rFonts w:hint="eastAsia" w:ascii="Times New Roman" w:hAnsi="Times New Roman" w:eastAsia="楷体"/>
              <w:szCs w:val="30"/>
            </w:rPr>
            <w:t>]</w:t>
          </w:r>
          <w:r>
            <w:rPr>
              <w:bCs/>
            </w:rPr>
            <w:fldChar w:fldCharType="end"/>
          </w:r>
        </w:p>
        <w:p>
          <w:pPr>
            <w:pStyle w:val="6"/>
            <w:tabs>
              <w:tab w:val="right" w:leader="dot" w:pos="8306"/>
            </w:tabs>
          </w:pPr>
          <w:r>
            <w:rPr>
              <w:bCs/>
            </w:rPr>
            <w:fldChar w:fldCharType="begin"/>
          </w:r>
          <w:r>
            <w:rPr>
              <w:bCs/>
            </w:rPr>
            <w:instrText xml:space="preserve"> HYPERLINK \l _Toc12021 </w:instrText>
          </w:r>
          <w:r>
            <w:rPr>
              <w:bCs/>
            </w:rPr>
            <w:fldChar w:fldCharType="separate"/>
          </w:r>
          <w:r>
            <w:rPr>
              <w:rFonts w:hint="eastAsia" w:ascii="Times New Roman" w:hAnsi="Times New Roman" w:eastAsia="楷体"/>
              <w:szCs w:val="24"/>
            </w:rPr>
            <w:t>贵金属：</w:t>
          </w:r>
          <w:r>
            <w:rPr>
              <w:rFonts w:hint="eastAsia" w:ascii="Times New Roman" w:hAnsi="Times New Roman" w:eastAsia="楷体"/>
              <w:szCs w:val="24"/>
              <w:highlight w:val="none"/>
            </w:rPr>
            <w:t>美国就业维持韧性，贵金属价格维持涨势</w:t>
          </w:r>
          <w:r>
            <w:rPr>
              <w:bCs/>
            </w:rPr>
            <w:fldChar w:fldCharType="end"/>
          </w:r>
        </w:p>
        <w:p>
          <w:pPr>
            <w:pStyle w:val="5"/>
            <w:tabs>
              <w:tab w:val="right" w:leader="dot" w:pos="8306"/>
            </w:tabs>
          </w:pPr>
          <w:r>
            <w:rPr>
              <w:bCs/>
            </w:rPr>
            <w:fldChar w:fldCharType="begin"/>
          </w:r>
          <w:r>
            <w:rPr>
              <w:bCs/>
            </w:rPr>
            <w:instrText xml:space="preserve"> HYPERLINK \l _Toc6085 </w:instrText>
          </w:r>
          <w:r>
            <w:rPr>
              <w:bCs/>
            </w:rPr>
            <w:fldChar w:fldCharType="separate"/>
          </w:r>
          <w:r>
            <w:rPr>
              <w:rFonts w:hint="eastAsia" w:ascii="Times New Roman" w:hAnsi="Times New Roman" w:eastAsia="楷体"/>
              <w:szCs w:val="30"/>
            </w:rPr>
            <w:t>[金属]</w:t>
          </w:r>
          <w:r>
            <w:rPr>
              <w:bCs/>
            </w:rPr>
            <w:fldChar w:fldCharType="end"/>
          </w:r>
        </w:p>
        <w:p>
          <w:pPr>
            <w:pStyle w:val="6"/>
            <w:tabs>
              <w:tab w:val="right" w:leader="dot" w:pos="8306"/>
            </w:tabs>
          </w:pPr>
          <w:r>
            <w:rPr>
              <w:bCs/>
            </w:rPr>
            <w:fldChar w:fldCharType="begin"/>
          </w:r>
          <w:r>
            <w:rPr>
              <w:bCs/>
            </w:rPr>
            <w:instrText xml:space="preserve"> HYPERLINK \l _Toc7032 </w:instrText>
          </w:r>
          <w:r>
            <w:rPr>
              <w:bCs/>
            </w:rPr>
            <w:fldChar w:fldCharType="separate"/>
          </w:r>
          <w:r>
            <w:rPr>
              <w:rFonts w:hint="eastAsia" w:ascii="楷体" w:hAnsi="楷体" w:eastAsia="楷体"/>
              <w:szCs w:val="24"/>
            </w:rPr>
            <w:t>螺纹钢：</w:t>
          </w:r>
          <w:r>
            <w:rPr>
              <w:rFonts w:hint="eastAsia" w:ascii="楷体" w:hAnsi="楷体" w:eastAsia="楷体"/>
              <w:szCs w:val="24"/>
              <w:highlight w:val="none"/>
            </w:rPr>
            <w:t>节前易冲高，日内交易为主，控制风险</w:t>
          </w:r>
          <w:r>
            <w:rPr>
              <w:bCs/>
            </w:rPr>
            <w:fldChar w:fldCharType="end"/>
          </w:r>
        </w:p>
        <w:p>
          <w:pPr>
            <w:pStyle w:val="6"/>
            <w:tabs>
              <w:tab w:val="right" w:leader="dot" w:pos="8306"/>
            </w:tabs>
          </w:pPr>
          <w:r>
            <w:rPr>
              <w:bCs/>
            </w:rPr>
            <w:fldChar w:fldCharType="begin"/>
          </w:r>
          <w:r>
            <w:rPr>
              <w:bCs/>
            </w:rPr>
            <w:instrText xml:space="preserve"> HYPERLINK \l _Toc14696 </w:instrText>
          </w:r>
          <w:r>
            <w:rPr>
              <w:bCs/>
            </w:rPr>
            <w:fldChar w:fldCharType="separate"/>
          </w:r>
          <w:r>
            <w:rPr>
              <w:rFonts w:hint="eastAsia" w:ascii="楷体" w:hAnsi="楷体" w:eastAsia="楷体"/>
              <w:szCs w:val="24"/>
            </w:rPr>
            <w:t>焦炭：现货转弱，盘面贴水较多下，继续日内宽幅震荡</w:t>
          </w:r>
          <w:r>
            <w:rPr>
              <w:bCs/>
            </w:rPr>
            <w:fldChar w:fldCharType="end"/>
          </w:r>
        </w:p>
        <w:p>
          <w:pPr>
            <w:pStyle w:val="6"/>
            <w:tabs>
              <w:tab w:val="right" w:leader="dot" w:pos="8306"/>
            </w:tabs>
          </w:pPr>
          <w:r>
            <w:rPr>
              <w:bCs/>
            </w:rPr>
            <w:fldChar w:fldCharType="begin"/>
          </w:r>
          <w:r>
            <w:rPr>
              <w:bCs/>
            </w:rPr>
            <w:instrText xml:space="preserve"> HYPERLINK \l _Toc31277 </w:instrText>
          </w:r>
          <w:r>
            <w:rPr>
              <w:bCs/>
            </w:rPr>
            <w:fldChar w:fldCharType="separate"/>
          </w:r>
          <w:r>
            <w:rPr>
              <w:rFonts w:hint="eastAsia" w:ascii="楷体" w:hAnsi="楷体" w:eastAsia="楷体"/>
              <w:szCs w:val="24"/>
            </w:rPr>
            <w:t>焦煤：暂无突破驱动，继续日内宽幅震荡    </w:t>
          </w:r>
          <w:r>
            <w:rPr>
              <w:bCs/>
            </w:rPr>
            <w:fldChar w:fldCharType="end"/>
          </w:r>
        </w:p>
        <w:p>
          <w:pPr>
            <w:pStyle w:val="6"/>
            <w:tabs>
              <w:tab w:val="right" w:leader="dot" w:pos="8306"/>
            </w:tabs>
          </w:pPr>
          <w:r>
            <w:rPr>
              <w:bCs/>
            </w:rPr>
            <w:fldChar w:fldCharType="begin"/>
          </w:r>
          <w:r>
            <w:rPr>
              <w:bCs/>
            </w:rPr>
            <w:instrText xml:space="preserve"> HYPERLINK \l _Toc26388 </w:instrText>
          </w:r>
          <w:r>
            <w:rPr>
              <w:bCs/>
            </w:rPr>
            <w:fldChar w:fldCharType="separate"/>
          </w:r>
          <w:r>
            <w:rPr>
              <w:rFonts w:hint="eastAsia" w:ascii="楷体" w:hAnsi="楷体" w:eastAsia="楷体"/>
              <w:szCs w:val="24"/>
            </w:rPr>
            <w:t>铜：短期缺乏方向性，震荡为主</w:t>
          </w:r>
          <w:r>
            <w:rPr>
              <w:bCs/>
            </w:rPr>
            <w:fldChar w:fldCharType="end"/>
          </w:r>
        </w:p>
        <w:p>
          <w:pPr>
            <w:pStyle w:val="6"/>
            <w:tabs>
              <w:tab w:val="right" w:leader="dot" w:pos="8306"/>
            </w:tabs>
          </w:pPr>
          <w:r>
            <w:rPr>
              <w:bCs/>
            </w:rPr>
            <w:fldChar w:fldCharType="begin"/>
          </w:r>
          <w:r>
            <w:rPr>
              <w:bCs/>
            </w:rPr>
            <w:instrText xml:space="preserve"> HYPERLINK \l _Toc21994 </w:instrText>
          </w:r>
          <w:r>
            <w:rPr>
              <w:bCs/>
            </w:rPr>
            <w:fldChar w:fldCharType="separate"/>
          </w:r>
          <w:r>
            <w:rPr>
              <w:rFonts w:hint="eastAsia" w:ascii="楷体" w:hAnsi="楷体" w:eastAsia="楷体"/>
              <w:szCs w:val="24"/>
            </w:rPr>
            <w:t>铝：铝价仍有支撑，短期维持震荡</w:t>
          </w:r>
          <w:r>
            <w:rPr>
              <w:bCs/>
            </w:rPr>
            <w:fldChar w:fldCharType="end"/>
          </w:r>
        </w:p>
        <w:p>
          <w:pPr>
            <w:pStyle w:val="6"/>
            <w:tabs>
              <w:tab w:val="right" w:leader="dot" w:pos="8306"/>
            </w:tabs>
          </w:pPr>
          <w:r>
            <w:rPr>
              <w:bCs/>
            </w:rPr>
            <w:fldChar w:fldCharType="begin"/>
          </w:r>
          <w:r>
            <w:rPr>
              <w:bCs/>
            </w:rPr>
            <w:instrText xml:space="preserve"> HYPERLINK \l _Toc24374 </w:instrText>
          </w:r>
          <w:r>
            <w:rPr>
              <w:bCs/>
            </w:rPr>
            <w:fldChar w:fldCharType="separate"/>
          </w:r>
          <w:r>
            <w:rPr>
              <w:rFonts w:hint="eastAsia" w:ascii="楷体" w:hAnsi="楷体" w:eastAsia="楷体"/>
              <w:szCs w:val="24"/>
            </w:rPr>
            <w:t>锌：锌市供修需弱，短期价格维持震荡</w:t>
          </w:r>
          <w:r>
            <w:rPr>
              <w:bCs/>
            </w:rPr>
            <w:fldChar w:fldCharType="end"/>
          </w:r>
        </w:p>
        <w:p>
          <w:pPr>
            <w:pStyle w:val="6"/>
            <w:tabs>
              <w:tab w:val="right" w:leader="dot" w:pos="8306"/>
            </w:tabs>
          </w:pPr>
          <w:r>
            <w:rPr>
              <w:bCs/>
            </w:rPr>
            <w:fldChar w:fldCharType="begin"/>
          </w:r>
          <w:r>
            <w:rPr>
              <w:bCs/>
            </w:rPr>
            <w:instrText xml:space="preserve"> HYPERLINK \l _Toc7828 </w:instrText>
          </w:r>
          <w:r>
            <w:rPr>
              <w:bCs/>
            </w:rPr>
            <w:fldChar w:fldCharType="separate"/>
          </w:r>
          <w:r>
            <w:rPr>
              <w:rFonts w:hint="eastAsia" w:ascii="楷体" w:hAnsi="楷体" w:eastAsia="楷体"/>
              <w:szCs w:val="24"/>
            </w:rPr>
            <w:t>镍：维持高位运行，观望为主</w:t>
          </w:r>
          <w:r>
            <w:rPr>
              <w:bCs/>
            </w:rPr>
            <w:fldChar w:fldCharType="end"/>
          </w:r>
        </w:p>
        <w:p>
          <w:pPr>
            <w:pStyle w:val="6"/>
            <w:tabs>
              <w:tab w:val="right" w:leader="dot" w:pos="8306"/>
            </w:tabs>
          </w:pPr>
          <w:r>
            <w:rPr>
              <w:bCs/>
            </w:rPr>
            <w:fldChar w:fldCharType="begin"/>
          </w:r>
          <w:r>
            <w:rPr>
              <w:bCs/>
            </w:rPr>
            <w:instrText xml:space="preserve"> HYPERLINK \l _Toc30886 </w:instrText>
          </w:r>
          <w:r>
            <w:rPr>
              <w:bCs/>
            </w:rPr>
            <w:fldChar w:fldCharType="separate"/>
          </w:r>
          <w:r>
            <w:rPr>
              <w:rFonts w:hint="eastAsia" w:ascii="楷体" w:hAnsi="楷体" w:eastAsia="楷体"/>
              <w:szCs w:val="24"/>
            </w:rPr>
            <w:t>不锈钢：上下驱动均不足，暂时观望</w:t>
          </w:r>
          <w:r>
            <w:rPr>
              <w:bCs/>
            </w:rPr>
            <w:fldChar w:fldCharType="end"/>
          </w:r>
        </w:p>
        <w:p>
          <w:pPr>
            <w:pStyle w:val="6"/>
            <w:tabs>
              <w:tab w:val="right" w:leader="dot" w:pos="8306"/>
            </w:tabs>
          </w:pPr>
          <w:r>
            <w:rPr>
              <w:bCs/>
            </w:rPr>
            <w:fldChar w:fldCharType="begin"/>
          </w:r>
          <w:r>
            <w:rPr>
              <w:bCs/>
            </w:rPr>
            <w:instrText xml:space="preserve"> HYPERLINK \l _Toc25631 </w:instrText>
          </w:r>
          <w:r>
            <w:rPr>
              <w:bCs/>
            </w:rPr>
            <w:fldChar w:fldCharType="separate"/>
          </w:r>
          <w:r>
            <w:rPr>
              <w:rFonts w:hint="eastAsia" w:ascii="楷体" w:hAnsi="楷体" w:eastAsia="楷体"/>
              <w:szCs w:val="24"/>
            </w:rPr>
            <w:t>工业硅：盘面缩量上涨，后续反弹空间或有限</w:t>
          </w:r>
          <w:r>
            <w:rPr>
              <w:bCs/>
            </w:rPr>
            <w:fldChar w:fldCharType="end"/>
          </w:r>
        </w:p>
        <w:p>
          <w:pPr>
            <w:pStyle w:val="5"/>
            <w:tabs>
              <w:tab w:val="right" w:leader="dot" w:pos="8306"/>
            </w:tabs>
          </w:pPr>
          <w:r>
            <w:rPr>
              <w:bCs/>
            </w:rPr>
            <w:fldChar w:fldCharType="begin"/>
          </w:r>
          <w:r>
            <w:rPr>
              <w:bCs/>
            </w:rPr>
            <w:instrText xml:space="preserve"> HYPERLINK \l _Toc11796 </w:instrText>
          </w:r>
          <w:r>
            <w:rPr>
              <w:bCs/>
            </w:rPr>
            <w:fldChar w:fldCharType="separate"/>
          </w:r>
          <w:r>
            <w:rPr>
              <w:rFonts w:hint="eastAsia" w:ascii="Times New Roman" w:hAnsi="Times New Roman" w:eastAsia="楷体"/>
              <w:szCs w:val="30"/>
            </w:rPr>
            <w:t>[化工]</w:t>
          </w:r>
          <w:r>
            <w:rPr>
              <w:bCs/>
            </w:rPr>
            <w:fldChar w:fldCharType="end"/>
          </w:r>
        </w:p>
        <w:p>
          <w:pPr>
            <w:pStyle w:val="6"/>
            <w:tabs>
              <w:tab w:val="right" w:leader="dot" w:pos="8306"/>
            </w:tabs>
          </w:pPr>
          <w:r>
            <w:rPr>
              <w:bCs/>
            </w:rPr>
            <w:fldChar w:fldCharType="begin"/>
          </w:r>
          <w:r>
            <w:rPr>
              <w:bCs/>
            </w:rPr>
            <w:instrText xml:space="preserve"> HYPERLINK \l _Toc32450 </w:instrText>
          </w:r>
          <w:r>
            <w:rPr>
              <w:bCs/>
            </w:rPr>
            <w:fldChar w:fldCharType="separate"/>
          </w:r>
          <w:r>
            <w:rPr>
              <w:rFonts w:hint="eastAsia" w:ascii="Times New Roman" w:hAnsi="Times New Roman" w:eastAsia="楷体"/>
              <w:szCs w:val="24"/>
            </w:rPr>
            <w:t>乙二醇：供增需减 乙二醇走势承压</w:t>
          </w:r>
          <w:r>
            <w:rPr>
              <w:bCs/>
            </w:rPr>
            <w:fldChar w:fldCharType="end"/>
          </w:r>
        </w:p>
        <w:p>
          <w:pPr>
            <w:pStyle w:val="6"/>
            <w:tabs>
              <w:tab w:val="right" w:leader="dot" w:pos="8306"/>
            </w:tabs>
          </w:pPr>
          <w:r>
            <w:rPr>
              <w:bCs/>
            </w:rPr>
            <w:fldChar w:fldCharType="begin"/>
          </w:r>
          <w:r>
            <w:rPr>
              <w:bCs/>
            </w:rPr>
            <w:instrText xml:space="preserve"> HYPERLINK \l _Toc17923 </w:instrText>
          </w:r>
          <w:r>
            <w:rPr>
              <w:bCs/>
            </w:rPr>
            <w:fldChar w:fldCharType="separate"/>
          </w:r>
          <w:r>
            <w:rPr>
              <w:rFonts w:ascii="楷体" w:hAnsi="楷体" w:eastAsia="楷体"/>
              <w:szCs w:val="24"/>
            </w:rPr>
            <w:t>PTA</w:t>
          </w:r>
          <w:r>
            <w:rPr>
              <w:rFonts w:hint="eastAsia" w:ascii="楷体" w:hAnsi="楷体" w:eastAsia="楷体"/>
              <w:szCs w:val="24"/>
            </w:rPr>
            <w:t>：下游即将迎来放假  TA面临下行风险</w:t>
          </w:r>
          <w:r>
            <w:rPr>
              <w:bCs/>
            </w:rPr>
            <w:fldChar w:fldCharType="end"/>
          </w:r>
        </w:p>
        <w:p>
          <w:pPr>
            <w:pStyle w:val="6"/>
            <w:tabs>
              <w:tab w:val="right" w:leader="dot" w:pos="8306"/>
            </w:tabs>
          </w:pPr>
          <w:r>
            <w:rPr>
              <w:bCs/>
            </w:rPr>
            <w:fldChar w:fldCharType="begin"/>
          </w:r>
          <w:r>
            <w:rPr>
              <w:bCs/>
            </w:rPr>
            <w:instrText xml:space="preserve"> HYPERLINK \l _Toc13713 </w:instrText>
          </w:r>
          <w:r>
            <w:rPr>
              <w:bCs/>
            </w:rPr>
            <w:fldChar w:fldCharType="separate"/>
          </w:r>
          <w:r>
            <w:rPr>
              <w:rFonts w:hint="eastAsia" w:ascii="楷体" w:hAnsi="楷体" w:eastAsia="楷体"/>
              <w:szCs w:val="24"/>
            </w:rPr>
            <w:t>聚烯烃：节前补库释放不及预期，聚烯烃或延续窄幅整理</w:t>
          </w:r>
          <w:r>
            <w:rPr>
              <w:bCs/>
            </w:rPr>
            <w:fldChar w:fldCharType="end"/>
          </w:r>
        </w:p>
        <w:p>
          <w:pPr>
            <w:pStyle w:val="5"/>
            <w:tabs>
              <w:tab w:val="right" w:leader="dot" w:pos="8306"/>
            </w:tabs>
          </w:pPr>
          <w:r>
            <w:rPr>
              <w:bCs/>
            </w:rPr>
            <w:fldChar w:fldCharType="begin"/>
          </w:r>
          <w:r>
            <w:rPr>
              <w:bCs/>
            </w:rPr>
            <w:instrText xml:space="preserve"> HYPERLINK \l _Toc871 </w:instrText>
          </w:r>
          <w:r>
            <w:rPr>
              <w:bCs/>
            </w:rPr>
            <w:fldChar w:fldCharType="separate"/>
          </w:r>
          <w:r>
            <w:rPr>
              <w:rFonts w:hint="eastAsia" w:ascii="Times New Roman" w:hAnsi="Times New Roman" w:eastAsia="楷体"/>
              <w:szCs w:val="30"/>
            </w:rPr>
            <w:t>[农产品]</w:t>
          </w:r>
          <w:r>
            <w:rPr>
              <w:bCs/>
            </w:rPr>
            <w:fldChar w:fldCharType="end"/>
          </w:r>
        </w:p>
        <w:p>
          <w:pPr>
            <w:pStyle w:val="6"/>
            <w:tabs>
              <w:tab w:val="right" w:leader="dot" w:pos="8306"/>
            </w:tabs>
          </w:pPr>
          <w:r>
            <w:rPr>
              <w:bCs/>
            </w:rPr>
            <w:fldChar w:fldCharType="begin"/>
          </w:r>
          <w:r>
            <w:rPr>
              <w:bCs/>
            </w:rPr>
            <w:instrText xml:space="preserve"> HYPERLINK \l _Toc16150 </w:instrText>
          </w:r>
          <w:r>
            <w:rPr>
              <w:bCs/>
            </w:rPr>
            <w:fldChar w:fldCharType="separate"/>
          </w:r>
          <w:r>
            <w:rPr>
              <w:rFonts w:hint="eastAsia" w:ascii="楷体" w:hAnsi="楷体" w:eastAsia="楷体"/>
              <w:szCs w:val="24"/>
            </w:rPr>
            <w:t>豆粕：短期维持高位震荡，低多操作</w:t>
          </w:r>
          <w:r>
            <w:rPr>
              <w:bCs/>
            </w:rPr>
            <w:fldChar w:fldCharType="end"/>
          </w:r>
        </w:p>
        <w:p>
          <w:pPr>
            <w:pStyle w:val="6"/>
            <w:tabs>
              <w:tab w:val="right" w:leader="dot" w:pos="8306"/>
            </w:tabs>
          </w:pPr>
          <w:r>
            <w:rPr>
              <w:bCs/>
            </w:rPr>
            <w:fldChar w:fldCharType="begin"/>
          </w:r>
          <w:r>
            <w:rPr>
              <w:bCs/>
            </w:rPr>
            <w:instrText xml:space="preserve"> HYPERLINK \l _Toc27744 </w:instrText>
          </w:r>
          <w:r>
            <w:rPr>
              <w:bCs/>
            </w:rPr>
            <w:fldChar w:fldCharType="separate"/>
          </w:r>
          <w:r>
            <w:rPr>
              <w:rFonts w:hint="eastAsia" w:ascii="楷体" w:hAnsi="楷体" w:eastAsia="楷体"/>
              <w:szCs w:val="24"/>
            </w:rPr>
            <w:t>油脂：持续上涨驱动不足，维持底部宽幅震荡</w:t>
          </w:r>
          <w:r>
            <w:rPr>
              <w:bCs/>
            </w:rPr>
            <w:fldChar w:fldCharType="end"/>
          </w:r>
        </w:p>
        <w:p>
          <w:pPr>
            <w:pStyle w:val="6"/>
            <w:tabs>
              <w:tab w:val="right" w:leader="dot" w:pos="8306"/>
            </w:tabs>
          </w:pPr>
          <w:r>
            <w:rPr>
              <w:bCs/>
            </w:rPr>
            <w:fldChar w:fldCharType="begin"/>
          </w:r>
          <w:r>
            <w:rPr>
              <w:bCs/>
            </w:rPr>
            <w:instrText xml:space="preserve"> HYPERLINK \l _Toc5039 </w:instrText>
          </w:r>
          <w:r>
            <w:rPr>
              <w:bCs/>
            </w:rPr>
            <w:fldChar w:fldCharType="separate"/>
          </w:r>
          <w:r>
            <w:rPr>
              <w:rFonts w:hint="eastAsia" w:ascii="楷体" w:hAnsi="楷体" w:eastAsia="楷体"/>
              <w:bCs/>
            </w:rPr>
            <w:t>玉米与淀粉：</w:t>
          </w:r>
          <w:r>
            <w:rPr>
              <w:rFonts w:hint="eastAsia" w:ascii="楷体" w:hAnsi="楷体" w:eastAsia="楷体"/>
            </w:rPr>
            <w:t>期价震荡调整</w:t>
          </w:r>
          <w:r>
            <w:rPr>
              <w:bCs/>
            </w:rPr>
            <w:fldChar w:fldCharType="end"/>
          </w:r>
        </w:p>
        <w:p>
          <w:pPr>
            <w:pStyle w:val="6"/>
            <w:tabs>
              <w:tab w:val="right" w:leader="dot" w:pos="8306"/>
            </w:tabs>
          </w:pPr>
          <w:r>
            <w:rPr>
              <w:bCs/>
            </w:rPr>
            <w:fldChar w:fldCharType="begin"/>
          </w:r>
          <w:r>
            <w:rPr>
              <w:bCs/>
            </w:rPr>
            <w:instrText xml:space="preserve"> HYPERLINK \l _Toc24493 </w:instrText>
          </w:r>
          <w:r>
            <w:rPr>
              <w:bCs/>
            </w:rPr>
            <w:fldChar w:fldCharType="separate"/>
          </w:r>
          <w:r>
            <w:rPr>
              <w:rFonts w:hint="eastAsia" w:ascii="楷体" w:hAnsi="楷体" w:eastAsia="楷体"/>
              <w:bCs/>
            </w:rPr>
            <w:t>畜禽养殖：鸡蛋现货继续反弹</w:t>
          </w:r>
          <w:r>
            <w:rPr>
              <w:bCs/>
            </w:rPr>
            <w:fldChar w:fldCharType="end"/>
          </w:r>
        </w:p>
        <w:p>
          <w:pPr>
            <w:pStyle w:val="6"/>
            <w:tabs>
              <w:tab w:val="right" w:leader="dot" w:pos="8306"/>
            </w:tabs>
          </w:pPr>
          <w:r>
            <w:rPr>
              <w:bCs/>
            </w:rPr>
            <w:fldChar w:fldCharType="begin"/>
          </w:r>
          <w:r>
            <w:rPr>
              <w:bCs/>
            </w:rPr>
            <w:instrText xml:space="preserve"> HYPERLINK \l _Toc1960 </w:instrText>
          </w:r>
          <w:r>
            <w:rPr>
              <w:bCs/>
            </w:rPr>
            <w:fldChar w:fldCharType="separate"/>
          </w:r>
          <w:r>
            <w:rPr>
              <w:rFonts w:hint="eastAsia" w:ascii="楷体" w:hAnsi="楷体" w:eastAsia="楷体"/>
              <w:szCs w:val="24"/>
            </w:rPr>
            <w:t>郑棉：美棉偏弱震荡。郑棉窄幅整理，看跌期权持有</w:t>
          </w:r>
          <w:r>
            <w:rPr>
              <w:bCs/>
            </w:rPr>
            <w:fldChar w:fldCharType="end"/>
          </w:r>
        </w:p>
        <w:p>
          <w:r>
            <w:rPr>
              <w:bCs/>
            </w:rPr>
            <w:fldChar w:fldCharType="end"/>
          </w:r>
        </w:p>
      </w:sdtContent>
    </w:sdt>
    <w:p>
      <w:pPr>
        <w:rPr>
          <w:rFonts w:ascii="Times New Roman" w:hAnsi="Times New Roman" w:eastAsia="楷体"/>
          <w:b/>
        </w:rPr>
      </w:pPr>
    </w:p>
    <w:p>
      <w:pPr>
        <w:rPr>
          <w:rFonts w:ascii="Times New Roman" w:hAnsi="Times New Roman" w:eastAsia="楷体"/>
          <w:b/>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b/>
          <w:color w:val="823C0B"/>
          <w:sz w:val="24"/>
          <w:lang w:val="en-US" w:eastAsia="zh-CN"/>
        </w:rPr>
        <w:t>本文</w:t>
      </w:r>
      <w:r>
        <w:rPr>
          <w:rFonts w:hint="eastAsia" w:ascii="Times New Roman" w:hAnsi="Times New Roman" w:eastAsia="楷体" w:cs="Times New Roman"/>
          <w:b/>
          <w:color w:val="823C0B"/>
          <w:sz w:val="24"/>
        </w:rPr>
        <w:t>观点</w:t>
      </w:r>
      <w:r>
        <w:rPr>
          <w:rFonts w:hint="eastAsia" w:ascii="Times New Roman" w:hAnsi="Times New Roman" w:eastAsia="楷体" w:cs="Times New Roman"/>
          <w:b/>
          <w:color w:val="823C0B"/>
          <w:sz w:val="24"/>
          <w:lang w:eastAsia="zh-CN"/>
        </w:rPr>
        <w:t>、</w:t>
      </w:r>
      <w:r>
        <w:rPr>
          <w:rFonts w:hint="eastAsia" w:ascii="Times New Roman" w:hAnsi="Times New Roman" w:eastAsia="楷体" w:cs="Times New Roman"/>
          <w:b/>
          <w:color w:val="823C0B"/>
          <w:sz w:val="24"/>
          <w:lang w:val="en-US" w:eastAsia="zh-CN"/>
        </w:rPr>
        <w:t>结论和</w:t>
      </w:r>
      <w:r>
        <w:rPr>
          <w:rFonts w:hint="eastAsia" w:ascii="Times New Roman" w:hAnsi="Times New Roman" w:eastAsia="楷体" w:cs="Times New Roman"/>
          <w:b/>
          <w:color w:val="823C0B"/>
          <w:sz w:val="24"/>
        </w:rPr>
        <w:t>建议</w:t>
      </w:r>
      <w:r>
        <w:rPr>
          <w:rFonts w:hint="eastAsia" w:ascii="Times New Roman" w:hAnsi="Times New Roman" w:eastAsia="楷体" w:cs="Times New Roman"/>
          <w:b/>
          <w:color w:val="823C0B"/>
          <w:sz w:val="24"/>
          <w:lang w:val="en-US" w:eastAsia="zh-CN"/>
        </w:rPr>
        <w:t>等</w:t>
      </w:r>
      <w:r>
        <w:rPr>
          <w:rFonts w:hint="eastAsia" w:ascii="Times New Roman" w:hAnsi="Times New Roman" w:eastAsia="楷体" w:cs="Times New Roman"/>
          <w:b/>
          <w:color w:val="823C0B"/>
          <w:sz w:val="24"/>
        </w:rPr>
        <w:t>仅供参考，并不构成操作依据！请阅读文末免责声明。</w:t>
      </w:r>
    </w:p>
    <w:p>
      <w:pPr>
        <w:rPr>
          <w:rFonts w:hint="eastAsia"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0" w:name="_Toc18033"/>
      <w:bookmarkStart w:id="1" w:name="_Toc19317"/>
      <w:bookmarkStart w:id="2" w:name="_Toc20987"/>
      <w:bookmarkStart w:id="3" w:name="金融"/>
      <w:r>
        <w:rPr>
          <w:rFonts w:hint="eastAsia" w:ascii="Times New Roman" w:hAnsi="Times New Roman" w:eastAsia="楷体"/>
          <w:b/>
          <w:color w:val="823C0B"/>
          <w:sz w:val="30"/>
          <w:szCs w:val="30"/>
        </w:rPr>
        <w:t>[金融]</w:t>
      </w:r>
      <w:bookmarkEnd w:id="0"/>
      <w:bookmarkEnd w:id="1"/>
      <w:bookmarkEnd w:id="2"/>
    </w:p>
    <w:bookmarkEnd w:id="3"/>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 w:name="_Toc965"/>
      <w:bookmarkStart w:id="5" w:name="_Toc16295"/>
      <w:bookmarkStart w:id="6" w:name="_Toc14325"/>
      <w:r>
        <w:rPr>
          <w:rFonts w:hint="eastAsia" w:ascii="Times New Roman" w:hAnsi="Times New Roman" w:eastAsia="楷体"/>
          <w:b/>
          <w:color w:val="000000" w:themeColor="text1"/>
          <w:sz w:val="24"/>
          <w:szCs w:val="24"/>
          <w14:textFill>
            <w14:solidFill>
              <w14:schemeClr w14:val="tx1"/>
            </w14:solidFill>
          </w14:textFill>
        </w:rPr>
        <w:t>股指：</w:t>
      </w:r>
      <w:bookmarkEnd w:id="4"/>
      <w:bookmarkEnd w:id="5"/>
      <w:r>
        <w:rPr>
          <w:rFonts w:hint="eastAsia" w:ascii="Times New Roman" w:hAnsi="Times New Roman" w:eastAsia="楷体"/>
          <w:b/>
          <w:color w:val="000000" w:themeColor="text1"/>
          <w:sz w:val="24"/>
          <w:szCs w:val="24"/>
          <w:highlight w:val="none"/>
          <w14:textFill>
            <w14:solidFill>
              <w14:schemeClr w14:val="tx1"/>
            </w14:solidFill>
          </w14:textFill>
        </w:rPr>
        <w:t>IC多单持有</w:t>
      </w:r>
      <w:bookmarkEnd w:id="6"/>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跨年效应下市场成交地量，缺乏上行合力，后续市场或逐渐交易疫情第一波过度悲观的情绪修复，考虑前期中小盘的超跌，开放政策落地使得消费链为代表的大盘股有逢高获利了结风险，市场或以结构性行情为主，建议IC多单持有。</w:t>
      </w:r>
    </w:p>
    <w:p>
      <w:pPr>
        <w:pBdr>
          <w:top w:val="single" w:color="auto" w:sz="4" w:space="0"/>
        </w:pBdr>
        <w:outlineLvl w:val="0"/>
        <w:rPr>
          <w:rFonts w:ascii="Times New Roman" w:hAnsi="Times New Roman" w:eastAsia="楷体"/>
          <w:b/>
          <w:color w:val="823C0B"/>
        </w:rPr>
      </w:pPr>
      <w:bookmarkStart w:id="7" w:name="_Toc26710"/>
      <w:r>
        <w:rPr>
          <w:rFonts w:hint="eastAsia" w:ascii="Times New Roman" w:hAnsi="Times New Roman" w:eastAsia="楷体"/>
          <w:b/>
          <w:color w:val="823C0B"/>
          <w:sz w:val="30"/>
          <w:szCs w:val="30"/>
        </w:rPr>
        <w:t>[</w:t>
      </w:r>
      <w:r>
        <w:rPr>
          <w:rFonts w:hint="eastAsia" w:ascii="Times New Roman" w:hAnsi="Times New Roman" w:eastAsia="楷体"/>
          <w:b/>
          <w:color w:val="823C0B"/>
          <w:sz w:val="30"/>
          <w:szCs w:val="30"/>
          <w:lang w:val="en-US" w:eastAsia="zh-CN"/>
        </w:rPr>
        <w:t>贵</w:t>
      </w:r>
      <w:r>
        <w:rPr>
          <w:rFonts w:hint="eastAsia" w:ascii="Times New Roman" w:hAnsi="Times New Roman" w:eastAsia="楷体"/>
          <w:b/>
          <w:color w:val="823C0B"/>
          <w:sz w:val="30"/>
          <w:szCs w:val="30"/>
        </w:rPr>
        <w:t>金</w:t>
      </w:r>
      <w:r>
        <w:rPr>
          <w:rFonts w:hint="eastAsia" w:ascii="Times New Roman" w:hAnsi="Times New Roman" w:eastAsia="楷体"/>
          <w:b/>
          <w:color w:val="823C0B"/>
          <w:sz w:val="30"/>
          <w:szCs w:val="30"/>
          <w:lang w:val="en-US" w:eastAsia="zh-CN"/>
        </w:rPr>
        <w:t>属</w:t>
      </w:r>
      <w:r>
        <w:rPr>
          <w:rFonts w:hint="eastAsia" w:ascii="Times New Roman" w:hAnsi="Times New Roman" w:eastAsia="楷体"/>
          <w:b/>
          <w:color w:val="823C0B"/>
          <w:sz w:val="30"/>
          <w:szCs w:val="30"/>
        </w:rPr>
        <w:t>]</w:t>
      </w:r>
      <w:bookmarkEnd w:id="7"/>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8" w:name="_Toc12021"/>
      <w:r>
        <w:rPr>
          <w:rFonts w:hint="eastAsia" w:ascii="Times New Roman" w:hAnsi="Times New Roman" w:eastAsia="楷体"/>
          <w:b/>
          <w:color w:val="000000" w:themeColor="text1"/>
          <w:sz w:val="24"/>
          <w:szCs w:val="24"/>
          <w14:textFill>
            <w14:solidFill>
              <w14:schemeClr w14:val="tx1"/>
            </w14:solidFill>
          </w14:textFill>
        </w:rPr>
        <w:t>贵金属：</w:t>
      </w:r>
      <w:r>
        <w:rPr>
          <w:rFonts w:hint="eastAsia" w:ascii="Times New Roman" w:hAnsi="Times New Roman" w:eastAsia="楷体"/>
          <w:b/>
          <w:color w:val="000000" w:themeColor="text1"/>
          <w:sz w:val="24"/>
          <w:szCs w:val="24"/>
          <w:highlight w:val="none"/>
          <w14:textFill>
            <w14:solidFill>
              <w14:schemeClr w14:val="tx1"/>
            </w14:solidFill>
          </w14:textFill>
        </w:rPr>
        <w:t>美国就业维持韧性，贵金属价格维持涨势</w:t>
      </w:r>
      <w:bookmarkEnd w:id="8"/>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美国最新当周初请失业金人数增加9000人至22.5万人，符合市场预期，美国就业维持韧性。当周续请失业金人数上升至170万人。隔夜美元指数回落至104下方，美十债收益率震荡下行，当前暂报3.83。美元指数偏弱表现对贵金属价格形成支撑，建议沪金、沪银多单继续持有。</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9" w:name="_Toc20891"/>
      <w:bookmarkStart w:id="10" w:name="_Toc3096"/>
      <w:bookmarkStart w:id="11" w:name="金属"/>
      <w:bookmarkStart w:id="12" w:name="_Toc6085"/>
      <w:bookmarkStart w:id="13" w:name="农产品"/>
      <w:r>
        <w:rPr>
          <w:rFonts w:hint="eastAsia" w:ascii="Times New Roman" w:hAnsi="Times New Roman" w:eastAsia="楷体"/>
          <w:b/>
          <w:color w:val="823C0B"/>
          <w:sz w:val="30"/>
          <w:szCs w:val="30"/>
        </w:rPr>
        <w:t>[金属]</w:t>
      </w:r>
      <w:bookmarkEnd w:id="9"/>
      <w:bookmarkEnd w:id="10"/>
      <w:bookmarkEnd w:id="11"/>
      <w:bookmarkEnd w:id="12"/>
    </w:p>
    <w:p>
      <w:pPr>
        <w:ind w:left="420" w:leftChars="200"/>
        <w:outlineLvl w:val="1"/>
        <w:rPr>
          <w:rFonts w:ascii="楷体" w:hAnsi="楷体" w:eastAsia="楷体"/>
          <w:b/>
          <w:color w:val="000000" w:themeColor="text1"/>
          <w:sz w:val="24"/>
          <w:szCs w:val="24"/>
          <w14:textFill>
            <w14:solidFill>
              <w14:schemeClr w14:val="tx1"/>
            </w14:solidFill>
          </w14:textFill>
        </w:rPr>
      </w:pPr>
      <w:bookmarkStart w:id="14" w:name="_Toc27831"/>
      <w:bookmarkStart w:id="15" w:name="_Toc5371"/>
      <w:bookmarkStart w:id="16" w:name="_Toc7032"/>
      <w:r>
        <w:rPr>
          <w:rFonts w:hint="eastAsia" w:ascii="楷体" w:hAnsi="楷体" w:eastAsia="楷体"/>
          <w:b/>
          <w:color w:val="000000" w:themeColor="text1"/>
          <w:sz w:val="24"/>
          <w:szCs w:val="24"/>
          <w14:textFill>
            <w14:solidFill>
              <w14:schemeClr w14:val="tx1"/>
            </w14:solidFill>
          </w14:textFill>
        </w:rPr>
        <w:t>螺纹钢：</w:t>
      </w:r>
      <w:bookmarkEnd w:id="14"/>
      <w:bookmarkEnd w:id="15"/>
      <w:r>
        <w:rPr>
          <w:rFonts w:hint="eastAsia" w:ascii="楷体" w:hAnsi="楷体" w:eastAsia="楷体"/>
          <w:b/>
          <w:color w:val="000000" w:themeColor="text1"/>
          <w:sz w:val="24"/>
          <w:szCs w:val="24"/>
          <w:highlight w:val="none"/>
          <w14:textFill>
            <w14:solidFill>
              <w14:schemeClr w14:val="tx1"/>
            </w14:solidFill>
          </w14:textFill>
        </w:rPr>
        <w:t>节前易冲高，日内交易为主，控制风险</w:t>
      </w:r>
      <w:bookmarkEnd w:id="1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节前或容易冲高，预计短期偏强运行，元旦将至，或需控制持仓风险，建议继续以日内交易为主。市场进入季节性累库阶段，贸易商冬储意愿较弱，冬储大部分由钢厂完成，大跌大涨或需现货端完成库存转移，预计盘面或继续宽幅震荡整理，日内波动或放大。但上方电炉钢成本的压力会比较明显，关注上方压力区间（4050,4100），下方（3850,3900）的支撑区间。</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7" w:name="_Toc11356"/>
      <w:bookmarkStart w:id="18" w:name="_Toc4790"/>
      <w:bookmarkStart w:id="19" w:name="_Toc14696"/>
      <w:r>
        <w:rPr>
          <w:rFonts w:hint="eastAsia" w:ascii="楷体" w:hAnsi="楷体" w:eastAsia="楷体"/>
          <w:b/>
          <w:color w:val="000000" w:themeColor="text1"/>
          <w:sz w:val="24"/>
          <w:szCs w:val="24"/>
          <w14:textFill>
            <w14:solidFill>
              <w14:schemeClr w14:val="tx1"/>
            </w14:solidFill>
          </w14:textFill>
        </w:rPr>
        <w:t>焦炭：</w:t>
      </w:r>
      <w:bookmarkEnd w:id="17"/>
      <w:bookmarkEnd w:id="18"/>
      <w:r>
        <w:rPr>
          <w:rFonts w:hint="eastAsia" w:ascii="楷体" w:hAnsi="楷体" w:eastAsia="楷体"/>
          <w:b/>
          <w:color w:val="000000" w:themeColor="text1"/>
          <w:sz w:val="24"/>
          <w:szCs w:val="24"/>
          <w14:textFill>
            <w14:solidFill>
              <w14:schemeClr w14:val="tx1"/>
            </w14:solidFill>
          </w14:textFill>
        </w:rPr>
        <w:t>现货转弱，盘面贴水较多下，继续日内宽幅震荡</w:t>
      </w:r>
      <w:bookmarkEnd w:id="1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横盘震荡，随成材波动。现货端，港口焦炭价格小幅度回调后保持稳定，继续向上驱动转弱，或有提降可能，盘面随成材震荡，关注上方压力区间（2780,2830），运行区间（2630,2780），等待市场主线更加清晰。</w:t>
      </w:r>
    </w:p>
    <w:p>
      <w:pPr>
        <w:ind w:left="210" w:leftChars="100"/>
        <w:rPr>
          <w:rFonts w:ascii="楷体" w:hAnsi="楷体" w:eastAsia="楷体"/>
          <w:bCs/>
          <w:sz w:val="24"/>
          <w:szCs w:val="24"/>
        </w:rPr>
      </w:pPr>
    </w:p>
    <w:p>
      <w:pPr>
        <w:ind w:left="420" w:leftChars="200"/>
        <w:outlineLvl w:val="1"/>
        <w:rPr>
          <w:rFonts w:hint="eastAsia" w:ascii="楷体" w:hAnsi="楷体" w:eastAsia="楷体"/>
          <w:b/>
          <w:sz w:val="24"/>
          <w:szCs w:val="24"/>
        </w:rPr>
      </w:pPr>
      <w:bookmarkStart w:id="20" w:name="_Toc31277"/>
      <w:r>
        <w:rPr>
          <w:rFonts w:hint="eastAsia" w:ascii="楷体" w:hAnsi="楷体" w:eastAsia="楷体"/>
          <w:b/>
          <w:color w:val="000000" w:themeColor="text1"/>
          <w:sz w:val="24"/>
          <w:szCs w:val="24"/>
          <w14:textFill>
            <w14:solidFill>
              <w14:schemeClr w14:val="tx1"/>
            </w14:solidFill>
          </w14:textFill>
        </w:rPr>
        <w:t>焦煤：</w:t>
      </w:r>
      <w:r>
        <w:rPr>
          <w:rFonts w:hint="eastAsia" w:ascii="楷体" w:hAnsi="楷体" w:eastAsia="楷体"/>
          <w:b/>
          <w:sz w:val="24"/>
          <w:szCs w:val="24"/>
        </w:rPr>
        <w:t>暂无突破驱动，继续日内宽幅震荡    </w:t>
      </w:r>
      <w:bookmarkEnd w:id="20"/>
    </w:p>
    <w:p>
      <w:pPr>
        <w:ind w:left="630" w:leftChars="300"/>
        <w:rPr>
          <w:rFonts w:ascii="楷体" w:hAnsi="楷体" w:eastAsia="楷体"/>
          <w:bCs/>
          <w:sz w:val="24"/>
          <w:szCs w:val="24"/>
        </w:rPr>
      </w:pPr>
      <w:r>
        <w:rPr>
          <w:rFonts w:hint="eastAsia" w:ascii="楷体" w:hAnsi="楷体" w:eastAsia="楷体"/>
          <w:sz w:val="24"/>
          <w:szCs w:val="24"/>
        </w:rPr>
        <w:t>利好消息刺激，盘面随螺纹转强。但是现货自身的驱动在转弱，预计整体维持宽幅震荡，短期偏强，预计短期焦煤05合约在（1800,1980）区间支撑震荡，短期上方压力（1965,1976）。</w:t>
      </w:r>
    </w:p>
    <w:p>
      <w:pPr>
        <w:ind w:firstLine="480" w:firstLineChars="200"/>
        <w:rPr>
          <w:rFonts w:ascii="楷体" w:hAnsi="楷体" w:eastAsia="楷体"/>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1" w:name="_Toc9719"/>
      <w:bookmarkStart w:id="22" w:name="_Toc25617"/>
      <w:bookmarkStart w:id="23" w:name="_Toc26388"/>
      <w:r>
        <w:rPr>
          <w:rFonts w:hint="eastAsia" w:ascii="楷体" w:hAnsi="楷体" w:eastAsia="楷体"/>
          <w:b/>
          <w:color w:val="000000" w:themeColor="text1"/>
          <w:sz w:val="24"/>
          <w:szCs w:val="24"/>
          <w14:textFill>
            <w14:solidFill>
              <w14:schemeClr w14:val="tx1"/>
            </w14:solidFill>
          </w14:textFill>
        </w:rPr>
        <w:t>铜：</w:t>
      </w:r>
      <w:bookmarkEnd w:id="21"/>
      <w:bookmarkEnd w:id="22"/>
      <w:r>
        <w:rPr>
          <w:rFonts w:hint="eastAsia" w:ascii="楷体" w:hAnsi="楷体" w:eastAsia="楷体"/>
          <w:b/>
          <w:color w:val="000000" w:themeColor="text1"/>
          <w:sz w:val="24"/>
          <w:szCs w:val="24"/>
          <w14:textFill>
            <w14:solidFill>
              <w14:schemeClr w14:val="tx1"/>
            </w14:solidFill>
          </w14:textFill>
        </w:rPr>
        <w:t>短期缺乏方向性，震荡为主</w:t>
      </w:r>
      <w:bookmarkEnd w:id="23"/>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(1)产业：2022年12月29日，CSPT召开线上会议，敲定2023年第一季度铜精矿现货TC指导价为93美元/干吨。2022年第四季度CSPT现货TC指导价为93美元/干吨。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(2)库存：12月29日，SHFE仓单库存28772吨，增2589吨；LME 仓单库存86025吨，增4625吨。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(3)精废价差：12月29日，Mysteel精废价差1927，收窄4。目前价差在合理价差1362之上。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国内防疫政策进一步放宽，地产利好政策逐步兑现，整体市场情绪表现乐观。供需面，进入消费淡季，市场需求维持弱势，同时，国内的产量和进口都难以在短期内出现大幅回升，明显的累库时间或将推迟至明年。国内库存再度去化，现货偏紧对价格仍然形成支撑。价格目前跟随宏观情绪波动，短期缺乏方向性，参考65000-67500。</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8897"/>
      <w:bookmarkStart w:id="25" w:name="_Toc6247"/>
      <w:bookmarkStart w:id="26" w:name="_Toc21994"/>
      <w:r>
        <w:rPr>
          <w:rFonts w:hint="eastAsia" w:ascii="楷体" w:hAnsi="楷体" w:eastAsia="楷体"/>
          <w:b/>
          <w:color w:val="000000" w:themeColor="text1"/>
          <w:sz w:val="24"/>
          <w:szCs w:val="24"/>
          <w14:textFill>
            <w14:solidFill>
              <w14:schemeClr w14:val="tx1"/>
            </w14:solidFill>
          </w14:textFill>
        </w:rPr>
        <w:t>铝：</w:t>
      </w:r>
      <w:bookmarkEnd w:id="24"/>
      <w:bookmarkEnd w:id="25"/>
      <w:r>
        <w:rPr>
          <w:rFonts w:hint="eastAsia" w:ascii="楷体" w:hAnsi="楷体" w:eastAsia="楷体"/>
          <w:b/>
          <w:color w:val="000000" w:themeColor="text1"/>
          <w:sz w:val="24"/>
          <w:szCs w:val="24"/>
          <w14:textFill>
            <w14:solidFill>
              <w14:schemeClr w14:val="tx1"/>
            </w14:solidFill>
          </w14:textFill>
        </w:rPr>
        <w:t>铝价仍有支撑，短期维持震荡</w:t>
      </w:r>
      <w:bookmarkEnd w:id="26"/>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近期国内宣布对新冠病毒感染实施“乙类乙管”，开放国门优化管理，市场交投情绪提振。印尼表示从23年中旬开始禁止铝土矿出口，铝价获得供应缺口预期支撑。国内宏观延续内需向好，实际政策投放效果仍待市场检验，多地疫情蔓延对经济消费有消极影响，叠加进入消费淡季，需求走向更为疲弱，低库存现状仍存，价格有较强支撑，短期以震荡为主。</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7" w:name="_Toc24374"/>
      <w:r>
        <w:rPr>
          <w:rFonts w:hint="eastAsia" w:ascii="楷体" w:hAnsi="楷体" w:eastAsia="楷体"/>
          <w:b/>
          <w:color w:val="000000" w:themeColor="text1"/>
          <w:sz w:val="24"/>
          <w:szCs w:val="24"/>
          <w14:textFill>
            <w14:solidFill>
              <w14:schemeClr w14:val="tx1"/>
            </w14:solidFill>
          </w14:textFill>
        </w:rPr>
        <w:t>锌：锌市供修需弱，短期价格维持震荡</w:t>
      </w:r>
      <w:bookmarkEnd w:id="27"/>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29日沪锌隔夜收盘价格23635元/吨，跌幅0.86%，上海有色网0#锌锭（Zn99.995）现货报价24140元/吨，较上一统计日报价上涨110元/吨。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海外宏观仍处“高通胀”叠加“强加息”背景之下，全球经济衰退风险仍存，国内将新冠肺炎更名并实施“乙类乙管”，疫情对市场冲击走弱。国内锌矿端表现宽松，冶炼端仍有较高利润刺激冶炼厂追产，但受疫情开放影响整体开工率仍在走弱，需求进入消费淡季，部分企业停产检修或提前放假，现货市场供应偏紧，贸易商惜售，库存仍维持低位，上中游宽松加产，下游消费疲弱，后续或有锌产累库动作，但短期大幅累库可能性较小，锌价重心下移，短期价格震荡为主。</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8" w:name="_Toc7828"/>
      <w:r>
        <w:rPr>
          <w:rFonts w:hint="eastAsia" w:ascii="楷体" w:hAnsi="楷体" w:eastAsia="楷体"/>
          <w:b/>
          <w:color w:val="000000" w:themeColor="text1"/>
          <w:sz w:val="24"/>
          <w:szCs w:val="24"/>
          <w14:textFill>
            <w14:solidFill>
              <w14:schemeClr w14:val="tx1"/>
            </w14:solidFill>
          </w14:textFill>
        </w:rPr>
        <w:t>镍：维持高位运行，观望为主</w:t>
      </w:r>
      <w:bookmarkEnd w:id="28"/>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国内防疫政策进一步放宽，地产利好政策逐步兑现，整体市场情绪表现乐观。国内精炼镍库存持续走低，现货紧缺，升水高企，支撑镍价。LME镍库存缓慢回升，现货大幅贴水，反应海外需求疲弱。预计镍价仍将维持高位运行，继续上行驱动有限。当前镍估值偏高，交易上不建议追多，观望为主。</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9" w:name="_Toc30886"/>
      <w:r>
        <w:rPr>
          <w:rFonts w:hint="eastAsia" w:ascii="楷体" w:hAnsi="楷体" w:eastAsia="楷体"/>
          <w:b/>
          <w:color w:val="000000" w:themeColor="text1"/>
          <w:sz w:val="24"/>
          <w:szCs w:val="24"/>
          <w14:textFill>
            <w14:solidFill>
              <w14:schemeClr w14:val="tx1"/>
            </w14:solidFill>
          </w14:textFill>
        </w:rPr>
        <w:t>不锈钢：上下驱动均不足，暂时观望</w:t>
      </w:r>
      <w:bookmarkEnd w:id="29"/>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受到短期疫情冲击影响，叠加淡季，不锈钢需求疲弱，社会库存持续增加，短期价格仍将承压运行。但向下亦存在较强成本支撑，下跌空间亦不大。当前价格跟随宏观情绪波动，短期缺乏方向性，预计宽幅震荡为主，建议寻找上下安全边际参与区间交易，参考16500-17800。</w:t>
      </w:r>
    </w:p>
    <w:p>
      <w:pPr>
        <w:rPr>
          <w:rFonts w:ascii="楷体" w:hAnsi="楷体" w:eastAsia="楷体"/>
          <w:bCs/>
          <w:sz w:val="24"/>
          <w:szCs w:val="24"/>
        </w:rPr>
      </w:pPr>
    </w:p>
    <w:p>
      <w:pPr>
        <w:ind w:left="420" w:leftChars="200"/>
        <w:outlineLvl w:val="1"/>
        <w:rPr>
          <w:rFonts w:hint="eastAsia" w:ascii="楷体" w:hAnsi="楷体" w:eastAsia="楷体"/>
          <w:b/>
          <w:sz w:val="24"/>
          <w:szCs w:val="24"/>
        </w:rPr>
      </w:pPr>
      <w:bookmarkStart w:id="30" w:name="_Toc25631"/>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盘面缩量上涨，后续反弹空间或有限</w:t>
      </w:r>
      <w:bookmarkEnd w:id="30"/>
    </w:p>
    <w:p>
      <w:pPr>
        <w:ind w:left="630" w:leftChars="300"/>
        <w:rPr>
          <w:rFonts w:ascii="楷体" w:hAnsi="楷体" w:eastAsia="楷体"/>
          <w:sz w:val="24"/>
          <w:szCs w:val="24"/>
        </w:rPr>
      </w:pPr>
      <w:r>
        <w:rPr>
          <w:rFonts w:hint="eastAsia" w:ascii="楷体" w:hAnsi="楷体" w:eastAsia="楷体"/>
          <w:sz w:val="24"/>
          <w:szCs w:val="24"/>
        </w:rPr>
        <w:t>12月29日，主力合约收盘价17515，成交量环比减少40.2%，持仓量减少4.7%，盘面整体呈缩量上涨。从基本面来看，月底西南地区部分工厂开始逐步停炉，但下游采购意愿仍旧低迷，以刚需采购为主，整体呈供需双弱，预计盘面后续反弹空间有限。</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31" w:name="化工"/>
      <w:r>
        <w:rPr>
          <w:rFonts w:hint="eastAsia" w:ascii="Times New Roman" w:hAnsi="Times New Roman" w:eastAsia="楷体"/>
          <w:b/>
          <w:color w:val="823C0B"/>
          <w:sz w:val="30"/>
          <w:szCs w:val="30"/>
        </w:rPr>
        <w:t xml:space="preserve"> </w:t>
      </w:r>
      <w:bookmarkStart w:id="32" w:name="_Toc11796"/>
      <w:r>
        <w:rPr>
          <w:rFonts w:hint="eastAsia" w:ascii="Times New Roman" w:hAnsi="Times New Roman" w:eastAsia="楷体"/>
          <w:b/>
          <w:color w:val="823C0B"/>
          <w:sz w:val="30"/>
          <w:szCs w:val="30"/>
        </w:rPr>
        <w:t>[化工]</w:t>
      </w:r>
      <w:bookmarkEnd w:id="31"/>
      <w:bookmarkEnd w:id="32"/>
    </w:p>
    <w:p>
      <w:pPr>
        <w:ind w:firstLine="482" w:firstLineChars="200"/>
        <w:outlineLvl w:val="1"/>
        <w:rPr>
          <w:rFonts w:hint="eastAsia" w:ascii="Times New Roman" w:hAnsi="Times New Roman" w:eastAsia="楷体"/>
          <w:b/>
          <w:sz w:val="24"/>
          <w:szCs w:val="24"/>
        </w:rPr>
      </w:pPr>
      <w:bookmarkStart w:id="33" w:name="_Toc32450"/>
      <w:r>
        <w:rPr>
          <w:rFonts w:hint="eastAsia" w:ascii="Times New Roman" w:hAnsi="Times New Roman" w:eastAsia="楷体"/>
          <w:b/>
          <w:color w:val="000000" w:themeColor="text1"/>
          <w:sz w:val="24"/>
          <w:szCs w:val="24"/>
          <w14:textFill>
            <w14:solidFill>
              <w14:schemeClr w14:val="tx1"/>
            </w14:solidFill>
          </w14:textFill>
        </w:rPr>
        <w:t>乙二醇：</w:t>
      </w:r>
      <w:r>
        <w:rPr>
          <w:rFonts w:hint="eastAsia" w:ascii="Times New Roman" w:hAnsi="Times New Roman" w:eastAsia="楷体"/>
          <w:b/>
          <w:sz w:val="24"/>
          <w:szCs w:val="24"/>
        </w:rPr>
        <w:t>供增需减 乙二醇走势承压</w:t>
      </w:r>
      <w:bookmarkEnd w:id="33"/>
    </w:p>
    <w:p>
      <w:pPr>
        <w:ind w:left="630" w:leftChars="300"/>
        <w:rPr>
          <w:rFonts w:ascii="楷体" w:hAnsi="楷体" w:eastAsia="楷体"/>
          <w:sz w:val="24"/>
          <w:szCs w:val="24"/>
        </w:rPr>
      </w:pPr>
      <w:r>
        <w:rPr>
          <w:rFonts w:hint="eastAsia" w:ascii="楷体" w:hAnsi="楷体" w:eastAsia="楷体"/>
          <w:sz w:val="24"/>
          <w:szCs w:val="24"/>
        </w:rPr>
        <w:t>供需情况，上周受大风天气影响，船只入罐出现明显延误。12.29华东主港地区MEG港口库存约90.2万吨附近，环比上期下降7.8万吨。12月26日至1月2日，主港计划到货总数为9万吨，环比减少2万吨。开工情况，截至12月29日，中国大陆地区乙二醇整体开工负荷在62.87%（+3.73%），其中煤制乙二醇开工负荷在49%（+7.37%），乙二醇负荷大幅提升。新装置方面，海南一套80万吨/年的MEG新装置计划于本月底前后投产。从聚酯需求端来看，本周聚酯装置检修依然较多，长丝继续新增检修，短纤局部调整，瓶片检修装置有陆续恢复。截至12.29初步核算聚酯负荷在66％（-2%)。本周江浙终端开工继续下降，截至12.29，江浙加弹开工率28%（-23%）、江浙织机开工率26%（-12%）、浙江印染开工率38%（-3%）。综合来看，受天气因素影响乙二醇卸货延迟，显性库存堆积推迟。但是供给端开工率大幅回升及MEG新装置逐步投产，供应环节仍在逐步增量中。月底终端放假潮来临，目前加弹、织造、印染基本都处于收尾状态，染厂已经多停止进料，1月10日前多将结束生产。乙二醇供需矛盾依旧严峻，将再度承压下行。</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4" w:name="_Toc17923"/>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：下游即将迎来放假  TA面临下行风险</w:t>
      </w:r>
      <w:bookmarkEnd w:id="34"/>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本周期台化120万吨短停，亚东75降负至7成，逸盛新材料720万吨装置恢复至9成，英力士110万吨重启暂时推后，至12.29PTA负荷调整至62%（+2%）。 新装置方面，12月PTA两套新装置终于迎来投产消息，东营威联250万吨装置其中一条生产线12月14日附近出合格品，嘉通能源250万吨PTA装置其中一条线12月24日附近出合格品。本周聚酯装置检修依然较多，长丝继续新增检修，短纤局部调整，瓶片检修装置有陆续恢复。截至本周四，初步核算聚酯负荷在66％（-2%）。终端方面，本周江浙终端开工继续下降，江浙终端工厂原料备货年后使用，前加弹、织造、印染基本都处于收尾状态，染厂已经多停止进料，1月10日前多将结束生产。月底终端放假潮来临，工厂可能被迫提前放假。按往年惯例终端开工率在春节假期会大幅下降至20%左右，终端提前放假之下聚酯降负节奏有加速可能。在新装置持续输出以及需求走弱态势下，PTA仍有季节性累库压力，预估1月累库幅度在40~50万吨。强预期带来的涨幅已逐步兑现，伴随成本端支撑走弱及现实端转弱的矛盾，TA面临回调风险。</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35" w:name="_Toc13713"/>
      <w:r>
        <w:rPr>
          <w:rFonts w:hint="eastAsia" w:ascii="楷体" w:hAnsi="楷体" w:eastAsia="楷体"/>
          <w:b/>
          <w:color w:val="000000" w:themeColor="text1"/>
          <w:sz w:val="24"/>
          <w:szCs w:val="24"/>
          <w14:textFill>
            <w14:solidFill>
              <w14:schemeClr w14:val="tx1"/>
            </w14:solidFill>
          </w14:textFill>
        </w:rPr>
        <w:t>聚烯烃：节前补库释放不及预期，聚烯烃或延续窄幅整理</w:t>
      </w:r>
      <w:bookmarkEnd w:id="35"/>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近期聚烯烃涨跌互现。库存方面，本周国内PE库存环比下降1.30%，其中样本主要生产环节PE库存环比下降3.31%，PE样本港口库存环比增加1.91%，样本贸易企业库存环比下滑3.33%。本周国内PP库存环比下降2.59%。其中主要生产环节PP库存下降、贸易商库存和港口库存均有上升。供应方面，供应方面，本周PE暂无新增检修装置；本周上海石化一套10万吨产能LDPE装置将开机重启；PP本周新增中原石化和上海赛科共计35万吨装置停车检修，中原石化另一6万吨装置将于本周开车重启。成本端方面，需求前景不确定，美国原油库存增长，Keystone管道恢复运营， 国际油价下跌。然而，美元汇率下跌抑制了油价跌幅，目前油制PE利润大约为-290.15元/吨，油制PP利润大约为-1576.37元/吨，相较年度偏低位置已有较大恢复；需求方面，PE下游方面，棚膜需求持续减弱，地膜订单跟进缓慢，农膜厂家仍略显谨慎，坚持刚需采购。PP方面，BOPP整体成交一般，BOPP企业未交付订单多数在5-15天，部分至1月中旬。综合来看，原油成本端延续弱势，但对聚烯烃支撑较俄乌战争初期仍有明显减弱，同时下游需求在春节前多以刚性补库为主，需求较弱，难以大幅放量，终端即将进入“休眠模式”，下游因生产线人工不足导致开工下滑，需求进一步承压，节前补库需求释放不及预期，供需矛盾改善不大下，预计今日聚烯烃窄幅偏弱波动。此前关于宏观利好的炒作情绪一定程度上支撑市场价格，但持续性不会过长，短期暂时维持小幅调整，中长期依旧有下行风险。12-明年1月PE、PP仍有多套装置等待投产，叠加进口套利窗口打开，供应压力不减。塑料供需趋弱累库下高空思路不变，上行空间有限。预计近期在供需弱平衡下聚烯烃将窄幅偏弱整理，短期PP 7800左右支撑较强和PE 8150压力位左右支撑较强。仅供参考。</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Times New Roman" w:hAnsi="Times New Roman" w:eastAsia="楷体"/>
          <w:b/>
          <w:color w:val="823C0B"/>
          <w:sz w:val="30"/>
          <w:szCs w:val="30"/>
        </w:rPr>
      </w:pPr>
      <w:r>
        <w:rPr>
          <w:rFonts w:hint="eastAsia" w:ascii="Times New Roman" w:hAnsi="Times New Roman" w:eastAsia="楷体"/>
          <w:b/>
          <w:color w:val="823C0B"/>
          <w:sz w:val="30"/>
          <w:szCs w:val="30"/>
        </w:rPr>
        <w:t xml:space="preserve"> </w:t>
      </w:r>
      <w:bookmarkStart w:id="36" w:name="_Toc871"/>
      <w:r>
        <w:rPr>
          <w:rFonts w:hint="eastAsia" w:ascii="Times New Roman" w:hAnsi="Times New Roman" w:eastAsia="楷体"/>
          <w:b/>
          <w:color w:val="823C0B"/>
          <w:sz w:val="30"/>
          <w:szCs w:val="30"/>
        </w:rPr>
        <w:t>[农产品]</w:t>
      </w:r>
      <w:bookmarkEnd w:id="13"/>
      <w:bookmarkEnd w:id="36"/>
    </w:p>
    <w:p>
      <w:pPr>
        <w:ind w:left="420" w:leftChars="200"/>
        <w:outlineLvl w:val="1"/>
        <w:rPr>
          <w:rFonts w:hint="eastAsia" w:ascii="楷体" w:hAnsi="楷体" w:eastAsia="楷体"/>
          <w:b/>
          <w:sz w:val="24"/>
          <w:szCs w:val="24"/>
        </w:rPr>
      </w:pPr>
      <w:bookmarkStart w:id="37" w:name="_Toc16150"/>
      <w:r>
        <w:rPr>
          <w:rFonts w:hint="eastAsia" w:ascii="楷体" w:hAnsi="楷体" w:eastAsia="楷体"/>
          <w:b/>
          <w:color w:val="000000" w:themeColor="text1"/>
          <w:sz w:val="24"/>
          <w:szCs w:val="24"/>
          <w14:textFill>
            <w14:solidFill>
              <w14:schemeClr w14:val="tx1"/>
            </w14:solidFill>
          </w14:textFill>
        </w:rPr>
        <w:t>豆粕：</w:t>
      </w:r>
      <w:r>
        <w:rPr>
          <w:rFonts w:hint="eastAsia" w:ascii="楷体" w:hAnsi="楷体" w:eastAsia="楷体"/>
          <w:b/>
          <w:sz w:val="24"/>
          <w:szCs w:val="24"/>
        </w:rPr>
        <w:t>短期维持高位震荡，低多操作</w:t>
      </w:r>
      <w:bookmarkEnd w:id="37"/>
    </w:p>
    <w:p>
      <w:pPr>
        <w:ind w:left="630" w:leftChars="300"/>
        <w:rPr>
          <w:rFonts w:ascii="楷体" w:hAnsi="楷体" w:eastAsia="楷体"/>
          <w:sz w:val="24"/>
          <w:szCs w:val="24"/>
        </w:rPr>
      </w:pPr>
      <w:r>
        <w:rPr>
          <w:rFonts w:hint="eastAsia" w:ascii="楷体" w:hAnsi="楷体" w:eastAsia="楷体"/>
          <w:sz w:val="24"/>
          <w:szCs w:val="24"/>
        </w:rPr>
        <w:t>外盘方面，CBOT大豆依然维持高位盘整，因南美天气升水以及大豆出口强劲构成支撑。虽阿根廷有降雨预期，但当前受干旱天气影响种植进度和优良率持续下滑，产量不确定性仍存。国内市场，随着延迟到港量在12月份陆续到港，当前大豆港口库存累库速度也有所加快。油厂开机及压榨持续维持高位，豆粕库存已连续几周增加，但在油厂榨利亏损下明年1-2月份缺口仍存，预计年后累库速度放缓。下游养殖利润近期大幅下滑，因生猪大量出栏，但下游需求不及预期，饲企和养殖企业等对豆粕采购需求减弱，但节前仍有备货需求。短期临近交割月资金已逐渐转至05合约，在供应预期增加下延续近强远弱格局，若未明显利空行情下，预计豆粕仍将维持高位震荡，短期建议低多参与；中长期维持供给恢复预期，美豆及豆粕价格重心下移观点不变，关注南美种植情况，待丰产落地。</w:t>
      </w:r>
    </w:p>
    <w:p>
      <w:pPr>
        <w:ind w:firstLine="480" w:firstLineChars="200"/>
        <w:rPr>
          <w:rFonts w:ascii="楷体" w:hAnsi="楷体" w:eastAsia="楷体"/>
          <w:bCs/>
          <w:sz w:val="24"/>
          <w:szCs w:val="24"/>
        </w:rPr>
      </w:pPr>
    </w:p>
    <w:p>
      <w:pPr>
        <w:ind w:left="420" w:leftChars="200"/>
        <w:outlineLvl w:val="1"/>
        <w:rPr>
          <w:rFonts w:hint="eastAsia" w:ascii="楷体" w:hAnsi="楷体" w:eastAsia="楷体"/>
          <w:b/>
          <w:sz w:val="24"/>
          <w:szCs w:val="24"/>
        </w:rPr>
      </w:pPr>
      <w:bookmarkStart w:id="38" w:name="_Toc27744"/>
      <w:r>
        <w:rPr>
          <w:rFonts w:hint="eastAsia" w:ascii="楷体" w:hAnsi="楷体" w:eastAsia="楷体"/>
          <w:b/>
          <w:color w:val="000000" w:themeColor="text1"/>
          <w:sz w:val="24"/>
          <w:szCs w:val="24"/>
          <w14:textFill>
            <w14:solidFill>
              <w14:schemeClr w14:val="tx1"/>
            </w14:solidFill>
          </w14:textFill>
        </w:rPr>
        <w:t>油脂：</w:t>
      </w:r>
      <w:r>
        <w:rPr>
          <w:rFonts w:hint="eastAsia" w:ascii="楷体" w:hAnsi="楷体" w:eastAsia="楷体"/>
          <w:b/>
          <w:sz w:val="24"/>
          <w:szCs w:val="24"/>
        </w:rPr>
        <w:t>持续上涨驱动不足，维持底部宽幅震荡</w:t>
      </w:r>
      <w:bookmarkEnd w:id="38"/>
    </w:p>
    <w:p>
      <w:pPr>
        <w:ind w:left="630" w:leftChars="300"/>
        <w:rPr>
          <w:rFonts w:ascii="楷体" w:hAnsi="楷体" w:eastAsia="楷体"/>
          <w:sz w:val="24"/>
          <w:szCs w:val="24"/>
        </w:rPr>
      </w:pPr>
      <w:r>
        <w:rPr>
          <w:rFonts w:hint="eastAsia" w:ascii="楷体" w:hAnsi="楷体" w:eastAsia="楷体"/>
          <w:sz w:val="24"/>
          <w:szCs w:val="24"/>
        </w:rPr>
        <w:t>外盘方面，国际原油以及外盘油价在情绪行企稳后，止涨回落，对内盘油脂支撑减弱。棕榈油支撑主要来自产地继续减产以及印尼B35强制掺混政策落地。数据显示12月1-20日马棕出油率减少0.14%，产量预计环比减少6.73%。但出口放缓仍限制马盘反弹幅度。而印尼将在23年2月开始强制实施B35计划，将利好棕榈油需求。国内棕榈油供应较宽松，需求方面在冬季消费淡季下增量有限，棕榈油库存当前在供过于求下也进一步创历史新高，随着12月份进口下滑累库速度放缓，但短期供应压力较大。近期豆油下游成交有所回暖，进入传统旺季备货阶段提振，虽近期防疫政策优化，但下游消费需求在新冠病例增加下未见明显好转。供应端随着12月到港修复，进口大豆库存持续回升，油厂压榨维持高位后边际供应预计逐渐好转，关注豆油库存修复情况，短期在库存低位下延续近强远弱格局。菜油在供应边际预期改善下，也预计维持近强远弱格局，但在库存尚未明显修复下，基差维持高位。随着进口加籽到港量逐步增加，菜籽累库进度加快。同时在刚需以及临近春节前备货下，菜油库存修复仍需时间。预计油脂在供应边际增加及下游消费整体呈现旺季不旺的局面，上方空间预计有限，短期油脂预计维持底部宽幅震荡，持续上涨驱动不足，建议波段操作，短线高抛低吸。</w:t>
      </w:r>
    </w:p>
    <w:p>
      <w:pPr>
        <w:ind w:firstLine="480" w:firstLineChars="200"/>
        <w:rPr>
          <w:rFonts w:ascii="楷体" w:hAnsi="楷体" w:eastAsia="楷体"/>
          <w:bCs/>
          <w:sz w:val="24"/>
          <w:szCs w:val="24"/>
        </w:rPr>
      </w:pPr>
    </w:p>
    <w:p>
      <w:pPr>
        <w:pStyle w:val="12"/>
        <w:spacing w:before="60" w:beforeAutospacing="0" w:after="60" w:afterAutospacing="0"/>
        <w:ind w:left="420" w:leftChars="200"/>
        <w:outlineLvl w:val="1"/>
        <w:rPr>
          <w:rFonts w:hint="eastAsia" w:ascii="楷体" w:hAnsi="楷体" w:eastAsia="楷体"/>
          <w:b/>
        </w:rPr>
      </w:pPr>
      <w:bookmarkStart w:id="39" w:name="_Toc5039"/>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期价震荡调整</w:t>
      </w:r>
      <w:bookmarkEnd w:id="39"/>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玉米而言，国内市场逻辑未变，即期价呈现远月贴水结构，抑制中下游补库积极性，新作上市压力仍有待释放。但值得留意的是，目前盘面期价已经回落至美玉米到港成本一线，而巴西玉米报价亦有显著提升，这表明美玉米竞争压力有所缓解，可能会抑制美玉米期价继续下跌的空间。而对于国内而言，则需要留意南北方港口库存持续回落，深加工玉米库存低位，下游节前备货需求可能带动现货出现阶段性反弹。考虑到从时间上看临近去年调整的尾声，空间上看玉米期价贴近美玉米进口到港成本，观点转为中性，建议投资者前期玉米或淀粉空单离场后暂以观望为宜。</w:t>
      </w:r>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淀粉而言，近期淀粉-玉米价差持续收窄至前期低位，其中主导原因或在于供需端和成本端，即下游需求受疫情压制，而玉米深加工企业收购价持续回落。但需要留意的是，随着副产品价格逐步回落，带动期现货生产利润持续下滑，或有利于后期行业供需改善。在这种情况下，建议继续持有淀粉-玉米价差套利（如有）组合。</w:t>
      </w:r>
    </w:p>
    <w:p>
      <w:pPr>
        <w:pStyle w:val="12"/>
        <w:spacing w:before="60" w:beforeAutospacing="0" w:after="60" w:afterAutospacing="0"/>
        <w:ind w:left="630" w:leftChars="300"/>
        <w:rPr>
          <w:rFonts w:hint="eastAsia" w:ascii="楷体" w:hAnsi="楷体" w:eastAsia="楷体"/>
        </w:rPr>
      </w:pPr>
    </w:p>
    <w:p>
      <w:pPr>
        <w:pStyle w:val="12"/>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0" w:name="_Toc24493"/>
      <w:r>
        <w:rPr>
          <w:rFonts w:hint="eastAsia" w:ascii="楷体" w:hAnsi="楷体" w:eastAsia="楷体"/>
          <w:b/>
          <w:bCs/>
          <w:color w:val="000000" w:themeColor="text1"/>
          <w14:textFill>
            <w14:solidFill>
              <w14:schemeClr w14:val="tx1"/>
            </w14:solidFill>
          </w14:textFill>
        </w:rPr>
        <w:t>畜禽养殖：鸡蛋现货继续反弹</w:t>
      </w:r>
      <w:bookmarkEnd w:id="40"/>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生猪而言，近期期价结构频繁转变，低点从之前的3月合约进一步前移至1月，之后合约较1月合约均出现升水，且多维持在行业平均成本线上方，这表明市场预计需求影响时段收窄，且市场认为当前需求弱势会导致产能恢复力度不及之前预期。在我们看来，疫情因素对需求的影响意味着“危”与“机”并存，因其短期和中长期影响有所不同，短期利空或有助于供应出清，在国家收储及其需求改善的带动，或将导致供需发生改变，有望带来期价阶段性反弹机会 ，据此观点转为谨慎看多，谨慎投资者观望，激进投资者可以考虑轻仓做多。</w:t>
      </w:r>
    </w:p>
    <w:p>
      <w:pPr>
        <w:pStyle w:val="12"/>
        <w:spacing w:before="60" w:beforeAutospacing="0" w:after="60" w:afterAutospacing="0"/>
        <w:ind w:left="630" w:leftChars="300"/>
        <w:rPr>
          <w:rFonts w:ascii="楷体" w:hAnsi="楷体" w:eastAsia="楷体"/>
        </w:rPr>
      </w:pPr>
      <w:r>
        <w:rPr>
          <w:rFonts w:hint="eastAsia" w:ascii="楷体" w:hAnsi="楷体" w:eastAsia="楷体"/>
        </w:rPr>
        <w:t>对于鸡蛋而言，在我们看来，今年动物蛋白供应格局类似于2019年，而鸡蛋供需两弱格局则类似于去年。基于上述供需判断，接下来需要关注两个方面，一方面基于鸡蛋自身供需格局关注在产蛋鸡环比变动，另一方面基于动物蛋白供应格局需要关注接下来的猪价走势节奏。各机构蛋鸡存补栏数据和现货表现符合之前预期，供应端未有明显改善，11月在产蛋鸡存栏虽有环比和同比再度小幅回落，总体维持历史同期低位运行，表明供应端依然偏紧。近期防疫政策放开导致短期需求急剧萎缩，但可以预见的是，后期疫情有望趋于缓解，需求将逐步恢复。在这种情况下，考虑到成本支撑因素，预计期价继续下跌空间或有限，对应观点转为谨慎看多，建议谨慎投资者观望，激进投资者可以考虑以前低作为止损轻仓做多5月合约。</w:t>
      </w:r>
    </w:p>
    <w:p>
      <w:pPr>
        <w:ind w:firstLine="480" w:firstLineChars="200"/>
        <w:rPr>
          <w:rFonts w:ascii="楷体" w:hAnsi="楷体" w:eastAsia="楷体"/>
          <w:sz w:val="24"/>
          <w:szCs w:val="24"/>
        </w:rPr>
      </w:pPr>
    </w:p>
    <w:p>
      <w:pPr>
        <w:ind w:firstLine="480" w:firstLineChars="200"/>
        <w:rPr>
          <w:rFonts w:ascii="楷体" w:hAnsi="楷体" w:eastAsia="楷体"/>
          <w:sz w:val="24"/>
          <w:szCs w:val="24"/>
        </w:rPr>
      </w:pPr>
    </w:p>
    <w:p>
      <w:pPr>
        <w:ind w:left="420" w:leftChars="200"/>
        <w:outlineLvl w:val="1"/>
        <w:rPr>
          <w:rFonts w:hint="eastAsia" w:ascii="楷体" w:hAnsi="楷体" w:eastAsia="楷体"/>
          <w:b/>
          <w:sz w:val="24"/>
          <w:szCs w:val="24"/>
        </w:rPr>
      </w:pPr>
      <w:bookmarkStart w:id="41" w:name="_Toc1960"/>
      <w:r>
        <w:rPr>
          <w:rFonts w:hint="eastAsia" w:ascii="楷体" w:hAnsi="楷体" w:eastAsia="楷体"/>
          <w:b/>
          <w:sz w:val="24"/>
          <w:szCs w:val="24"/>
        </w:rPr>
        <w:t>郑棉：美棉偏弱震荡。郑棉窄幅整理，看跌期权持有</w:t>
      </w:r>
      <w:bookmarkEnd w:id="41"/>
    </w:p>
    <w:p>
      <w:pPr>
        <w:ind w:left="630" w:leftChars="300"/>
        <w:rPr>
          <w:rFonts w:ascii="楷体" w:hAnsi="楷体" w:eastAsia="楷体"/>
          <w:sz w:val="24"/>
          <w:szCs w:val="24"/>
        </w:rPr>
      </w:pPr>
      <w:r>
        <w:rPr>
          <w:rFonts w:hint="eastAsia" w:ascii="楷体" w:hAnsi="楷体" w:eastAsia="楷体"/>
          <w:sz w:val="24"/>
          <w:szCs w:val="24"/>
        </w:rPr>
        <w:t>郑棉2305主力合约继续在14100-14300区间内窄幅震荡，但多空双方较为均衡。在市场持续不断的利好刺激下，对未来良好的预期使得商品整体维持偏强走势，市场对新年行情颇为期待。因郑棉价格走强，现货价格重回1.5万之上，下游纱线、布料服装跃跃待涨，但终端接受度似乎不高。部分企业订单情况好转，据传部分订单可至1月。但普遍还是以小单、散单居多，缺乏大单。年关将近，叠加各省疫情峰值的来临，纺织企业员工到岗率和开机率始终维持低迷，纺织企业大规模原料补库基本已结束，继续高价补库的意愿较低。预计年前郑棉维持窄幅震荡走势。因节假日影响和01合约即将进入交割月，为防止资金异动，产业可考虑买入或持有看跌期权以规避节假日期间风险。</w:t>
      </w:r>
    </w:p>
    <w:p>
      <w:pPr>
        <w:ind w:firstLine="480" w:firstLineChars="200"/>
        <w:rPr>
          <w:rFonts w:ascii="楷体" w:hAnsi="楷体" w:eastAsia="楷体"/>
          <w:bCs/>
          <w:sz w:val="24"/>
          <w:szCs w:val="24"/>
        </w:rPr>
      </w:pP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2" w:name="_Toc71212556"/>
      <w:bookmarkStart w:id="43" w:name="_Toc19667"/>
      <w:bookmarkStart w:id="44" w:name="_Toc72481108"/>
      <w:bookmarkStart w:id="45" w:name="_Toc12779"/>
      <w:bookmarkStart w:id="46" w:name="_Toc98426751"/>
      <w:r>
        <w:rPr>
          <w:rFonts w:ascii="Times New Roman" w:hAnsi="Times New Roman" w:eastAsia="楷体"/>
          <w:b/>
          <w:color w:val="411D05"/>
          <w:sz w:val="30"/>
          <w:szCs w:val="30"/>
        </w:rPr>
        <w:t>免责声明</w:t>
      </w:r>
      <w:bookmarkEnd w:id="42"/>
      <w:bookmarkEnd w:id="43"/>
      <w:bookmarkEnd w:id="44"/>
      <w:bookmarkEnd w:id="45"/>
      <w:bookmarkEnd w:id="46"/>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7"/>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hint="default" w:ascii="Times New Roman" w:hAnsi="Times New Roman" w:eastAsia="楷体"/>
                <w:b/>
                <w:bCs/>
                <w:color w:val="823C0B"/>
                <w:lang w:val="en-US" w:eastAsia="zh-CN"/>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4"/>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4"/>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2022年12月30日星期五</w:t>
    </w:r>
    <w:r>
      <w:rPr>
        <w:rFonts w:ascii="Times New Roman" w:hAnsi="Times New Roman" w:eastAsia="楷体"/>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5286B"/>
    <w:rsid w:val="00076420"/>
    <w:rsid w:val="000820C6"/>
    <w:rsid w:val="000D36DC"/>
    <w:rsid w:val="000E0C15"/>
    <w:rsid w:val="001B1904"/>
    <w:rsid w:val="001B2D4C"/>
    <w:rsid w:val="001B6394"/>
    <w:rsid w:val="001C77D0"/>
    <w:rsid w:val="001F5438"/>
    <w:rsid w:val="002074A1"/>
    <w:rsid w:val="002A0670"/>
    <w:rsid w:val="002B2257"/>
    <w:rsid w:val="002F075C"/>
    <w:rsid w:val="002F6AD1"/>
    <w:rsid w:val="00323550"/>
    <w:rsid w:val="00332F22"/>
    <w:rsid w:val="003416C2"/>
    <w:rsid w:val="00341727"/>
    <w:rsid w:val="003471F4"/>
    <w:rsid w:val="00375F0B"/>
    <w:rsid w:val="00376AF1"/>
    <w:rsid w:val="003A3DB4"/>
    <w:rsid w:val="003C5F91"/>
    <w:rsid w:val="003D3A9E"/>
    <w:rsid w:val="004230AC"/>
    <w:rsid w:val="00440FBE"/>
    <w:rsid w:val="00461147"/>
    <w:rsid w:val="00485A3F"/>
    <w:rsid w:val="004977A9"/>
    <w:rsid w:val="004A65B5"/>
    <w:rsid w:val="004E58A5"/>
    <w:rsid w:val="00541F3F"/>
    <w:rsid w:val="005818A8"/>
    <w:rsid w:val="00591B89"/>
    <w:rsid w:val="00593B03"/>
    <w:rsid w:val="00593F40"/>
    <w:rsid w:val="005B5BDF"/>
    <w:rsid w:val="005C05F7"/>
    <w:rsid w:val="005C05FA"/>
    <w:rsid w:val="005E1CE0"/>
    <w:rsid w:val="005F45A8"/>
    <w:rsid w:val="00610C41"/>
    <w:rsid w:val="00657B01"/>
    <w:rsid w:val="006B4A5D"/>
    <w:rsid w:val="006D21ED"/>
    <w:rsid w:val="00710028"/>
    <w:rsid w:val="0072164F"/>
    <w:rsid w:val="007253E7"/>
    <w:rsid w:val="007315D8"/>
    <w:rsid w:val="00743CFD"/>
    <w:rsid w:val="007A66FE"/>
    <w:rsid w:val="007D29EC"/>
    <w:rsid w:val="007D4BBD"/>
    <w:rsid w:val="007F1327"/>
    <w:rsid w:val="007F140C"/>
    <w:rsid w:val="00806F4A"/>
    <w:rsid w:val="00815011"/>
    <w:rsid w:val="00815817"/>
    <w:rsid w:val="00822591"/>
    <w:rsid w:val="00867CA5"/>
    <w:rsid w:val="00873ECE"/>
    <w:rsid w:val="0087785E"/>
    <w:rsid w:val="008A1D22"/>
    <w:rsid w:val="008B361D"/>
    <w:rsid w:val="008E2B15"/>
    <w:rsid w:val="00906E0C"/>
    <w:rsid w:val="00907943"/>
    <w:rsid w:val="00916E97"/>
    <w:rsid w:val="009316EC"/>
    <w:rsid w:val="009644D9"/>
    <w:rsid w:val="009870E4"/>
    <w:rsid w:val="009A12FA"/>
    <w:rsid w:val="009B591A"/>
    <w:rsid w:val="009D5253"/>
    <w:rsid w:val="009D64FE"/>
    <w:rsid w:val="009E4452"/>
    <w:rsid w:val="009F5C7B"/>
    <w:rsid w:val="00A63022"/>
    <w:rsid w:val="00A96E37"/>
    <w:rsid w:val="00A97444"/>
    <w:rsid w:val="00AA29E5"/>
    <w:rsid w:val="00AB0678"/>
    <w:rsid w:val="00AC7ECD"/>
    <w:rsid w:val="00AD009F"/>
    <w:rsid w:val="00B15418"/>
    <w:rsid w:val="00B443CE"/>
    <w:rsid w:val="00B53C56"/>
    <w:rsid w:val="00B618F8"/>
    <w:rsid w:val="00B72E2D"/>
    <w:rsid w:val="00B805BD"/>
    <w:rsid w:val="00BC71D6"/>
    <w:rsid w:val="00BF3137"/>
    <w:rsid w:val="00C240C3"/>
    <w:rsid w:val="00C66C6C"/>
    <w:rsid w:val="00C82E4D"/>
    <w:rsid w:val="00CB1F18"/>
    <w:rsid w:val="00CB3015"/>
    <w:rsid w:val="00CC3E40"/>
    <w:rsid w:val="00CD5DE8"/>
    <w:rsid w:val="00CE7903"/>
    <w:rsid w:val="00CF6C71"/>
    <w:rsid w:val="00D00D60"/>
    <w:rsid w:val="00D01A19"/>
    <w:rsid w:val="00D309C4"/>
    <w:rsid w:val="00D75630"/>
    <w:rsid w:val="00D87130"/>
    <w:rsid w:val="00DF56EC"/>
    <w:rsid w:val="00E020F2"/>
    <w:rsid w:val="00E12059"/>
    <w:rsid w:val="00E25D21"/>
    <w:rsid w:val="00E55B22"/>
    <w:rsid w:val="00E64502"/>
    <w:rsid w:val="00E928BB"/>
    <w:rsid w:val="00EB56F2"/>
    <w:rsid w:val="00F234BF"/>
    <w:rsid w:val="00F31CCA"/>
    <w:rsid w:val="00F43E0E"/>
    <w:rsid w:val="00F622ED"/>
    <w:rsid w:val="00F65EEA"/>
    <w:rsid w:val="00FB3956"/>
    <w:rsid w:val="06B2613D"/>
    <w:rsid w:val="06B753E3"/>
    <w:rsid w:val="09F160E3"/>
    <w:rsid w:val="0C1F7DEE"/>
    <w:rsid w:val="100732C8"/>
    <w:rsid w:val="10DA6205"/>
    <w:rsid w:val="129B2E20"/>
    <w:rsid w:val="12AA5DF8"/>
    <w:rsid w:val="15364A7C"/>
    <w:rsid w:val="15D52593"/>
    <w:rsid w:val="197E6634"/>
    <w:rsid w:val="1B8A2034"/>
    <w:rsid w:val="1BC72FF7"/>
    <w:rsid w:val="1D5030CD"/>
    <w:rsid w:val="1DFF64E4"/>
    <w:rsid w:val="2056595D"/>
    <w:rsid w:val="20AE4DE8"/>
    <w:rsid w:val="21996AC1"/>
    <w:rsid w:val="219F3EE2"/>
    <w:rsid w:val="24321B2E"/>
    <w:rsid w:val="247F3074"/>
    <w:rsid w:val="25B924F3"/>
    <w:rsid w:val="26F95364"/>
    <w:rsid w:val="2DC02C2B"/>
    <w:rsid w:val="2DE440F7"/>
    <w:rsid w:val="2FA70F17"/>
    <w:rsid w:val="340E7198"/>
    <w:rsid w:val="373F75CC"/>
    <w:rsid w:val="3AC9385E"/>
    <w:rsid w:val="3B3306F0"/>
    <w:rsid w:val="3B563B4D"/>
    <w:rsid w:val="3C2825B0"/>
    <w:rsid w:val="3C2B26B7"/>
    <w:rsid w:val="3D8B796D"/>
    <w:rsid w:val="3DA80A30"/>
    <w:rsid w:val="3EE0186C"/>
    <w:rsid w:val="441077D2"/>
    <w:rsid w:val="44396064"/>
    <w:rsid w:val="459609D9"/>
    <w:rsid w:val="45A37566"/>
    <w:rsid w:val="45CF0A85"/>
    <w:rsid w:val="4B6224E5"/>
    <w:rsid w:val="4D2A3925"/>
    <w:rsid w:val="4DB20386"/>
    <w:rsid w:val="5005695E"/>
    <w:rsid w:val="50286811"/>
    <w:rsid w:val="51266B84"/>
    <w:rsid w:val="548642E9"/>
    <w:rsid w:val="56DD4D3A"/>
    <w:rsid w:val="57CB522F"/>
    <w:rsid w:val="59C52328"/>
    <w:rsid w:val="5D5617A6"/>
    <w:rsid w:val="5EA7685B"/>
    <w:rsid w:val="62710E5F"/>
    <w:rsid w:val="64C32497"/>
    <w:rsid w:val="66D04BBC"/>
    <w:rsid w:val="685D4EEE"/>
    <w:rsid w:val="6ECB7DD2"/>
    <w:rsid w:val="713E0334"/>
    <w:rsid w:val="729B5F03"/>
    <w:rsid w:val="72F62A89"/>
    <w:rsid w:val="737357AF"/>
    <w:rsid w:val="778F5135"/>
    <w:rsid w:val="78E55995"/>
    <w:rsid w:val="7ABE4B56"/>
    <w:rsid w:val="7B3E5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39"/>
  </w:style>
  <w:style w:type="paragraph" w:styleId="6">
    <w:name w:val="toc 2"/>
    <w:basedOn w:val="1"/>
    <w:next w:val="1"/>
    <w:qFormat/>
    <w:uiPriority w:val="39"/>
    <w:pPr>
      <w:ind w:left="420" w:leftChars="200"/>
    </w:pPr>
  </w:style>
  <w:style w:type="table" w:styleId="8">
    <w:name w:val="Table Grid"/>
    <w:basedOn w:val="7"/>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954F72" w:themeColor="followedHyperlink"/>
      <w:u w:val="single"/>
      <w14:textFill>
        <w14:solidFill>
          <w14:schemeClr w14:val="folHlink"/>
        </w14:solidFill>
      </w14:textFill>
    </w:rPr>
  </w:style>
  <w:style w:type="character" w:styleId="11">
    <w:name w:val="Hyperlink"/>
    <w:basedOn w:val="9"/>
    <w:qFormat/>
    <w:uiPriority w:val="99"/>
    <w:rPr>
      <w:color w:val="0563C1" w:themeColor="hyperlink"/>
      <w:u w:val="single"/>
      <w14:textFill>
        <w14:solidFill>
          <w14:schemeClr w14:val="hlink"/>
        </w14:solidFill>
      </w14:textFill>
    </w:rPr>
  </w:style>
  <w:style w:type="paragraph" w:customStyle="1" w:styleId="12">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List Paragraph"/>
    <w:basedOn w:val="1"/>
    <w:qFormat/>
    <w:uiPriority w:val="99"/>
    <w:pPr>
      <w:ind w:firstLine="420" w:firstLineChars="200"/>
    </w:pPr>
  </w:style>
  <w:style w:type="paragraph" w:customStyle="1" w:styleId="14">
    <w:name w:val="WPSOffice手动目录 1"/>
    <w:qFormat/>
    <w:uiPriority w:val="0"/>
    <w:rPr>
      <w:rFonts w:ascii="Times New Roman" w:hAnsi="Times New Roman" w:eastAsia="宋体" w:cs="Times New Roman"/>
      <w:lang w:val="en-US" w:eastAsia="zh-CN" w:bidi="ar-SA"/>
    </w:rPr>
  </w:style>
  <w:style w:type="paragraph" w:customStyle="1" w:styleId="1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6">
    <w:name w:val="标题 1 字符"/>
    <w:basedOn w:val="9"/>
    <w:link w:val="2"/>
    <w:qFormat/>
    <w:uiPriority w:val="0"/>
    <w:rPr>
      <w:rFonts w:asciiTheme="minorHAnsi" w:hAnsiTheme="minorHAnsi" w:cstheme="minorBidi"/>
      <w:b/>
      <w:bCs/>
      <w:kern w:val="44"/>
      <w:sz w:val="44"/>
      <w:szCs w:val="44"/>
    </w:rPr>
  </w:style>
  <w:style w:type="paragraph" w:customStyle="1" w:styleId="17">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7B271F-CE5D-421B-9A46-E52BFC81BD46}">
  <ds:schemaRefs/>
</ds:datastoreItem>
</file>

<file path=docProps/app.xml><?xml version="1.0" encoding="utf-8"?>
<Properties xmlns="http://schemas.openxmlformats.org/officeDocument/2006/extended-properties" xmlns:vt="http://schemas.openxmlformats.org/officeDocument/2006/docPropsVTypes">
  <Template>Normal</Template>
  <Pages>8</Pages>
  <Words>6423</Words>
  <Characters>6945</Characters>
  <Lines>50</Lines>
  <Paragraphs>14</Paragraphs>
  <TotalTime>0</TotalTime>
  <ScaleCrop>false</ScaleCrop>
  <LinksUpToDate>false</LinksUpToDate>
  <CharactersWithSpaces>6974</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2022-07-01T02:28:00Z</cp:lastPrinted>
  <dcterms:modified xsi:type="dcterms:W3CDTF">2022-12-30T02:04:53Z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2AD6C5347C844179B2458C2E14054CF3</vt:lpwstr>
  </property>
</Properties>
</file>