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bookmarkStart w:id="47" w:name="_GoBack"/>
          <w:bookmarkEnd w:id="47"/>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_Toc29614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_Toc32241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IC多单持有</w:t>
          </w:r>
          <w:r>
            <w:rPr>
              <w:bCs/>
            </w:rPr>
            <w:fldChar w:fldCharType="end"/>
          </w:r>
        </w:p>
        <w:p>
          <w:pPr>
            <w:pStyle w:val="5"/>
            <w:tabs>
              <w:tab w:val="right" w:leader="dot" w:pos="8306"/>
            </w:tabs>
          </w:pPr>
          <w:r>
            <w:rPr>
              <w:bCs/>
            </w:rPr>
            <w:fldChar w:fldCharType="begin"/>
          </w:r>
          <w:r>
            <w:rPr>
              <w:bCs/>
            </w:rPr>
            <w:instrText xml:space="preserve"> HYPERLINK \l _Toc11849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_Toc18958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欧央行官员鹰派发声，金价延续涨势</w:t>
          </w:r>
          <w:r>
            <w:rPr>
              <w:bCs/>
            </w:rPr>
            <w:fldChar w:fldCharType="end"/>
          </w:r>
        </w:p>
        <w:p>
          <w:pPr>
            <w:pStyle w:val="5"/>
            <w:tabs>
              <w:tab w:val="right" w:leader="dot" w:pos="8306"/>
            </w:tabs>
          </w:pPr>
          <w:r>
            <w:rPr>
              <w:bCs/>
            </w:rPr>
            <w:fldChar w:fldCharType="begin"/>
          </w:r>
          <w:r>
            <w:rPr>
              <w:bCs/>
            </w:rPr>
            <w:instrText xml:space="preserve"> HYPERLINK \l _Toc25030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_Toc17719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暂无突破驱动，继续日内宽幅震荡</w:t>
          </w:r>
          <w:r>
            <w:rPr>
              <w:bCs/>
            </w:rPr>
            <w:fldChar w:fldCharType="end"/>
          </w:r>
        </w:p>
        <w:p>
          <w:pPr>
            <w:pStyle w:val="6"/>
            <w:tabs>
              <w:tab w:val="right" w:leader="dot" w:pos="8306"/>
            </w:tabs>
          </w:pPr>
          <w:r>
            <w:rPr>
              <w:bCs/>
            </w:rPr>
            <w:fldChar w:fldCharType="begin"/>
          </w:r>
          <w:r>
            <w:rPr>
              <w:bCs/>
            </w:rPr>
            <w:instrText xml:space="preserve"> HYPERLINK \l _Toc6149 </w:instrText>
          </w:r>
          <w:r>
            <w:rPr>
              <w:bCs/>
            </w:rPr>
            <w:fldChar w:fldCharType="separate"/>
          </w:r>
          <w:r>
            <w:rPr>
              <w:rFonts w:hint="eastAsia" w:ascii="楷体" w:hAnsi="楷体" w:eastAsia="楷体"/>
              <w:szCs w:val="24"/>
            </w:rPr>
            <w:t>焦炭：暂无突破驱动，继续日内宽幅震荡</w:t>
          </w:r>
          <w:r>
            <w:rPr>
              <w:bCs/>
            </w:rPr>
            <w:fldChar w:fldCharType="end"/>
          </w:r>
        </w:p>
        <w:p>
          <w:pPr>
            <w:pStyle w:val="6"/>
            <w:tabs>
              <w:tab w:val="right" w:leader="dot" w:pos="8306"/>
            </w:tabs>
          </w:pPr>
          <w:r>
            <w:rPr>
              <w:bCs/>
            </w:rPr>
            <w:fldChar w:fldCharType="begin"/>
          </w:r>
          <w:r>
            <w:rPr>
              <w:bCs/>
            </w:rPr>
            <w:instrText xml:space="preserve"> HYPERLINK \l _Toc29033 </w:instrText>
          </w:r>
          <w:r>
            <w:rPr>
              <w:bCs/>
            </w:rPr>
            <w:fldChar w:fldCharType="separate"/>
          </w:r>
          <w:r>
            <w:rPr>
              <w:rFonts w:hint="eastAsia" w:ascii="楷体" w:hAnsi="楷体" w:eastAsia="楷体"/>
              <w:szCs w:val="24"/>
            </w:rPr>
            <w:t>焦煤：暂无突破驱动，继续日内宽幅震荡    </w:t>
          </w:r>
          <w:r>
            <w:rPr>
              <w:bCs/>
            </w:rPr>
            <w:fldChar w:fldCharType="end"/>
          </w:r>
        </w:p>
        <w:p>
          <w:pPr>
            <w:pStyle w:val="6"/>
            <w:tabs>
              <w:tab w:val="right" w:leader="dot" w:pos="8306"/>
            </w:tabs>
          </w:pPr>
          <w:r>
            <w:rPr>
              <w:bCs/>
            </w:rPr>
            <w:fldChar w:fldCharType="begin"/>
          </w:r>
          <w:r>
            <w:rPr>
              <w:bCs/>
            </w:rPr>
            <w:instrText xml:space="preserve"> HYPERLINK \l _Toc21569 </w:instrText>
          </w:r>
          <w:r>
            <w:rPr>
              <w:bCs/>
            </w:rPr>
            <w:fldChar w:fldCharType="separate"/>
          </w:r>
          <w:r>
            <w:rPr>
              <w:rFonts w:hint="eastAsia" w:ascii="楷体" w:hAnsi="楷体" w:eastAsia="楷体"/>
              <w:szCs w:val="24"/>
            </w:rPr>
            <w:t>铜：市场情绪表现乐观，铜价震荡偏强运行</w:t>
          </w:r>
          <w:r>
            <w:rPr>
              <w:bCs/>
            </w:rPr>
            <w:fldChar w:fldCharType="end"/>
          </w:r>
        </w:p>
        <w:p>
          <w:pPr>
            <w:pStyle w:val="6"/>
            <w:tabs>
              <w:tab w:val="right" w:leader="dot" w:pos="8306"/>
            </w:tabs>
          </w:pPr>
          <w:r>
            <w:rPr>
              <w:bCs/>
            </w:rPr>
            <w:fldChar w:fldCharType="begin"/>
          </w:r>
          <w:r>
            <w:rPr>
              <w:bCs/>
            </w:rPr>
            <w:instrText xml:space="preserve"> HYPERLINK \l _Toc29018 </w:instrText>
          </w:r>
          <w:r>
            <w:rPr>
              <w:bCs/>
            </w:rPr>
            <w:fldChar w:fldCharType="separate"/>
          </w:r>
          <w:r>
            <w:rPr>
              <w:rFonts w:hint="eastAsia" w:ascii="楷体" w:hAnsi="楷体" w:eastAsia="楷体"/>
              <w:szCs w:val="24"/>
            </w:rPr>
            <w:t>铝：价格核心支撑未变，铝价短期震荡为主</w:t>
          </w:r>
          <w:r>
            <w:rPr>
              <w:bCs/>
            </w:rPr>
            <w:fldChar w:fldCharType="end"/>
          </w:r>
        </w:p>
        <w:p>
          <w:pPr>
            <w:pStyle w:val="6"/>
            <w:tabs>
              <w:tab w:val="right" w:leader="dot" w:pos="8306"/>
            </w:tabs>
          </w:pPr>
          <w:r>
            <w:rPr>
              <w:bCs/>
            </w:rPr>
            <w:fldChar w:fldCharType="begin"/>
          </w:r>
          <w:r>
            <w:rPr>
              <w:bCs/>
            </w:rPr>
            <w:instrText xml:space="preserve"> HYPERLINK \l _Toc20764 </w:instrText>
          </w:r>
          <w:r>
            <w:rPr>
              <w:bCs/>
            </w:rPr>
            <w:fldChar w:fldCharType="separate"/>
          </w:r>
          <w:r>
            <w:rPr>
              <w:rFonts w:hint="eastAsia" w:ascii="楷体" w:hAnsi="楷体" w:eastAsia="楷体"/>
              <w:szCs w:val="24"/>
            </w:rPr>
            <w:t>锌：锌产供给预期增加，低库存仍支撑价格</w:t>
          </w:r>
          <w:r>
            <w:rPr>
              <w:bCs/>
            </w:rPr>
            <w:fldChar w:fldCharType="end"/>
          </w:r>
        </w:p>
        <w:p>
          <w:pPr>
            <w:pStyle w:val="6"/>
            <w:tabs>
              <w:tab w:val="right" w:leader="dot" w:pos="8306"/>
            </w:tabs>
          </w:pPr>
          <w:r>
            <w:rPr>
              <w:bCs/>
            </w:rPr>
            <w:fldChar w:fldCharType="begin"/>
          </w:r>
          <w:r>
            <w:rPr>
              <w:bCs/>
            </w:rPr>
            <w:instrText xml:space="preserve"> HYPERLINK \l _Toc13538 </w:instrText>
          </w:r>
          <w:r>
            <w:rPr>
              <w:bCs/>
            </w:rPr>
            <w:fldChar w:fldCharType="separate"/>
          </w:r>
          <w:r>
            <w:rPr>
              <w:rFonts w:hint="eastAsia" w:ascii="楷体" w:hAnsi="楷体" w:eastAsia="楷体"/>
              <w:szCs w:val="24"/>
            </w:rPr>
            <w:t>镍：维持高位运行，观望为主</w:t>
          </w:r>
          <w:r>
            <w:rPr>
              <w:bCs/>
            </w:rPr>
            <w:fldChar w:fldCharType="end"/>
          </w:r>
        </w:p>
        <w:p>
          <w:pPr>
            <w:pStyle w:val="6"/>
            <w:tabs>
              <w:tab w:val="right" w:leader="dot" w:pos="8306"/>
            </w:tabs>
          </w:pPr>
          <w:r>
            <w:rPr>
              <w:bCs/>
            </w:rPr>
            <w:fldChar w:fldCharType="begin"/>
          </w:r>
          <w:r>
            <w:rPr>
              <w:bCs/>
            </w:rPr>
            <w:instrText xml:space="preserve"> HYPERLINK \l _Toc18399 </w:instrText>
          </w:r>
          <w:r>
            <w:rPr>
              <w:bCs/>
            </w:rPr>
            <w:fldChar w:fldCharType="separate"/>
          </w:r>
          <w:r>
            <w:rPr>
              <w:rFonts w:hint="eastAsia" w:ascii="楷体" w:hAnsi="楷体" w:eastAsia="楷体"/>
              <w:szCs w:val="24"/>
            </w:rPr>
            <w:t>不锈钢：短期下方空间有限，暂时观望</w:t>
          </w:r>
          <w:r>
            <w:rPr>
              <w:bCs/>
            </w:rPr>
            <w:fldChar w:fldCharType="end"/>
          </w:r>
        </w:p>
        <w:p>
          <w:pPr>
            <w:pStyle w:val="6"/>
            <w:tabs>
              <w:tab w:val="right" w:leader="dot" w:pos="8306"/>
            </w:tabs>
          </w:pPr>
          <w:r>
            <w:rPr>
              <w:bCs/>
            </w:rPr>
            <w:fldChar w:fldCharType="begin"/>
          </w:r>
          <w:r>
            <w:rPr>
              <w:bCs/>
            </w:rPr>
            <w:instrText xml:space="preserve"> HYPERLINK \l _Toc15789 </w:instrText>
          </w:r>
          <w:r>
            <w:rPr>
              <w:bCs/>
            </w:rPr>
            <w:fldChar w:fldCharType="separate"/>
          </w:r>
          <w:r>
            <w:rPr>
              <w:rFonts w:hint="eastAsia" w:ascii="楷体" w:hAnsi="楷体" w:eastAsia="楷体"/>
              <w:szCs w:val="24"/>
            </w:rPr>
            <w:t>工业硅：多空双方博弈加剧，短期市场或区间震荡为主</w:t>
          </w:r>
          <w:r>
            <w:rPr>
              <w:bCs/>
            </w:rPr>
            <w:fldChar w:fldCharType="end"/>
          </w:r>
        </w:p>
        <w:p>
          <w:pPr>
            <w:pStyle w:val="5"/>
            <w:tabs>
              <w:tab w:val="right" w:leader="dot" w:pos="8306"/>
            </w:tabs>
          </w:pPr>
          <w:r>
            <w:rPr>
              <w:bCs/>
            </w:rPr>
            <w:fldChar w:fldCharType="begin"/>
          </w:r>
          <w:r>
            <w:rPr>
              <w:bCs/>
            </w:rPr>
            <w:instrText xml:space="preserve"> HYPERLINK \l _Toc21222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_Toc26239 </w:instrText>
          </w:r>
          <w:r>
            <w:rPr>
              <w:bCs/>
            </w:rPr>
            <w:fldChar w:fldCharType="separate"/>
          </w:r>
          <w:r>
            <w:rPr>
              <w:rFonts w:hint="eastAsia" w:ascii="Times New Roman" w:hAnsi="Times New Roman" w:eastAsia="楷体"/>
              <w:szCs w:val="24"/>
            </w:rPr>
            <w:t>乙二醇：供增需减 乙二醇走势承压</w:t>
          </w:r>
          <w:r>
            <w:rPr>
              <w:bCs/>
            </w:rPr>
            <w:fldChar w:fldCharType="end"/>
          </w:r>
        </w:p>
        <w:p>
          <w:pPr>
            <w:pStyle w:val="6"/>
            <w:tabs>
              <w:tab w:val="right" w:leader="dot" w:pos="8306"/>
            </w:tabs>
          </w:pPr>
          <w:r>
            <w:rPr>
              <w:bCs/>
            </w:rPr>
            <w:fldChar w:fldCharType="begin"/>
          </w:r>
          <w:r>
            <w:rPr>
              <w:bCs/>
            </w:rPr>
            <w:instrText xml:space="preserve"> HYPERLINK \l _Toc19544 </w:instrText>
          </w:r>
          <w:r>
            <w:rPr>
              <w:bCs/>
            </w:rPr>
            <w:fldChar w:fldCharType="separate"/>
          </w:r>
          <w:r>
            <w:rPr>
              <w:rFonts w:ascii="楷体" w:hAnsi="楷体" w:eastAsia="楷体"/>
              <w:szCs w:val="24"/>
            </w:rPr>
            <w:t>PTA</w:t>
          </w:r>
          <w:r>
            <w:rPr>
              <w:rFonts w:hint="eastAsia" w:ascii="楷体" w:hAnsi="楷体" w:eastAsia="楷体"/>
              <w:szCs w:val="24"/>
            </w:rPr>
            <w:t>：下游即将迎来放假  TA面临回调风险</w:t>
          </w:r>
          <w:r>
            <w:rPr>
              <w:bCs/>
            </w:rPr>
            <w:fldChar w:fldCharType="end"/>
          </w:r>
        </w:p>
        <w:p>
          <w:pPr>
            <w:pStyle w:val="6"/>
            <w:tabs>
              <w:tab w:val="right" w:leader="dot" w:pos="8306"/>
            </w:tabs>
          </w:pPr>
          <w:r>
            <w:rPr>
              <w:bCs/>
            </w:rPr>
            <w:fldChar w:fldCharType="begin"/>
          </w:r>
          <w:r>
            <w:rPr>
              <w:bCs/>
            </w:rPr>
            <w:instrText xml:space="preserve"> HYPERLINK \l _Toc10640 </w:instrText>
          </w:r>
          <w:r>
            <w:rPr>
              <w:bCs/>
            </w:rPr>
            <w:fldChar w:fldCharType="separate"/>
          </w:r>
          <w:r>
            <w:rPr>
              <w:rFonts w:hint="eastAsia" w:ascii="楷体" w:hAnsi="楷体" w:eastAsia="楷体"/>
              <w:szCs w:val="24"/>
            </w:rPr>
            <w:t>聚烯烃：下游终端即将步入“休眠”模式，聚烯烃或窄幅整理</w:t>
          </w:r>
          <w:r>
            <w:rPr>
              <w:bCs/>
            </w:rPr>
            <w:fldChar w:fldCharType="end"/>
          </w:r>
        </w:p>
        <w:p>
          <w:pPr>
            <w:pStyle w:val="5"/>
            <w:tabs>
              <w:tab w:val="right" w:leader="dot" w:pos="8306"/>
            </w:tabs>
          </w:pPr>
          <w:r>
            <w:rPr>
              <w:bCs/>
            </w:rPr>
            <w:fldChar w:fldCharType="begin"/>
          </w:r>
          <w:r>
            <w:rPr>
              <w:bCs/>
            </w:rPr>
            <w:instrText xml:space="preserve"> HYPERLINK \l _Toc21392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_Toc1736 </w:instrText>
          </w:r>
          <w:r>
            <w:rPr>
              <w:bCs/>
            </w:rPr>
            <w:fldChar w:fldCharType="separate"/>
          </w:r>
          <w:r>
            <w:rPr>
              <w:rFonts w:hint="eastAsia" w:ascii="楷体" w:hAnsi="楷体" w:eastAsia="楷体"/>
              <w:szCs w:val="24"/>
            </w:rPr>
            <w:t>豆粕：短期维持高位震荡，暂看下方3800附近支撑</w:t>
          </w:r>
          <w:r>
            <w:rPr>
              <w:bCs/>
            </w:rPr>
            <w:fldChar w:fldCharType="end"/>
          </w:r>
        </w:p>
        <w:p>
          <w:pPr>
            <w:pStyle w:val="6"/>
            <w:tabs>
              <w:tab w:val="right" w:leader="dot" w:pos="8306"/>
            </w:tabs>
          </w:pPr>
          <w:r>
            <w:rPr>
              <w:bCs/>
            </w:rPr>
            <w:fldChar w:fldCharType="begin"/>
          </w:r>
          <w:r>
            <w:rPr>
              <w:bCs/>
            </w:rPr>
            <w:instrText xml:space="preserve"> HYPERLINK \l _Toc14055 </w:instrText>
          </w:r>
          <w:r>
            <w:rPr>
              <w:bCs/>
            </w:rPr>
            <w:fldChar w:fldCharType="separate"/>
          </w:r>
          <w:r>
            <w:rPr>
              <w:rFonts w:hint="eastAsia" w:ascii="楷体" w:hAnsi="楷体" w:eastAsia="楷体"/>
              <w:szCs w:val="24"/>
            </w:rPr>
            <w:t>油脂：短期延续反弹，持续性仍待观望</w:t>
          </w:r>
          <w:r>
            <w:rPr>
              <w:bCs/>
            </w:rPr>
            <w:fldChar w:fldCharType="end"/>
          </w:r>
        </w:p>
        <w:p>
          <w:pPr>
            <w:pStyle w:val="6"/>
            <w:tabs>
              <w:tab w:val="right" w:leader="dot" w:pos="8306"/>
            </w:tabs>
          </w:pPr>
          <w:r>
            <w:rPr>
              <w:bCs/>
            </w:rPr>
            <w:fldChar w:fldCharType="begin"/>
          </w:r>
          <w:r>
            <w:rPr>
              <w:bCs/>
            </w:rPr>
            <w:instrText xml:space="preserve"> HYPERLINK \l _Toc28902 </w:instrText>
          </w:r>
          <w:r>
            <w:rPr>
              <w:bCs/>
            </w:rPr>
            <w:fldChar w:fldCharType="separate"/>
          </w:r>
          <w:r>
            <w:rPr>
              <w:rFonts w:hint="eastAsia" w:ascii="楷体" w:hAnsi="楷体" w:eastAsia="楷体"/>
              <w:bCs/>
            </w:rPr>
            <w:t>玉米与淀粉：</w:t>
          </w:r>
          <w:r>
            <w:rPr>
              <w:rFonts w:hint="eastAsia" w:ascii="楷体" w:hAnsi="楷体" w:eastAsia="楷体"/>
            </w:rPr>
            <w:t>淀粉-玉米价差大幅走扩</w:t>
          </w:r>
          <w:r>
            <w:rPr>
              <w:bCs/>
            </w:rPr>
            <w:fldChar w:fldCharType="end"/>
          </w:r>
        </w:p>
        <w:p>
          <w:pPr>
            <w:pStyle w:val="6"/>
            <w:tabs>
              <w:tab w:val="right" w:leader="dot" w:pos="8306"/>
            </w:tabs>
          </w:pPr>
          <w:r>
            <w:rPr>
              <w:bCs/>
            </w:rPr>
            <w:fldChar w:fldCharType="begin"/>
          </w:r>
          <w:r>
            <w:rPr>
              <w:bCs/>
            </w:rPr>
            <w:instrText xml:space="preserve"> HYPERLINK \l _Toc11458 </w:instrText>
          </w:r>
          <w:r>
            <w:rPr>
              <w:bCs/>
            </w:rPr>
            <w:fldChar w:fldCharType="separate"/>
          </w:r>
          <w:r>
            <w:rPr>
              <w:rFonts w:hint="eastAsia" w:ascii="楷体" w:hAnsi="楷体" w:eastAsia="楷体"/>
              <w:bCs/>
            </w:rPr>
            <w:t>畜禽养殖：鸡蛋期价接力反弹</w:t>
          </w:r>
          <w:r>
            <w:rPr>
              <w:bCs/>
            </w:rPr>
            <w:fldChar w:fldCharType="end"/>
          </w:r>
        </w:p>
        <w:p>
          <w:pPr>
            <w:pStyle w:val="6"/>
            <w:tabs>
              <w:tab w:val="right" w:leader="dot" w:pos="8306"/>
            </w:tabs>
          </w:pPr>
          <w:r>
            <w:rPr>
              <w:bCs/>
            </w:rPr>
            <w:fldChar w:fldCharType="begin"/>
          </w:r>
          <w:r>
            <w:rPr>
              <w:bCs/>
            </w:rPr>
            <w:instrText xml:space="preserve"> HYPERLINK \l _Toc8408 </w:instrText>
          </w:r>
          <w:r>
            <w:rPr>
              <w:bCs/>
            </w:rPr>
            <w:fldChar w:fldCharType="separate"/>
          </w:r>
          <w:r>
            <w:rPr>
              <w:rFonts w:hint="eastAsia" w:ascii="楷体" w:hAnsi="楷体" w:eastAsia="楷体"/>
              <w:szCs w:val="24"/>
            </w:rPr>
            <w:t>郑棉：美棉偏弱震荡。国内企业已陆续开始放假，不少直达春节，对原料的补库采购逐渐减少</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29614"/>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965"/>
      <w:bookmarkStart w:id="5" w:name="_Toc16295"/>
      <w:bookmarkStart w:id="6" w:name="_Toc32241"/>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IC多单持有</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新冠降级政策落地催化市场超跌反弹行情，但也谨防短期疫后修复链的利好出尽，IC、IM仍有超跌修复空间，技术上有望挑战60日线附近压力，建议IC多单持有。</w:t>
      </w:r>
    </w:p>
    <w:p>
      <w:pPr>
        <w:pBdr>
          <w:top w:val="single" w:color="auto" w:sz="4" w:space="0"/>
        </w:pBdr>
        <w:outlineLvl w:val="0"/>
        <w:rPr>
          <w:rFonts w:ascii="Times New Roman" w:hAnsi="Times New Roman" w:eastAsia="楷体"/>
          <w:b/>
          <w:color w:val="823C0B"/>
        </w:rPr>
      </w:pPr>
      <w:bookmarkStart w:id="7" w:name="_Toc11849"/>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8" w:name="_Toc18958"/>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欧央行官员鹰派发声，金价延续涨势</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美国房市维持低迷，10月S&amp;P 20大城市房价指数录得303.86，环比下降0.78%，连续四个月下行。隔夜沪金、沪银冲高回落，整体延续涨势。欧洲央行副行长金多斯称预计2022年末欧元区将出现短暂的轻度衰退；应进一步加息直至通胀重回接近2%的长期目标。欧央行维持鹰派提振欧元，美元指数偏弱表现对贵金属价格形成支撑，建议沪金、沪银多单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金属"/>
      <w:bookmarkStart w:id="10" w:name="_Toc20891"/>
      <w:bookmarkStart w:id="11" w:name="_Toc3096"/>
      <w:bookmarkStart w:id="12" w:name="_Toc25030"/>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27831"/>
      <w:bookmarkStart w:id="15" w:name="_Toc5371"/>
      <w:bookmarkStart w:id="16" w:name="_Toc17719"/>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暂无突破驱动，继续日内宽幅震荡</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短期一二线消费半径开始修复，新冠疫情改名刺激情绪，市场偏强运行。市场进入季节性累库阶段，贸易商冬储意愿较弱，冬储大部分由钢厂完成，大跌大涨或需现货端完成库存转移，预计盘面或继续宽幅震荡整理，日内波动或放大。但上方电炉钢成本的压力会比较明显，关注上方压力区间（4050,4100），下方（3850,3900）的支撑区间。</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4790"/>
      <w:bookmarkStart w:id="18" w:name="_Toc11356"/>
      <w:bookmarkStart w:id="19" w:name="_Toc6149"/>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暂无突破驱动，继续日内宽幅震荡</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横盘震荡，随成材波动。现货端，港口焦炭价格小幅度回调后保持稳定，继续向上驱动转弱，盘面随成材震荡，关注上方压力区间（2780,2830），运行区间（2630,2780），等待市场主线更加清晰。</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29033"/>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暂无突破驱动，继续日内宽幅震荡    </w:t>
      </w:r>
      <w:bookmarkEnd w:id="20"/>
    </w:p>
    <w:p>
      <w:pPr>
        <w:ind w:left="630" w:leftChars="300"/>
        <w:rPr>
          <w:rFonts w:ascii="楷体" w:hAnsi="楷体" w:eastAsia="楷体"/>
          <w:bCs/>
          <w:sz w:val="24"/>
          <w:szCs w:val="24"/>
        </w:rPr>
      </w:pPr>
      <w:r>
        <w:rPr>
          <w:rFonts w:hint="eastAsia" w:ascii="楷体" w:hAnsi="楷体" w:eastAsia="楷体"/>
          <w:sz w:val="24"/>
          <w:szCs w:val="24"/>
        </w:rPr>
        <w:t>利好消息刺激，盘面随螺纹转强。但是现货自身的驱动在转弱，预计整体维持宽幅震荡，短期偏强，预计短期焦煤05合约在（1800,1980）区间支撑震荡，短期上方压力（1965,1976）。</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5617"/>
      <w:bookmarkStart w:id="22" w:name="_Toc9719"/>
      <w:bookmarkStart w:id="23" w:name="_Toc21569"/>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市场情绪表现乐观，铜价震荡偏强运行</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 产业：国家统计局公布2022年11月中国铜材产量210.5万吨，同比增长5.9%；1-11月累计产量2081.9万吨，同比增长6.9%。</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(2)库存：12月27日，SHFE仓单库存25804吨，增455吨。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(3)精废价差：12月27日，Mysteel精废价差2157，扩大108。目前价差在合理价差1366之上。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国内防疫政策进一步放宽，地产利好政策逐步兑现，整体市场情绪表现乐观。供需面，进入消费淡季，市场需求维持弱势，同时，国内的产量和进口都难以在短期内出现大幅回升，明显的累库时间或将推迟至明年。国内库存再度去化，现货偏紧对价格仍然形成支撑。价格目前跟随宏观情绪波动，短期缺乏方向性，参考65000-67500。</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8897"/>
      <w:bookmarkStart w:id="25" w:name="_Toc6247"/>
      <w:bookmarkStart w:id="26" w:name="_Toc29018"/>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价格核心支撑未变，铝价短期震荡为主</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全球流动性持续收窄，海外经济衰退风险加剧，市场对联储加息仍存担忧预期，日本央行加入加息队伍，美元指数低位扰动。印尼表示从23年中旬开始禁止铝土矿出口，铝价获得供应缺口预期支撑。国内宏观延续内需向好，实际政策投放效果仍待市场检验，多地疫情蔓延对经济消费有消极影响，叠加进入淡季，下游加工情绪偏弱，但现货成交较好，反映市场低价刚需补库，低库存现状短期难以改变，价格仍有较强支撑，短期以震荡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20764"/>
      <w:r>
        <w:rPr>
          <w:rFonts w:hint="eastAsia" w:ascii="楷体" w:hAnsi="楷体" w:eastAsia="楷体"/>
          <w:b/>
          <w:color w:val="000000" w:themeColor="text1"/>
          <w:sz w:val="24"/>
          <w:szCs w:val="24"/>
          <w14:textFill>
            <w14:solidFill>
              <w14:schemeClr w14:val="tx1"/>
            </w14:solidFill>
          </w14:textFill>
        </w:rPr>
        <w:t>锌：锌产供给预期增加，低库存仍支撑价格</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27日沪锌隔夜收盘价格23885元/吨，涨幅0.95%，上海有色网0#锌锭（Zn99.995）现货报价24040元/吨，较上一统计日报价上涨190元/吨。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经济衰退风险加剧，市场对联储加息仍存担忧预期，美元指数低位运行。国内疫情防控走向开放，疫情多点蔓延迅速，实体经济表现再度走弱，中央经济工作会议表示要确保地产市场平稳发展，推动国内经济运行良好运转，以扩大国内需求为重任，未来国内仍有内需向好预期。冶炼端仍有较高利润刺激冶炼厂追产，但受疫情开放影响整体开工率在走弱，需求进入消费淡季，部分企业停产检修或提前放假，现货市场供应偏紧，贸易商惜售，库存仍维持低位，上中游宽松加产，下游消费疲弱，后续或有锌产累库动作，但短期大幅累库可能性较小，锌价重心下移，短期价格维持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13538"/>
      <w:r>
        <w:rPr>
          <w:rFonts w:hint="eastAsia" w:ascii="楷体" w:hAnsi="楷体" w:eastAsia="楷体"/>
          <w:b/>
          <w:color w:val="000000" w:themeColor="text1"/>
          <w:sz w:val="24"/>
          <w:szCs w:val="24"/>
          <w14:textFill>
            <w14:solidFill>
              <w14:schemeClr w14:val="tx1"/>
            </w14:solidFill>
          </w14:textFill>
        </w:rPr>
        <w:t>镍：维持高位运行，观望为主</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俄罗斯诺镍考虑2023年减产10%，提振短期市场情绪。国内精炼镍库存持续走低，现货紧缺，升水高企，支撑镍价。LME镍库存缓慢回升，现货大幅贴水，反应海外需求疲弱。预计镍价仍将维持高位运行，继续上行驱动有限。当前镍估值偏高，交易上不建议追多，观望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18399"/>
      <w:r>
        <w:rPr>
          <w:rFonts w:hint="eastAsia" w:ascii="楷体" w:hAnsi="楷体" w:eastAsia="楷体"/>
          <w:b/>
          <w:color w:val="000000" w:themeColor="text1"/>
          <w:sz w:val="24"/>
          <w:szCs w:val="24"/>
          <w14:textFill>
            <w14:solidFill>
              <w14:schemeClr w14:val="tx1"/>
            </w14:solidFill>
          </w14:textFill>
        </w:rPr>
        <w:t>不锈钢：短期下方空间有限，暂时观望</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据SMM调研，近期疫情对市场各环节的影响仍存，市场的成交颓势不改，现货价格在明显走弱后趋于持稳。上周不锈钢社会库存再次大幅累积，叠加宏观乐观情绪褪去，预计不锈钢价维持弱势运行，当前成本支撑依旧坚挺，SS下方空间亦不大，建议暂时观望。</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15789"/>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多空双方博弈加剧，短期市场或区间震荡为主</w:t>
      </w:r>
      <w:bookmarkEnd w:id="30"/>
    </w:p>
    <w:p>
      <w:pPr>
        <w:ind w:left="630" w:leftChars="300"/>
        <w:rPr>
          <w:rFonts w:ascii="楷体" w:hAnsi="楷体" w:eastAsia="楷体"/>
          <w:sz w:val="24"/>
          <w:szCs w:val="24"/>
        </w:rPr>
      </w:pPr>
      <w:r>
        <w:rPr>
          <w:rFonts w:hint="eastAsia" w:ascii="楷体" w:hAnsi="楷体" w:eastAsia="楷体"/>
          <w:sz w:val="24"/>
          <w:szCs w:val="24"/>
        </w:rPr>
        <w:t>27日主力合约开盘冲高，做多资金明显增加，但受现货市场弱势影响，尾盘回落，整体呈震荡走势。近期现货市场报价不断下跌，且行业库存仍旧高位，硅价整体承压运行，但西南成本支撑仍有支撑，预计短期多空双方博弈将加剧，硅价或将区间（17000，17500）震荡，建议谨慎资金观望为主，激进资金可维持逢高做空思路。</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21222"/>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sz w:val="24"/>
          <w:szCs w:val="24"/>
        </w:rPr>
      </w:pPr>
      <w:bookmarkStart w:id="33" w:name="_Toc26239"/>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供增需减 乙二醇走势承压</w:t>
      </w:r>
      <w:bookmarkEnd w:id="33"/>
    </w:p>
    <w:p>
      <w:pPr>
        <w:ind w:left="630" w:leftChars="300"/>
        <w:rPr>
          <w:rFonts w:ascii="楷体" w:hAnsi="楷体" w:eastAsia="楷体"/>
          <w:sz w:val="24"/>
          <w:szCs w:val="24"/>
        </w:rPr>
      </w:pPr>
      <w:r>
        <w:rPr>
          <w:rFonts w:hint="eastAsia" w:ascii="楷体" w:hAnsi="楷体" w:eastAsia="楷体"/>
          <w:sz w:val="24"/>
          <w:szCs w:val="24"/>
        </w:rPr>
        <w:t>供需情况，12.19华东主港地区MEG港口库存约98万吨附近，环比上期增加1.9万吨。12月19日至12月25日，主港计划到货总数为11万吨，环比减少2.7万吨。开工情况，截至12月22日，中国大陆地区乙二醇整体开工负荷在59.14%（+3.14%），其中煤制乙二醇开工负荷在41.63%（+3.07%），乙二醇负荷大幅提升。新装置方面，海南一套80万吨/年的MEG新装置计划于本月底前后投产。从聚酯需求端来看，截至12.22，初步核算国内大陆地区聚酯负荷在66.8%（-2.7%）。终端加弹、织造、印染多环节因工人阳率提升而大幅降低负荷，截至12.23，江浙加弹开工率51%（-6%）、江浙织机开工率38%（-20%）、浙江印染开工率41%（-29%）。综合来看，国内经历疫情放开后的大爆发，宏观情绪有所降温。随着MEG新装置逐步投产，供应环节仍在逐步增量中。月底终端放假潮来临，乙二醇供需矛盾依旧严峻，将再度承压下行。仅供参考。</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19544"/>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：下游即将迎来放假  TA面临回调风险</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本周期逸盛海南PTA装置负荷恢复，新材料PTA装置降负，其他个别装置负荷小幅调整，能投100万吨PTA装置重启再次延后，嘉兴石化220万吨PTA装置已停车，至12.23 PTA负荷下降至60.3%。新装置方面山东威联PTA装置一条线投料，嘉通能源250万吨PTA装置已于昨天投料，目前已出产品。本周前后聚酯长丝装置继续有新增检修，个别工厂因工人问题降负，短纤负荷继续维持稳定，瓶片一套装置正在开启，后续将陆续出产品。截至12.23，初步核算国内大陆地区聚酯负荷在66.8%，下滑幅度较供给端大。终端方面，加弹、织造、印染多环节因工人阳率提升而降低负荷，江浙终端开工快速下降。月底终端放假潮来临，工厂可能被迫提前放假。按往年惯例终端开工率在春节假期会大幅下降至20%左右，终端提前放假之下聚酯降负节奏有加速可能。在新装置持续输出以及需求走弱态势下，PTA仍有季节性累库压力，预估1月累库幅度在40~50万吨。“强预期”带来的涨幅已逐步兑现，伴随成本端支撑走弱及现实端转弱的矛盾，TA面临回调风险。</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5" w:name="_Toc10640"/>
      <w:r>
        <w:rPr>
          <w:rFonts w:hint="eastAsia" w:ascii="楷体" w:hAnsi="楷体" w:eastAsia="楷体"/>
          <w:b/>
          <w:color w:val="000000" w:themeColor="text1"/>
          <w:sz w:val="24"/>
          <w:szCs w:val="24"/>
          <w14:textFill>
            <w14:solidFill>
              <w14:schemeClr w14:val="tx1"/>
            </w14:solidFill>
          </w14:textFill>
        </w:rPr>
        <w:t>聚烯烃：下游终端即将步入“休眠”模式，聚烯烃或窄幅整理</w:t>
      </w:r>
      <w:bookmarkEnd w:id="35"/>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涨跌互现。库存方面，本周国内PE库存环比下降1.30%，其中样本主要生产环节PE库存环比下降3.31%，PE样本港口库存环比增加1.91%，样本贸易企业库存环比下滑3.33%。本周国内PP库存环比下降2.59%。其中主要生产环节PP库存下降、贸易商库存和港口库存均有上升。供应方面，供应方面，本周PE暂无新增检修装置；本周上海石化一套10万吨产能LDPE装置将开机重启；PP本周新增中原石化和上海赛科共计35万吨装置停车检修，中原石化另一6万吨装置将于本周开车重启。成本端方面，美国冬季风暴关闭的一些美国炼厂恢复运营，国际油价在圣诞节后迅速上涨。然而市场评估美国炼油厂恢复正常的程度和时期，加之俄罗斯对其海运原油限价国家实行禁售，欧美原油期货尾盘缩窄涨幅，目前油制PE利润大约为-283.93元/吨，油制PP利润大约为-1594.04元/吨，相较年度偏低位置已有较大恢复；需求方面，PE下游方面，棚膜需求持续减弱，地膜订单跟进缓慢，农膜厂家仍略显谨慎，坚持刚需采购。PP方面，BOPP整体成交一般，BOPP企业未交付订单多数在5-15天，部分至1月中旬。综合来看，原油成本小幅反弹，但对聚烯烃支撑较俄乌战争初期仍有明显减弱，同时下游需求在春节前多以刚性补库为主，需求较弱，难以大幅放量，终端即将进入“休眠模式”，供需矛盾变化不大下，预计今日聚烯烃窄幅波动。此前关于宏观利好的炒作情绪一定程度上支撑市场价格，但持续性不会过长，短期暂时维持小幅调整，中长期依旧有下行风险。12-明年1月PE、PP仍有多套装置等待投产，叠加进口套利窗口打开，供应压力不减。塑料供需趋弱累库下高空思路不变，上行空间有限。预计近期在供需弱平衡下聚烯烃将窄幅整理，短期PP 7800左右支撑较强和PE 8150压力位左右支撑较强。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6" w:name="_Toc21392"/>
      <w:r>
        <w:rPr>
          <w:rFonts w:hint="eastAsia" w:ascii="Times New Roman" w:hAnsi="Times New Roman" w:eastAsia="楷体"/>
          <w:b/>
          <w:color w:val="823C0B"/>
          <w:sz w:val="30"/>
          <w:szCs w:val="30"/>
        </w:rPr>
        <w:t>[农产品]</w:t>
      </w:r>
      <w:bookmarkEnd w:id="13"/>
      <w:bookmarkEnd w:id="36"/>
    </w:p>
    <w:p>
      <w:pPr>
        <w:ind w:left="420" w:leftChars="200"/>
        <w:outlineLvl w:val="1"/>
        <w:rPr>
          <w:rFonts w:hint="eastAsia" w:ascii="楷体" w:hAnsi="楷体" w:eastAsia="楷体"/>
          <w:b/>
          <w:sz w:val="24"/>
          <w:szCs w:val="24"/>
        </w:rPr>
      </w:pPr>
      <w:bookmarkStart w:id="37" w:name="_Toc1736"/>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短期维持高位震荡，暂看下方3800附近支撑</w:t>
      </w:r>
      <w:bookmarkEnd w:id="37"/>
    </w:p>
    <w:p>
      <w:pPr>
        <w:ind w:left="630" w:leftChars="300"/>
        <w:rPr>
          <w:rFonts w:ascii="楷体" w:hAnsi="楷体" w:eastAsia="楷体"/>
          <w:sz w:val="24"/>
          <w:szCs w:val="24"/>
        </w:rPr>
      </w:pPr>
      <w:r>
        <w:rPr>
          <w:rFonts w:hint="eastAsia" w:ascii="楷体" w:hAnsi="楷体" w:eastAsia="楷体"/>
          <w:sz w:val="24"/>
          <w:szCs w:val="24"/>
        </w:rPr>
        <w:t>外盘方面，因圣诞假日外盘休市，关注阿根廷降雨预期是否能缓解其种植区旱情，因受干旱天气影响阿根廷种植进度和优良率持续下滑，天气的不确定下对美豆构成支撑。国内市场，11月进口大豆到港因密西西比河水位降低而延迟，预计12月份到港恢复，当前大豆港口库存累库速度也有所加快。大部分油厂恢复开工，开机及压榨持续维持高位，豆粕库存拐点显现，已进入累库阶段，但榨利亏损下明年1-2月份缺口仍存，预计累库速度较慢。下游养殖利润近期大幅下滑，因冬季腌腊需求生猪大量出栏，饲企和养殖企业等采购需求减弱。短期临近交割月资金已逐渐转至05合约，在供应预期增加下延续近强远弱格局，若未明显利空行情下，预计豆粕仍将维持高位震荡，短期建议低多参与；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38" w:name="_Toc14055"/>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短期延续反弹，持续性仍待观望</w:t>
      </w:r>
      <w:bookmarkEnd w:id="38"/>
    </w:p>
    <w:p>
      <w:pPr>
        <w:ind w:left="630" w:leftChars="300"/>
        <w:rPr>
          <w:rFonts w:ascii="楷体" w:hAnsi="楷体" w:eastAsia="楷体"/>
          <w:sz w:val="24"/>
          <w:szCs w:val="24"/>
        </w:rPr>
      </w:pPr>
      <w:r>
        <w:rPr>
          <w:rFonts w:hint="eastAsia" w:ascii="楷体" w:hAnsi="楷体" w:eastAsia="楷体"/>
          <w:sz w:val="24"/>
          <w:szCs w:val="24"/>
        </w:rPr>
        <w:t>外盘方面，国际原油近日在利好支撑下连续上涨，利好生柴需求，油脂随之触底反弹。棕榈油支撑主要来自产地继续减产以及印尼生柴政策利好。数据显示12月1-20日马棕出油率减少0.14%，产量预计环比减少6.73%。而印尼将在23年1月开始实施B35计划。而国内棕榈油供应较宽松，需求方面在冬季消费淡季下增量有限，棕榈油库存当前在供过于求下也进一步创历史新高，随着进口下滑预计在12月底后逐步见顶，短期供应压力较大。近期豆油下游成交有所回暖，进入传统旺季备货阶段提振，虽近期防疫政策优化，但下游消费需求未见明显好转，而棕榈油进入季节性消费淡季提振部分豆油替代消费。近期因11月大豆到港延迟，累库进度放缓。但随着12月到港修复，油厂压榨持续恢复后边际供应预计由紧转松，关注豆油库存修复情况，短期延续近强远弱格局。菜油在供应边际预期改善下，也预计维持近强远弱格局，但在库存尚未明显修复下，基差维持高位。随着进口加籽到港量逐步增加，菜籽累库进度加快。同时在刚需以及临近春节前备货下，菜油库存修复仍需时间。预计油脂在供应边际增加及下游消费整体呈现旺季不旺的局面，上方空间预计有限，短期油脂预计维持底部宽幅震荡，反弹持续性仍待观望，建议波段操作，短线高抛低吸。</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9" w:name="_Toc2890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淀粉-玉米价差大幅走扩</w:t>
      </w:r>
      <w:bookmarkEnd w:id="39"/>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国内市场逻辑未变，即期价呈现远月贴水结构，抑制中下游补库积极性，新作上市压力仍有待释放。但值得留意的是，目前盘面期价已经回落至美玉米到港成本一线，而巴西玉米报价亦有显著提升，这表明美玉米竞争压力有所缓解，可能会抑制美玉米期价继续下跌的空间。而对于国内而言，则需要留意南北方港口库存持续回落，深加工玉米库存低位，下游节前备货需求可能带动现货出现阶段性反弹。考虑到从时间上看临近去年调整的尾声，空间上看玉米期价贴近美玉米进口到港成本，观点转为中性，建议投资者前期玉米或淀粉空单离场后暂以观望为宜。</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持续收窄至前期低位，其中主导原因或在于供需端和成本端，即下游需求受疫情压制，而玉米深加工企业收购价持续回落。但需要留意的是，随着副产品价格逐步回落，带动期现货生产利润持续下滑，或有利于后期行业供需改善。在这种情况下，建议继续持有淀粉-玉米价差套利（如有）组合。</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11458"/>
      <w:r>
        <w:rPr>
          <w:rFonts w:hint="eastAsia" w:ascii="楷体" w:hAnsi="楷体" w:eastAsia="楷体"/>
          <w:b/>
          <w:bCs/>
          <w:color w:val="000000" w:themeColor="text1"/>
          <w14:textFill>
            <w14:solidFill>
              <w14:schemeClr w14:val="tx1"/>
            </w14:solidFill>
          </w14:textFill>
        </w:rPr>
        <w:t>畜禽养殖：鸡蛋期价接力反弹</w:t>
      </w:r>
      <w:bookmarkEnd w:id="40"/>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近期期价结构频繁转变，低点从之前的3月合约进一步前移至1月，之后合约较1月合约均出现升水，且多维持在行业平均成本线上方，这表明市场预计需求影响时段收窄，且市场认为当前需求弱势会导致产能恢复力度不及之前预期。在我们看来，疫情因素对需求的影响意味着“危”与“机”并存，因其短期和中长期影响有所不同，短期利空或有助于供应出清，在国家收储及其需求改善的带动，或将导致供需发生改变，有望带来期价阶段性反弹机会 ，据此观点转为谨慎看多，谨慎投资者观望，激进投资者可以考虑轻仓做多。</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今年动物蛋白供应格局类似于2019年，而鸡蛋供需两弱格局则类似于去年。基于上述供需判断，接下来需要关注两个方面，一方面基于鸡蛋自身供需格局关注在产蛋鸡环比变动，另一方面基于动物蛋白供应格局需要关注接下来的猪价走势节奏。各机构蛋鸡存补栏数据和现货表现符合之前预期，供应端未有明显改善，11月在产蛋鸡存栏虽有环比和同比再度小幅回落，总体维持历史同期低位运行，表明供应端依然偏紧。近期防疫政策放开导致短期需求急剧萎缩，但可以预见的是，后期疫情有望趋于缓解，需求将逐步恢复。在这种情况下，考虑到成本支撑因素，预计期价继续下跌空间或有限，对应观点转为谨慎看多，建议谨慎投资者观望，激进投资者可以考虑以前低作为止损轻仓做多5月合约。</w:t>
      </w: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1" w:name="_Toc8408"/>
      <w:r>
        <w:rPr>
          <w:rFonts w:hint="eastAsia" w:ascii="楷体" w:hAnsi="楷体" w:eastAsia="楷体"/>
          <w:b/>
          <w:sz w:val="24"/>
          <w:szCs w:val="24"/>
        </w:rPr>
        <w:t>郑棉：美棉偏弱震荡。国内企业已陆续开始放假，不少直达春节，对原料的补库采购逐渐减少</w:t>
      </w:r>
      <w:bookmarkEnd w:id="41"/>
    </w:p>
    <w:p>
      <w:pPr>
        <w:ind w:left="630" w:leftChars="300"/>
        <w:rPr>
          <w:rFonts w:hint="eastAsia" w:ascii="楷体" w:hAnsi="楷体" w:eastAsia="楷体"/>
          <w:sz w:val="24"/>
          <w:szCs w:val="24"/>
        </w:rPr>
      </w:pPr>
      <w:r>
        <w:rPr>
          <w:rFonts w:hint="eastAsia" w:ascii="楷体" w:hAnsi="楷体" w:eastAsia="楷体"/>
          <w:sz w:val="24"/>
          <w:szCs w:val="24"/>
        </w:rPr>
        <w:t>郑棉震荡整理，看跌期权持有</w:t>
      </w:r>
    </w:p>
    <w:p>
      <w:pPr>
        <w:ind w:left="630" w:leftChars="300"/>
        <w:rPr>
          <w:rFonts w:ascii="楷体" w:hAnsi="楷体" w:eastAsia="楷体"/>
          <w:sz w:val="24"/>
          <w:szCs w:val="24"/>
        </w:rPr>
      </w:pPr>
      <w:r>
        <w:rPr>
          <w:rFonts w:hint="eastAsia" w:ascii="楷体" w:hAnsi="楷体" w:eastAsia="楷体"/>
          <w:sz w:val="24"/>
          <w:szCs w:val="24"/>
        </w:rPr>
        <w:t>在棉价上涨的带动下，棉商以及轧花厂皮棉销售挺价意愿增强，纺企的原料补库意愿略衰减，不愿在年假前累积库存和高价买入，随用随采。各省疫情高峰陆续来临，纺织厂开机率与人员到岗率下降。企业逐渐进入“放假”模式。</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2" w:name="_Toc71212556"/>
      <w:bookmarkStart w:id="43" w:name="_Toc19667"/>
      <w:bookmarkStart w:id="44" w:name="_Toc98426751"/>
      <w:bookmarkStart w:id="45" w:name="_Toc72481108"/>
      <w:bookmarkStart w:id="46" w:name="_Toc12779"/>
      <w:r>
        <w:rPr>
          <w:rFonts w:ascii="Times New Roman" w:hAnsi="Times New Roman" w:eastAsia="楷体"/>
          <w:b/>
          <w:color w:val="411D05"/>
          <w:sz w:val="30"/>
          <w:szCs w:val="30"/>
        </w:rPr>
        <w:t>免责声明</w:t>
      </w:r>
      <w:bookmarkEnd w:id="42"/>
      <w:bookmarkEnd w:id="43"/>
      <w:bookmarkEnd w:id="44"/>
      <w:bookmarkEnd w:id="45"/>
      <w:bookmarkEnd w:id="46"/>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2022年12月28日星期三</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6B753E3"/>
    <w:rsid w:val="09F160E3"/>
    <w:rsid w:val="0C1F7DEE"/>
    <w:rsid w:val="100732C8"/>
    <w:rsid w:val="10DA6205"/>
    <w:rsid w:val="129B2E20"/>
    <w:rsid w:val="12AA5DF8"/>
    <w:rsid w:val="15364A7C"/>
    <w:rsid w:val="15D52593"/>
    <w:rsid w:val="197E6634"/>
    <w:rsid w:val="1B8A2034"/>
    <w:rsid w:val="1BC72FF7"/>
    <w:rsid w:val="1D5030CD"/>
    <w:rsid w:val="2056595D"/>
    <w:rsid w:val="20AE4DE8"/>
    <w:rsid w:val="21996AC1"/>
    <w:rsid w:val="219F3EE2"/>
    <w:rsid w:val="24321B2E"/>
    <w:rsid w:val="247F3074"/>
    <w:rsid w:val="25B924F3"/>
    <w:rsid w:val="26F95364"/>
    <w:rsid w:val="2DC02C2B"/>
    <w:rsid w:val="2DE440F7"/>
    <w:rsid w:val="2FA70F17"/>
    <w:rsid w:val="340E7198"/>
    <w:rsid w:val="373F75CC"/>
    <w:rsid w:val="3AC9385E"/>
    <w:rsid w:val="3B3306F0"/>
    <w:rsid w:val="3B563B4D"/>
    <w:rsid w:val="3C2825B0"/>
    <w:rsid w:val="3C2B26B7"/>
    <w:rsid w:val="3D8B796D"/>
    <w:rsid w:val="3DA80A30"/>
    <w:rsid w:val="3EE0186C"/>
    <w:rsid w:val="441077D2"/>
    <w:rsid w:val="44396064"/>
    <w:rsid w:val="459609D9"/>
    <w:rsid w:val="45A37566"/>
    <w:rsid w:val="45CF0A85"/>
    <w:rsid w:val="4B6224E5"/>
    <w:rsid w:val="4D2A3925"/>
    <w:rsid w:val="4DB20386"/>
    <w:rsid w:val="5005695E"/>
    <w:rsid w:val="50286811"/>
    <w:rsid w:val="51266B84"/>
    <w:rsid w:val="548642E9"/>
    <w:rsid w:val="56DD4D3A"/>
    <w:rsid w:val="57CB522F"/>
    <w:rsid w:val="59C52328"/>
    <w:rsid w:val="5D5617A6"/>
    <w:rsid w:val="5EA7685B"/>
    <w:rsid w:val="62710E5F"/>
    <w:rsid w:val="64C32497"/>
    <w:rsid w:val="66D04BBC"/>
    <w:rsid w:val="685D4EEE"/>
    <w:rsid w:val="6ECB7DD2"/>
    <w:rsid w:val="713E0334"/>
    <w:rsid w:val="729B5F03"/>
    <w:rsid w:val="72F62A89"/>
    <w:rsid w:val="737357AF"/>
    <w:rsid w:val="778F5135"/>
    <w:rsid w:val="78E55995"/>
    <w:rsid w:val="7ABE4B56"/>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6423</Words>
  <Characters>6945</Characters>
  <Lines>50</Lines>
  <Paragraphs>14</Paragraphs>
  <TotalTime>6</TotalTime>
  <ScaleCrop>false</ScaleCrop>
  <LinksUpToDate>false</LinksUpToDate>
  <CharactersWithSpaces>6974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2022-12-28T10:18:02Z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