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楷体" w:cs="Times New Roman"/>
          <w:b/>
          <w:color w:val="823C0B"/>
          <w:sz w:val="32"/>
          <w:szCs w:val="32"/>
        </w:rPr>
      </w:pPr>
      <w:r>
        <w:rPr>
          <w:rFonts w:ascii="Times New Roman" w:hAnsi="Times New Roman" w:eastAsia="楷体" w:cs="Times New Roman"/>
          <w:b/>
          <w:color w:val="823C0B"/>
          <w:sz w:val="32"/>
          <w:szCs w:val="32"/>
        </w:rPr>
        <w:t>广州期货早间直通车</w:t>
      </w:r>
    </w:p>
    <w:p>
      <w:pPr>
        <w:jc w:val="right"/>
        <w:rPr>
          <w:rFonts w:ascii="Times New Roman" w:hAnsi="Times New Roman" w:eastAsia="楷体" w:cs="Times New Roman"/>
          <w:b/>
          <w:color w:val="823C0B"/>
          <w:sz w:val="24"/>
        </w:rPr>
      </w:pPr>
    </w:p>
    <w:p>
      <w:pPr>
        <w:jc w:val="center"/>
        <w:rPr>
          <w:rFonts w:ascii="Times New Roman" w:hAnsi="Times New Roman" w:eastAsia="楷体" w:cs="Times New Roman"/>
          <w:b/>
          <w:color w:val="823C0B"/>
          <w:sz w:val="24"/>
        </w:rPr>
      </w:pPr>
      <w:r>
        <w:rPr>
          <w:rFonts w:ascii="Times New Roman" w:hAnsi="Times New Roman" w:eastAsia="楷体" w:cs="Times New Roman"/>
          <w:b/>
          <w:color w:val="823C0B"/>
          <w:sz w:val="24"/>
        </w:rPr>
        <w:t>投资咨询业务资格：证监许可【2012】1497号</w:t>
      </w:r>
    </w:p>
    <w:p>
      <w:pPr>
        <w:jc w:val="center"/>
        <w:rPr>
          <w:rFonts w:ascii="Times New Roman" w:hAnsi="Times New Roman" w:eastAsia="楷体"/>
          <w:b/>
          <w:color w:val="823C0B"/>
          <w:sz w:val="30"/>
          <w:szCs w:val="30"/>
        </w:rPr>
      </w:pPr>
    </w:p>
    <w:p>
      <w:pPr>
        <w:jc w:val="center"/>
        <w:rPr>
          <w:rFonts w:ascii="Times New Roman" w:hAnsi="Times New Roman" w:eastAsia="楷体"/>
          <w:b/>
        </w:rPr>
      </w:pPr>
      <w:r>
        <w:rPr>
          <w:rFonts w:hint="eastAsia" w:ascii="Times New Roman" w:hAnsi="Times New Roman" w:eastAsia="楷体"/>
          <w:b/>
          <w:color w:val="823C0B"/>
          <w:sz w:val="30"/>
          <w:szCs w:val="30"/>
        </w:rPr>
        <w:t>评论品种一览</w:t>
      </w:r>
    </w:p>
    <w:sdt>
      <w:sdtPr>
        <w:rPr>
          <w:rFonts w:eastAsia="宋体" w:asciiTheme="minorHAnsi" w:hAnsiTheme="minorHAnsi" w:cstheme="minorBidi"/>
          <w:b/>
          <w:bCs/>
          <w:color w:val="auto"/>
          <w:kern w:val="2"/>
          <w:sz w:val="21"/>
          <w:szCs w:val="21"/>
          <w:lang w:val="zh-CN"/>
        </w:rPr>
        <w:id w:val="1355533930"/>
        <w:docPartObj>
          <w:docPartGallery w:val="Table of Contents"/>
          <w:docPartUnique/>
        </w:docPartObj>
      </w:sdtPr>
      <w:sdtEndPr>
        <w:rPr>
          <w:rFonts w:eastAsia="宋体" w:asciiTheme="minorHAnsi" w:hAnsiTheme="minorHAnsi" w:cstheme="minorBidi"/>
          <w:b/>
          <w:bCs/>
          <w:color w:val="auto"/>
          <w:kern w:val="2"/>
          <w:sz w:val="21"/>
          <w:szCs w:val="21"/>
          <w:lang w:val="zh-CN"/>
        </w:rPr>
      </w:sdtEndPr>
      <w:sdtContent>
        <w:p>
          <w:pPr>
            <w:pStyle w:val="17"/>
            <w:rPr>
              <w:b/>
              <w:bCs/>
            </w:rPr>
          </w:pPr>
        </w:p>
        <w:p>
          <w:pPr>
            <w:pStyle w:val="5"/>
            <w:tabs>
              <w:tab w:val="right" w:leader="dot" w:pos="8306"/>
            </w:tabs>
          </w:pPr>
          <w:r>
            <w:rPr>
              <w:b/>
              <w:bCs/>
            </w:rPr>
            <w:fldChar w:fldCharType="begin"/>
          </w:r>
          <w:r>
            <w:rPr>
              <w:b/>
              <w:bCs/>
            </w:rPr>
            <w:instrText xml:space="preserve"> TOC \o "1-3" \n \h \z \u </w:instrText>
          </w:r>
          <w:r>
            <w:rPr>
              <w:b/>
              <w:bCs/>
            </w:rPr>
            <w:fldChar w:fldCharType="separate"/>
          </w:r>
          <w:r>
            <w:rPr>
              <w:bCs/>
            </w:rPr>
            <w:fldChar w:fldCharType="begin"/>
          </w:r>
          <w:r>
            <w:rPr>
              <w:bCs/>
            </w:rPr>
            <w:instrText xml:space="preserve"> HYPERLINK \l _Toc19525 </w:instrText>
          </w:r>
          <w:r>
            <w:rPr>
              <w:bCs/>
            </w:rPr>
            <w:fldChar w:fldCharType="separate"/>
          </w:r>
          <w:r>
            <w:rPr>
              <w:rFonts w:hint="eastAsia" w:ascii="Times New Roman" w:hAnsi="Times New Roman" w:eastAsia="楷体"/>
              <w:szCs w:val="30"/>
            </w:rPr>
            <w:t>[金融]</w:t>
          </w:r>
          <w:r>
            <w:rPr>
              <w:bCs/>
            </w:rPr>
            <w:fldChar w:fldCharType="end"/>
          </w:r>
          <w:bookmarkStart w:id="47" w:name="_GoBack"/>
          <w:bookmarkEnd w:id="47"/>
        </w:p>
        <w:p>
          <w:pPr>
            <w:pStyle w:val="6"/>
            <w:tabs>
              <w:tab w:val="right" w:leader="dot" w:pos="8306"/>
            </w:tabs>
          </w:pPr>
          <w:r>
            <w:rPr>
              <w:bCs/>
            </w:rPr>
            <w:fldChar w:fldCharType="begin"/>
          </w:r>
          <w:r>
            <w:rPr>
              <w:bCs/>
            </w:rPr>
            <w:instrText xml:space="preserve"> HYPERLINK \l _Toc5651 </w:instrText>
          </w:r>
          <w:r>
            <w:rPr>
              <w:bCs/>
            </w:rPr>
            <w:fldChar w:fldCharType="separate"/>
          </w:r>
          <w:r>
            <w:rPr>
              <w:rFonts w:hint="eastAsia" w:ascii="Times New Roman" w:hAnsi="Times New Roman" w:eastAsia="楷体"/>
              <w:szCs w:val="24"/>
            </w:rPr>
            <w:t>股指：</w:t>
          </w:r>
          <w:r>
            <w:rPr>
              <w:rFonts w:hint="eastAsia" w:ascii="Times New Roman" w:hAnsi="Times New Roman" w:eastAsia="楷体"/>
              <w:szCs w:val="24"/>
              <w:highlight w:val="none"/>
            </w:rPr>
            <w:t>低多IC</w:t>
          </w:r>
          <w:r>
            <w:rPr>
              <w:bCs/>
            </w:rPr>
            <w:fldChar w:fldCharType="end"/>
          </w:r>
        </w:p>
        <w:p>
          <w:pPr>
            <w:pStyle w:val="5"/>
            <w:tabs>
              <w:tab w:val="right" w:leader="dot" w:pos="8306"/>
            </w:tabs>
          </w:pPr>
          <w:r>
            <w:rPr>
              <w:bCs/>
            </w:rPr>
            <w:fldChar w:fldCharType="begin"/>
          </w:r>
          <w:r>
            <w:rPr>
              <w:bCs/>
            </w:rPr>
            <w:instrText xml:space="preserve"> HYPERLINK \l _Toc12933 </w:instrText>
          </w:r>
          <w:r>
            <w:rPr>
              <w:bCs/>
            </w:rPr>
            <w:fldChar w:fldCharType="separate"/>
          </w:r>
          <w:r>
            <w:rPr>
              <w:rFonts w:hint="eastAsia" w:ascii="Times New Roman" w:hAnsi="Times New Roman" w:eastAsia="楷体"/>
              <w:szCs w:val="30"/>
            </w:rPr>
            <w:t>[</w:t>
          </w:r>
          <w:r>
            <w:rPr>
              <w:rFonts w:hint="eastAsia" w:ascii="Times New Roman" w:hAnsi="Times New Roman" w:eastAsia="楷体"/>
              <w:szCs w:val="30"/>
              <w:lang w:val="en-US" w:eastAsia="zh-CN"/>
            </w:rPr>
            <w:t>贵</w:t>
          </w:r>
          <w:r>
            <w:rPr>
              <w:rFonts w:hint="eastAsia" w:ascii="Times New Roman" w:hAnsi="Times New Roman" w:eastAsia="楷体"/>
              <w:szCs w:val="30"/>
            </w:rPr>
            <w:t>金</w:t>
          </w:r>
          <w:r>
            <w:rPr>
              <w:rFonts w:hint="eastAsia" w:ascii="Times New Roman" w:hAnsi="Times New Roman" w:eastAsia="楷体"/>
              <w:szCs w:val="30"/>
              <w:lang w:val="en-US" w:eastAsia="zh-CN"/>
            </w:rPr>
            <w:t>属</w:t>
          </w:r>
          <w:r>
            <w:rPr>
              <w:rFonts w:hint="eastAsia" w:ascii="Times New Roman" w:hAnsi="Times New Roman" w:eastAsia="楷体"/>
              <w:szCs w:val="30"/>
            </w:rPr>
            <w:t>]</w:t>
          </w:r>
          <w:r>
            <w:rPr>
              <w:bCs/>
            </w:rPr>
            <w:fldChar w:fldCharType="end"/>
          </w:r>
        </w:p>
        <w:p>
          <w:pPr>
            <w:pStyle w:val="6"/>
            <w:tabs>
              <w:tab w:val="right" w:leader="dot" w:pos="8306"/>
            </w:tabs>
          </w:pPr>
          <w:r>
            <w:rPr>
              <w:bCs/>
            </w:rPr>
            <w:fldChar w:fldCharType="begin"/>
          </w:r>
          <w:r>
            <w:rPr>
              <w:bCs/>
            </w:rPr>
            <w:instrText xml:space="preserve"> HYPERLINK \l _Toc16458 </w:instrText>
          </w:r>
          <w:r>
            <w:rPr>
              <w:bCs/>
            </w:rPr>
            <w:fldChar w:fldCharType="separate"/>
          </w:r>
          <w:r>
            <w:rPr>
              <w:rFonts w:hint="eastAsia" w:ascii="Times New Roman" w:hAnsi="Times New Roman" w:eastAsia="楷体"/>
              <w:szCs w:val="24"/>
            </w:rPr>
            <w:t>贵金属：</w:t>
          </w:r>
          <w:r>
            <w:rPr>
              <w:rFonts w:hint="eastAsia" w:ascii="Times New Roman" w:hAnsi="Times New Roman" w:eastAsia="楷体"/>
              <w:szCs w:val="24"/>
              <w:highlight w:val="none"/>
            </w:rPr>
            <w:t>假日期间外盘休市，沪金或窄幅震荡</w:t>
          </w:r>
          <w:r>
            <w:rPr>
              <w:bCs/>
            </w:rPr>
            <w:fldChar w:fldCharType="end"/>
          </w:r>
        </w:p>
        <w:p>
          <w:pPr>
            <w:pStyle w:val="5"/>
            <w:tabs>
              <w:tab w:val="right" w:leader="dot" w:pos="8306"/>
            </w:tabs>
          </w:pPr>
          <w:r>
            <w:rPr>
              <w:bCs/>
            </w:rPr>
            <w:fldChar w:fldCharType="begin"/>
          </w:r>
          <w:r>
            <w:rPr>
              <w:bCs/>
            </w:rPr>
            <w:instrText xml:space="preserve"> HYPERLINK \l _Toc15261 </w:instrText>
          </w:r>
          <w:r>
            <w:rPr>
              <w:bCs/>
            </w:rPr>
            <w:fldChar w:fldCharType="separate"/>
          </w:r>
          <w:r>
            <w:rPr>
              <w:rFonts w:hint="eastAsia" w:ascii="Times New Roman" w:hAnsi="Times New Roman" w:eastAsia="楷体"/>
              <w:szCs w:val="30"/>
            </w:rPr>
            <w:t>[金属]</w:t>
          </w:r>
          <w:r>
            <w:rPr>
              <w:bCs/>
            </w:rPr>
            <w:fldChar w:fldCharType="end"/>
          </w:r>
        </w:p>
        <w:p>
          <w:pPr>
            <w:pStyle w:val="6"/>
            <w:tabs>
              <w:tab w:val="right" w:leader="dot" w:pos="8306"/>
            </w:tabs>
          </w:pPr>
          <w:r>
            <w:rPr>
              <w:bCs/>
            </w:rPr>
            <w:fldChar w:fldCharType="begin"/>
          </w:r>
          <w:r>
            <w:rPr>
              <w:bCs/>
            </w:rPr>
            <w:instrText xml:space="preserve"> HYPERLINK \l _Toc12788 </w:instrText>
          </w:r>
          <w:r>
            <w:rPr>
              <w:bCs/>
            </w:rPr>
            <w:fldChar w:fldCharType="separate"/>
          </w:r>
          <w:r>
            <w:rPr>
              <w:rFonts w:hint="eastAsia" w:ascii="楷体" w:hAnsi="楷体" w:eastAsia="楷体"/>
              <w:szCs w:val="24"/>
            </w:rPr>
            <w:t>螺纹钢：</w:t>
          </w:r>
          <w:r>
            <w:rPr>
              <w:rFonts w:hint="eastAsia" w:ascii="楷体" w:hAnsi="楷体" w:eastAsia="楷体"/>
              <w:szCs w:val="24"/>
              <w:highlight w:val="none"/>
            </w:rPr>
            <w:t>利好消息刺激，关注上方压力区间</w:t>
          </w:r>
          <w:r>
            <w:rPr>
              <w:bCs/>
            </w:rPr>
            <w:fldChar w:fldCharType="end"/>
          </w:r>
        </w:p>
        <w:p>
          <w:pPr>
            <w:pStyle w:val="6"/>
            <w:tabs>
              <w:tab w:val="right" w:leader="dot" w:pos="8306"/>
            </w:tabs>
          </w:pPr>
          <w:r>
            <w:rPr>
              <w:bCs/>
            </w:rPr>
            <w:fldChar w:fldCharType="begin"/>
          </w:r>
          <w:r>
            <w:rPr>
              <w:bCs/>
            </w:rPr>
            <w:instrText xml:space="preserve"> HYPERLINK \l _Toc21357 </w:instrText>
          </w:r>
          <w:r>
            <w:rPr>
              <w:bCs/>
            </w:rPr>
            <w:fldChar w:fldCharType="separate"/>
          </w:r>
          <w:r>
            <w:rPr>
              <w:rFonts w:hint="eastAsia" w:ascii="楷体" w:hAnsi="楷体" w:eastAsia="楷体"/>
              <w:szCs w:val="24"/>
            </w:rPr>
            <w:t>焦炭：横盘震荡，随成材波动，注意上方压力区间</w:t>
          </w:r>
          <w:r>
            <w:rPr>
              <w:bCs/>
            </w:rPr>
            <w:fldChar w:fldCharType="end"/>
          </w:r>
        </w:p>
        <w:p>
          <w:pPr>
            <w:pStyle w:val="6"/>
            <w:tabs>
              <w:tab w:val="right" w:leader="dot" w:pos="8306"/>
            </w:tabs>
          </w:pPr>
          <w:r>
            <w:rPr>
              <w:bCs/>
            </w:rPr>
            <w:fldChar w:fldCharType="begin"/>
          </w:r>
          <w:r>
            <w:rPr>
              <w:bCs/>
            </w:rPr>
            <w:instrText xml:space="preserve"> HYPERLINK \l _Toc26934 </w:instrText>
          </w:r>
          <w:r>
            <w:rPr>
              <w:bCs/>
            </w:rPr>
            <w:fldChar w:fldCharType="separate"/>
          </w:r>
          <w:r>
            <w:rPr>
              <w:rFonts w:hint="eastAsia" w:ascii="楷体" w:hAnsi="楷体" w:eastAsia="楷体"/>
              <w:szCs w:val="24"/>
            </w:rPr>
            <w:t>焦煤：横盘震荡，随成材波动，关注上方压力压力区间    </w:t>
          </w:r>
          <w:r>
            <w:rPr>
              <w:bCs/>
            </w:rPr>
            <w:fldChar w:fldCharType="end"/>
          </w:r>
        </w:p>
        <w:p>
          <w:pPr>
            <w:pStyle w:val="6"/>
            <w:tabs>
              <w:tab w:val="right" w:leader="dot" w:pos="8306"/>
            </w:tabs>
          </w:pPr>
          <w:r>
            <w:rPr>
              <w:bCs/>
            </w:rPr>
            <w:fldChar w:fldCharType="begin"/>
          </w:r>
          <w:r>
            <w:rPr>
              <w:bCs/>
            </w:rPr>
            <w:instrText xml:space="preserve"> HYPERLINK \l _Toc25132 </w:instrText>
          </w:r>
          <w:r>
            <w:rPr>
              <w:bCs/>
            </w:rPr>
            <w:fldChar w:fldCharType="separate"/>
          </w:r>
          <w:r>
            <w:rPr>
              <w:rFonts w:hint="eastAsia" w:ascii="楷体" w:hAnsi="楷体" w:eastAsia="楷体"/>
              <w:szCs w:val="24"/>
            </w:rPr>
            <w:t>铜：短期驱动有限，价格维持震荡</w:t>
          </w:r>
          <w:r>
            <w:rPr>
              <w:bCs/>
            </w:rPr>
            <w:fldChar w:fldCharType="end"/>
          </w:r>
        </w:p>
        <w:p>
          <w:pPr>
            <w:pStyle w:val="6"/>
            <w:tabs>
              <w:tab w:val="right" w:leader="dot" w:pos="8306"/>
            </w:tabs>
          </w:pPr>
          <w:r>
            <w:rPr>
              <w:bCs/>
            </w:rPr>
            <w:fldChar w:fldCharType="begin"/>
          </w:r>
          <w:r>
            <w:rPr>
              <w:bCs/>
            </w:rPr>
            <w:instrText xml:space="preserve"> HYPERLINK \l _Toc3466 </w:instrText>
          </w:r>
          <w:r>
            <w:rPr>
              <w:bCs/>
            </w:rPr>
            <w:fldChar w:fldCharType="separate"/>
          </w:r>
          <w:r>
            <w:rPr>
              <w:rFonts w:hint="eastAsia" w:ascii="楷体" w:hAnsi="楷体" w:eastAsia="楷体"/>
              <w:szCs w:val="24"/>
            </w:rPr>
            <w:t>铝：价格核心支撑未变，铝价短期震荡为主</w:t>
          </w:r>
          <w:r>
            <w:rPr>
              <w:bCs/>
            </w:rPr>
            <w:fldChar w:fldCharType="end"/>
          </w:r>
        </w:p>
        <w:p>
          <w:pPr>
            <w:pStyle w:val="6"/>
            <w:tabs>
              <w:tab w:val="right" w:leader="dot" w:pos="8306"/>
            </w:tabs>
          </w:pPr>
          <w:r>
            <w:rPr>
              <w:bCs/>
            </w:rPr>
            <w:fldChar w:fldCharType="begin"/>
          </w:r>
          <w:r>
            <w:rPr>
              <w:bCs/>
            </w:rPr>
            <w:instrText xml:space="preserve"> HYPERLINK \l _Toc14621 </w:instrText>
          </w:r>
          <w:r>
            <w:rPr>
              <w:bCs/>
            </w:rPr>
            <w:fldChar w:fldCharType="separate"/>
          </w:r>
          <w:r>
            <w:rPr>
              <w:rFonts w:hint="eastAsia" w:ascii="楷体" w:hAnsi="楷体" w:eastAsia="楷体"/>
              <w:szCs w:val="24"/>
            </w:rPr>
            <w:t>锌：锌产供给预期增加，低库存为价格支撑核心</w:t>
          </w:r>
          <w:r>
            <w:rPr>
              <w:bCs/>
            </w:rPr>
            <w:fldChar w:fldCharType="end"/>
          </w:r>
        </w:p>
        <w:p>
          <w:pPr>
            <w:pStyle w:val="6"/>
            <w:tabs>
              <w:tab w:val="right" w:leader="dot" w:pos="8306"/>
            </w:tabs>
          </w:pPr>
          <w:r>
            <w:rPr>
              <w:bCs/>
            </w:rPr>
            <w:fldChar w:fldCharType="begin"/>
          </w:r>
          <w:r>
            <w:rPr>
              <w:bCs/>
            </w:rPr>
            <w:instrText xml:space="preserve"> HYPERLINK \l _Toc7185 </w:instrText>
          </w:r>
          <w:r>
            <w:rPr>
              <w:bCs/>
            </w:rPr>
            <w:fldChar w:fldCharType="separate"/>
          </w:r>
          <w:r>
            <w:rPr>
              <w:rFonts w:hint="eastAsia" w:ascii="楷体" w:hAnsi="楷体" w:eastAsia="楷体"/>
              <w:szCs w:val="24"/>
            </w:rPr>
            <w:t>镍：维持高位运行，观望为主</w:t>
          </w:r>
          <w:r>
            <w:rPr>
              <w:bCs/>
            </w:rPr>
            <w:fldChar w:fldCharType="end"/>
          </w:r>
        </w:p>
        <w:p>
          <w:pPr>
            <w:pStyle w:val="6"/>
            <w:tabs>
              <w:tab w:val="right" w:leader="dot" w:pos="8306"/>
            </w:tabs>
          </w:pPr>
          <w:r>
            <w:rPr>
              <w:bCs/>
            </w:rPr>
            <w:fldChar w:fldCharType="begin"/>
          </w:r>
          <w:r>
            <w:rPr>
              <w:bCs/>
            </w:rPr>
            <w:instrText xml:space="preserve"> HYPERLINK \l _Toc13855 </w:instrText>
          </w:r>
          <w:r>
            <w:rPr>
              <w:bCs/>
            </w:rPr>
            <w:fldChar w:fldCharType="separate"/>
          </w:r>
          <w:r>
            <w:rPr>
              <w:rFonts w:hint="eastAsia" w:ascii="楷体" w:hAnsi="楷体" w:eastAsia="楷体"/>
              <w:szCs w:val="24"/>
            </w:rPr>
            <w:t>不锈钢：短期下方空间有限，暂时观望</w:t>
          </w:r>
          <w:r>
            <w:rPr>
              <w:bCs/>
            </w:rPr>
            <w:fldChar w:fldCharType="end"/>
          </w:r>
        </w:p>
        <w:p>
          <w:pPr>
            <w:pStyle w:val="6"/>
            <w:tabs>
              <w:tab w:val="right" w:leader="dot" w:pos="8306"/>
            </w:tabs>
          </w:pPr>
          <w:r>
            <w:rPr>
              <w:bCs/>
            </w:rPr>
            <w:fldChar w:fldCharType="begin"/>
          </w:r>
          <w:r>
            <w:rPr>
              <w:bCs/>
            </w:rPr>
            <w:instrText xml:space="preserve"> HYPERLINK \l _Toc866 </w:instrText>
          </w:r>
          <w:r>
            <w:rPr>
              <w:bCs/>
            </w:rPr>
            <w:fldChar w:fldCharType="separate"/>
          </w:r>
          <w:r>
            <w:rPr>
              <w:rFonts w:hint="eastAsia" w:ascii="楷体" w:hAnsi="楷体" w:eastAsia="楷体"/>
              <w:szCs w:val="24"/>
            </w:rPr>
            <w:t>工业硅：下游采购意愿较低，短期需求较难改善</w:t>
          </w:r>
          <w:r>
            <w:rPr>
              <w:bCs/>
            </w:rPr>
            <w:fldChar w:fldCharType="end"/>
          </w:r>
        </w:p>
        <w:p>
          <w:pPr>
            <w:pStyle w:val="5"/>
            <w:tabs>
              <w:tab w:val="right" w:leader="dot" w:pos="8306"/>
            </w:tabs>
          </w:pPr>
          <w:r>
            <w:rPr>
              <w:bCs/>
            </w:rPr>
            <w:fldChar w:fldCharType="begin"/>
          </w:r>
          <w:r>
            <w:rPr>
              <w:bCs/>
            </w:rPr>
            <w:instrText xml:space="preserve"> HYPERLINK \l _Toc23743 </w:instrText>
          </w:r>
          <w:r>
            <w:rPr>
              <w:bCs/>
            </w:rPr>
            <w:fldChar w:fldCharType="separate"/>
          </w:r>
          <w:r>
            <w:rPr>
              <w:rFonts w:hint="eastAsia" w:ascii="Times New Roman" w:hAnsi="Times New Roman" w:eastAsia="楷体"/>
              <w:szCs w:val="30"/>
            </w:rPr>
            <w:t>[化工]</w:t>
          </w:r>
          <w:r>
            <w:rPr>
              <w:bCs/>
            </w:rPr>
            <w:fldChar w:fldCharType="end"/>
          </w:r>
        </w:p>
        <w:p>
          <w:pPr>
            <w:pStyle w:val="6"/>
            <w:tabs>
              <w:tab w:val="right" w:leader="dot" w:pos="8306"/>
            </w:tabs>
          </w:pPr>
          <w:r>
            <w:rPr>
              <w:bCs/>
            </w:rPr>
            <w:fldChar w:fldCharType="begin"/>
          </w:r>
          <w:r>
            <w:rPr>
              <w:bCs/>
            </w:rPr>
            <w:instrText xml:space="preserve"> HYPERLINK \l _Toc4839 </w:instrText>
          </w:r>
          <w:r>
            <w:rPr>
              <w:bCs/>
            </w:rPr>
            <w:fldChar w:fldCharType="separate"/>
          </w:r>
          <w:r>
            <w:rPr>
              <w:rFonts w:hint="eastAsia" w:ascii="Times New Roman" w:hAnsi="Times New Roman" w:eastAsia="楷体"/>
              <w:szCs w:val="24"/>
            </w:rPr>
            <w:t>乙二醇：美国寒潮天气 天然气走强提振走势</w:t>
          </w:r>
          <w:r>
            <w:rPr>
              <w:bCs/>
            </w:rPr>
            <w:fldChar w:fldCharType="end"/>
          </w:r>
        </w:p>
        <w:p>
          <w:pPr>
            <w:pStyle w:val="6"/>
            <w:tabs>
              <w:tab w:val="right" w:leader="dot" w:pos="8306"/>
            </w:tabs>
          </w:pPr>
          <w:r>
            <w:rPr>
              <w:bCs/>
            </w:rPr>
            <w:fldChar w:fldCharType="begin"/>
          </w:r>
          <w:r>
            <w:rPr>
              <w:bCs/>
            </w:rPr>
            <w:instrText xml:space="preserve"> HYPERLINK \l _Toc22691 </w:instrText>
          </w:r>
          <w:r>
            <w:rPr>
              <w:bCs/>
            </w:rPr>
            <w:fldChar w:fldCharType="separate"/>
          </w:r>
          <w:r>
            <w:rPr>
              <w:rFonts w:ascii="楷体" w:hAnsi="楷体" w:eastAsia="楷体"/>
              <w:szCs w:val="24"/>
            </w:rPr>
            <w:t>PTA</w:t>
          </w:r>
          <w:r>
            <w:rPr>
              <w:rFonts w:hint="eastAsia" w:ascii="楷体" w:hAnsi="楷体" w:eastAsia="楷体"/>
              <w:szCs w:val="24"/>
            </w:rPr>
            <w:t>：下游即将迎来放假  供需双减建议观望</w:t>
          </w:r>
          <w:r>
            <w:rPr>
              <w:bCs/>
            </w:rPr>
            <w:fldChar w:fldCharType="end"/>
          </w:r>
        </w:p>
        <w:p>
          <w:pPr>
            <w:pStyle w:val="6"/>
            <w:tabs>
              <w:tab w:val="right" w:leader="dot" w:pos="8306"/>
            </w:tabs>
          </w:pPr>
          <w:r>
            <w:rPr>
              <w:bCs/>
            </w:rPr>
            <w:fldChar w:fldCharType="begin"/>
          </w:r>
          <w:r>
            <w:rPr>
              <w:bCs/>
            </w:rPr>
            <w:instrText xml:space="preserve"> HYPERLINK \l _Toc516 </w:instrText>
          </w:r>
          <w:r>
            <w:rPr>
              <w:bCs/>
            </w:rPr>
            <w:fldChar w:fldCharType="separate"/>
          </w:r>
          <w:r>
            <w:rPr>
              <w:rFonts w:hint="eastAsia" w:ascii="楷体" w:hAnsi="楷体" w:eastAsia="楷体"/>
              <w:szCs w:val="24"/>
            </w:rPr>
            <w:t>聚烯烃：供需弱平衡下，聚烯烃或窄幅整理</w:t>
          </w:r>
          <w:r>
            <w:rPr>
              <w:bCs/>
            </w:rPr>
            <w:fldChar w:fldCharType="end"/>
          </w:r>
        </w:p>
        <w:p>
          <w:pPr>
            <w:pStyle w:val="5"/>
            <w:tabs>
              <w:tab w:val="right" w:leader="dot" w:pos="8306"/>
            </w:tabs>
          </w:pPr>
          <w:r>
            <w:rPr>
              <w:bCs/>
            </w:rPr>
            <w:fldChar w:fldCharType="begin"/>
          </w:r>
          <w:r>
            <w:rPr>
              <w:bCs/>
            </w:rPr>
            <w:instrText xml:space="preserve"> HYPERLINK \l _Toc15501 </w:instrText>
          </w:r>
          <w:r>
            <w:rPr>
              <w:bCs/>
            </w:rPr>
            <w:fldChar w:fldCharType="separate"/>
          </w:r>
          <w:r>
            <w:rPr>
              <w:rFonts w:hint="eastAsia" w:ascii="Times New Roman" w:hAnsi="Times New Roman" w:eastAsia="楷体"/>
              <w:szCs w:val="30"/>
            </w:rPr>
            <w:t>[农产品]</w:t>
          </w:r>
          <w:r>
            <w:rPr>
              <w:bCs/>
            </w:rPr>
            <w:fldChar w:fldCharType="end"/>
          </w:r>
        </w:p>
        <w:p>
          <w:pPr>
            <w:pStyle w:val="6"/>
            <w:tabs>
              <w:tab w:val="right" w:leader="dot" w:pos="8306"/>
            </w:tabs>
          </w:pPr>
          <w:r>
            <w:rPr>
              <w:bCs/>
            </w:rPr>
            <w:fldChar w:fldCharType="begin"/>
          </w:r>
          <w:r>
            <w:rPr>
              <w:bCs/>
            </w:rPr>
            <w:instrText xml:space="preserve"> HYPERLINK \l _Toc13729 </w:instrText>
          </w:r>
          <w:r>
            <w:rPr>
              <w:bCs/>
            </w:rPr>
            <w:fldChar w:fldCharType="separate"/>
          </w:r>
          <w:r>
            <w:rPr>
              <w:rFonts w:hint="eastAsia" w:ascii="楷体" w:hAnsi="楷体" w:eastAsia="楷体"/>
              <w:szCs w:val="24"/>
            </w:rPr>
            <w:t>豆粕：短期维持高位震荡，短多操作</w:t>
          </w:r>
          <w:r>
            <w:rPr>
              <w:bCs/>
            </w:rPr>
            <w:fldChar w:fldCharType="end"/>
          </w:r>
        </w:p>
        <w:p>
          <w:pPr>
            <w:pStyle w:val="6"/>
            <w:tabs>
              <w:tab w:val="right" w:leader="dot" w:pos="8306"/>
            </w:tabs>
          </w:pPr>
          <w:r>
            <w:rPr>
              <w:bCs/>
            </w:rPr>
            <w:fldChar w:fldCharType="begin"/>
          </w:r>
          <w:r>
            <w:rPr>
              <w:bCs/>
            </w:rPr>
            <w:instrText xml:space="preserve"> HYPERLINK \l _Toc10827 </w:instrText>
          </w:r>
          <w:r>
            <w:rPr>
              <w:bCs/>
            </w:rPr>
            <w:fldChar w:fldCharType="separate"/>
          </w:r>
          <w:r>
            <w:rPr>
              <w:rFonts w:hint="eastAsia" w:ascii="楷体" w:hAnsi="楷体" w:eastAsia="楷体"/>
              <w:szCs w:val="24"/>
            </w:rPr>
            <w:t>油脂：触底反弹，持续性仍待观望</w:t>
          </w:r>
          <w:r>
            <w:rPr>
              <w:bCs/>
            </w:rPr>
            <w:fldChar w:fldCharType="end"/>
          </w:r>
        </w:p>
        <w:p>
          <w:pPr>
            <w:pStyle w:val="6"/>
            <w:tabs>
              <w:tab w:val="right" w:leader="dot" w:pos="8306"/>
            </w:tabs>
          </w:pPr>
          <w:r>
            <w:rPr>
              <w:bCs/>
            </w:rPr>
            <w:fldChar w:fldCharType="begin"/>
          </w:r>
          <w:r>
            <w:rPr>
              <w:bCs/>
            </w:rPr>
            <w:instrText xml:space="preserve"> HYPERLINK \l _Toc24265 </w:instrText>
          </w:r>
          <w:r>
            <w:rPr>
              <w:bCs/>
            </w:rPr>
            <w:fldChar w:fldCharType="separate"/>
          </w:r>
          <w:r>
            <w:rPr>
              <w:rFonts w:hint="eastAsia" w:ascii="楷体" w:hAnsi="楷体" w:eastAsia="楷体"/>
              <w:bCs/>
            </w:rPr>
            <w:t>玉米与淀粉：</w:t>
          </w:r>
          <w:r>
            <w:rPr>
              <w:rFonts w:hint="eastAsia" w:ascii="楷体" w:hAnsi="楷体" w:eastAsia="楷体"/>
            </w:rPr>
            <w:t>重点留意淀粉-玉米价差交易机会</w:t>
          </w:r>
          <w:r>
            <w:rPr>
              <w:bCs/>
            </w:rPr>
            <w:fldChar w:fldCharType="end"/>
          </w:r>
        </w:p>
        <w:p>
          <w:pPr>
            <w:pStyle w:val="6"/>
            <w:tabs>
              <w:tab w:val="right" w:leader="dot" w:pos="8306"/>
            </w:tabs>
          </w:pPr>
          <w:r>
            <w:rPr>
              <w:bCs/>
            </w:rPr>
            <w:fldChar w:fldCharType="begin"/>
          </w:r>
          <w:r>
            <w:rPr>
              <w:bCs/>
            </w:rPr>
            <w:instrText xml:space="preserve"> HYPERLINK \l _Toc13132 </w:instrText>
          </w:r>
          <w:r>
            <w:rPr>
              <w:bCs/>
            </w:rPr>
            <w:fldChar w:fldCharType="separate"/>
          </w:r>
          <w:r>
            <w:rPr>
              <w:rFonts w:hint="eastAsia" w:ascii="楷体" w:hAnsi="楷体" w:eastAsia="楷体"/>
              <w:bCs/>
            </w:rPr>
            <w:t>畜禽养殖：鸡蛋现货依然弱势</w:t>
          </w:r>
          <w:r>
            <w:rPr>
              <w:bCs/>
            </w:rPr>
            <w:fldChar w:fldCharType="end"/>
          </w:r>
        </w:p>
        <w:p>
          <w:pPr>
            <w:pStyle w:val="6"/>
            <w:tabs>
              <w:tab w:val="right" w:leader="dot" w:pos="8306"/>
            </w:tabs>
          </w:pPr>
          <w:r>
            <w:rPr>
              <w:bCs/>
            </w:rPr>
            <w:fldChar w:fldCharType="begin"/>
          </w:r>
          <w:r>
            <w:rPr>
              <w:bCs/>
            </w:rPr>
            <w:instrText xml:space="preserve"> HYPERLINK \l _Toc9084 </w:instrText>
          </w:r>
          <w:r>
            <w:rPr>
              <w:bCs/>
            </w:rPr>
            <w:fldChar w:fldCharType="separate"/>
          </w:r>
          <w:r>
            <w:rPr>
              <w:rFonts w:hint="eastAsia" w:ascii="楷体" w:hAnsi="楷体" w:eastAsia="楷体"/>
              <w:szCs w:val="24"/>
            </w:rPr>
            <w:t>郑棉：新冠肺炎改名，成为“乙类管制”，市场情绪再度亢奋。郑棉偏强震荡，看跌期权持有</w:t>
          </w:r>
          <w:r>
            <w:rPr>
              <w:bCs/>
            </w:rPr>
            <w:fldChar w:fldCharType="end"/>
          </w:r>
        </w:p>
        <w:p>
          <w:r>
            <w:rPr>
              <w:bCs/>
            </w:rPr>
            <w:fldChar w:fldCharType="end"/>
          </w:r>
        </w:p>
      </w:sdtContent>
    </w:sdt>
    <w:p>
      <w:pPr>
        <w:rPr>
          <w:rFonts w:ascii="Times New Roman" w:hAnsi="Times New Roman" w:eastAsia="楷体"/>
          <w:b/>
        </w:rPr>
      </w:pPr>
    </w:p>
    <w:p>
      <w:pPr>
        <w:rPr>
          <w:rFonts w:ascii="Times New Roman" w:hAnsi="Times New Roman" w:eastAsia="楷体"/>
          <w:b/>
        </w:rPr>
      </w:pPr>
    </w:p>
    <w:p>
      <w:pPr>
        <w:rPr>
          <w:rFonts w:hint="eastAsia" w:ascii="Times New Roman" w:hAnsi="Times New Roman" w:eastAsia="楷体" w:cs="Times New Roman"/>
          <w:b/>
          <w:color w:val="823C0B"/>
          <w:sz w:val="24"/>
          <w:lang w:val="en-US" w:eastAsia="zh-CN"/>
        </w:rPr>
      </w:pPr>
    </w:p>
    <w:p>
      <w:pPr>
        <w:rPr>
          <w:rFonts w:hint="eastAsia" w:ascii="Times New Roman" w:hAnsi="Times New Roman" w:eastAsia="楷体" w:cs="Times New Roman"/>
          <w:b/>
          <w:color w:val="823C0B"/>
          <w:sz w:val="24"/>
          <w:lang w:val="en-US" w:eastAsia="zh-CN"/>
        </w:rPr>
      </w:pPr>
    </w:p>
    <w:p>
      <w:pPr>
        <w:rPr>
          <w:rFonts w:hint="eastAsia" w:ascii="Times New Roman" w:hAnsi="Times New Roman" w:eastAsia="楷体" w:cs="Times New Roman"/>
          <w:b/>
          <w:color w:val="823C0B"/>
          <w:sz w:val="24"/>
        </w:rPr>
        <w:sectPr>
          <w:headerReference r:id="rId4" w:type="first"/>
          <w:headerReference r:id="rId3" w:type="default"/>
          <w:footerReference r:id="rId5" w:type="default"/>
          <w:pgSz w:w="11906" w:h="16838"/>
          <w:pgMar w:top="1440" w:right="1800" w:bottom="1440" w:left="1800" w:header="850" w:footer="1077" w:gutter="0"/>
          <w:cols w:space="425" w:num="1"/>
          <w:titlePg/>
          <w:docGrid w:type="lines" w:linePitch="312" w:charSpace="0"/>
        </w:sectPr>
      </w:pPr>
      <w:r>
        <w:rPr>
          <w:rFonts w:hint="eastAsia" w:ascii="Times New Roman" w:hAnsi="Times New Roman" w:eastAsia="楷体" w:cs="Times New Roman"/>
          <w:b/>
          <w:color w:val="823C0B"/>
          <w:sz w:val="24"/>
          <w:lang w:val="en-US" w:eastAsia="zh-CN"/>
        </w:rPr>
        <w:t>本文</w:t>
      </w:r>
      <w:r>
        <w:rPr>
          <w:rFonts w:hint="eastAsia" w:ascii="Times New Roman" w:hAnsi="Times New Roman" w:eastAsia="楷体" w:cs="Times New Roman"/>
          <w:b/>
          <w:color w:val="823C0B"/>
          <w:sz w:val="24"/>
        </w:rPr>
        <w:t>观点</w:t>
      </w:r>
      <w:r>
        <w:rPr>
          <w:rFonts w:hint="eastAsia" w:ascii="Times New Roman" w:hAnsi="Times New Roman" w:eastAsia="楷体" w:cs="Times New Roman"/>
          <w:b/>
          <w:color w:val="823C0B"/>
          <w:sz w:val="24"/>
          <w:lang w:eastAsia="zh-CN"/>
        </w:rPr>
        <w:t>、</w:t>
      </w:r>
      <w:r>
        <w:rPr>
          <w:rFonts w:hint="eastAsia" w:ascii="Times New Roman" w:hAnsi="Times New Roman" w:eastAsia="楷体" w:cs="Times New Roman"/>
          <w:b/>
          <w:color w:val="823C0B"/>
          <w:sz w:val="24"/>
          <w:lang w:val="en-US" w:eastAsia="zh-CN"/>
        </w:rPr>
        <w:t>结论和</w:t>
      </w:r>
      <w:r>
        <w:rPr>
          <w:rFonts w:hint="eastAsia" w:ascii="Times New Roman" w:hAnsi="Times New Roman" w:eastAsia="楷体" w:cs="Times New Roman"/>
          <w:b/>
          <w:color w:val="823C0B"/>
          <w:sz w:val="24"/>
        </w:rPr>
        <w:t>建议</w:t>
      </w:r>
      <w:r>
        <w:rPr>
          <w:rFonts w:hint="eastAsia" w:ascii="Times New Roman" w:hAnsi="Times New Roman" w:eastAsia="楷体" w:cs="Times New Roman"/>
          <w:b/>
          <w:color w:val="823C0B"/>
          <w:sz w:val="24"/>
          <w:lang w:val="en-US" w:eastAsia="zh-CN"/>
        </w:rPr>
        <w:t>等</w:t>
      </w:r>
      <w:r>
        <w:rPr>
          <w:rFonts w:hint="eastAsia" w:ascii="Times New Roman" w:hAnsi="Times New Roman" w:eastAsia="楷体" w:cs="Times New Roman"/>
          <w:b/>
          <w:color w:val="823C0B"/>
          <w:sz w:val="24"/>
        </w:rPr>
        <w:t>仅供参考，并不构成操作依据！请阅读文末免责声明。</w:t>
      </w:r>
    </w:p>
    <w:p>
      <w:pPr>
        <w:rPr>
          <w:rFonts w:hint="eastAsia" w:ascii="Times New Roman" w:hAnsi="Times New Roman" w:eastAsia="楷体" w:cs="Times New Roman"/>
          <w:b/>
          <w:color w:val="823C0B"/>
          <w:sz w:val="24"/>
        </w:rPr>
      </w:pPr>
    </w:p>
    <w:p>
      <w:pPr>
        <w:jc w:val="center"/>
        <w:rPr>
          <w:rFonts w:ascii="Times New Roman" w:hAnsi="Times New Roman" w:eastAsia="楷体"/>
          <w:b/>
          <w:color w:val="823C0B"/>
          <w:sz w:val="30"/>
          <w:szCs w:val="30"/>
        </w:rPr>
      </w:pPr>
      <w:r>
        <w:rPr>
          <w:rFonts w:hint="eastAsia" w:ascii="Times New Roman" w:hAnsi="Times New Roman" w:eastAsia="楷体"/>
          <w:b/>
          <w:color w:val="823C0B"/>
          <w:sz w:val="30"/>
          <w:szCs w:val="30"/>
        </w:rPr>
        <w:t>本日早评</w:t>
      </w:r>
    </w:p>
    <w:p>
      <w:pPr>
        <w:pBdr>
          <w:top w:val="single" w:color="auto" w:sz="4" w:space="0"/>
        </w:pBdr>
        <w:outlineLvl w:val="0"/>
        <w:rPr>
          <w:rFonts w:ascii="Times New Roman" w:hAnsi="Times New Roman" w:eastAsia="楷体"/>
          <w:b/>
          <w:color w:val="823C0B"/>
        </w:rPr>
      </w:pPr>
      <w:bookmarkStart w:id="0" w:name="_Toc19317"/>
      <w:bookmarkStart w:id="1" w:name="_Toc18033"/>
      <w:bookmarkStart w:id="2" w:name="_Toc19525"/>
      <w:bookmarkStart w:id="3" w:name="金融"/>
      <w:r>
        <w:rPr>
          <w:rFonts w:hint="eastAsia" w:ascii="Times New Roman" w:hAnsi="Times New Roman" w:eastAsia="楷体"/>
          <w:b/>
          <w:color w:val="823C0B"/>
          <w:sz w:val="30"/>
          <w:szCs w:val="30"/>
        </w:rPr>
        <w:t>[金融]</w:t>
      </w:r>
      <w:bookmarkEnd w:id="0"/>
      <w:bookmarkEnd w:id="1"/>
      <w:bookmarkEnd w:id="2"/>
    </w:p>
    <w:bookmarkEnd w:id="3"/>
    <w:p>
      <w:pPr>
        <w:ind w:left="420" w:leftChars="200"/>
        <w:outlineLvl w:val="1"/>
        <w:rPr>
          <w:rFonts w:ascii="Times New Roman" w:hAnsi="Times New Roman" w:eastAsia="楷体"/>
          <w:b/>
          <w:color w:val="000000" w:themeColor="text1"/>
          <w:sz w:val="24"/>
          <w:szCs w:val="24"/>
          <w14:textFill>
            <w14:solidFill>
              <w14:schemeClr w14:val="tx1"/>
            </w14:solidFill>
          </w14:textFill>
        </w:rPr>
      </w:pPr>
      <w:bookmarkStart w:id="4" w:name="_Toc16295"/>
      <w:bookmarkStart w:id="5" w:name="_Toc965"/>
      <w:bookmarkStart w:id="6" w:name="_Toc5651"/>
      <w:r>
        <w:rPr>
          <w:rFonts w:hint="eastAsia" w:ascii="Times New Roman" w:hAnsi="Times New Roman" w:eastAsia="楷体"/>
          <w:b/>
          <w:color w:val="000000" w:themeColor="text1"/>
          <w:sz w:val="24"/>
          <w:szCs w:val="24"/>
          <w14:textFill>
            <w14:solidFill>
              <w14:schemeClr w14:val="tx1"/>
            </w14:solidFill>
          </w14:textFill>
        </w:rPr>
        <w:t>股指：</w:t>
      </w:r>
      <w:bookmarkEnd w:id="4"/>
      <w:bookmarkEnd w:id="5"/>
      <w:r>
        <w:rPr>
          <w:rFonts w:hint="eastAsia" w:ascii="Times New Roman" w:hAnsi="Times New Roman" w:eastAsia="楷体"/>
          <w:b/>
          <w:color w:val="000000" w:themeColor="text1"/>
          <w:sz w:val="24"/>
          <w:szCs w:val="24"/>
          <w:highlight w:val="none"/>
          <w14:textFill>
            <w14:solidFill>
              <w14:schemeClr w14:val="tx1"/>
            </w14:solidFill>
          </w14:textFill>
        </w:rPr>
        <w:t>低多IC</w:t>
      </w:r>
      <w:bookmarkEnd w:id="6"/>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短线大盘有望企稳，进一步回落的空间有限，技术上有望挑战60日线附近压力；中期层面看，当局政策大方向积极，新的政策组合拳必定将不断加大力度且具有实质作用，后市关注疫情预期影响的减弱及政策端发力情况，当前仍以低位布局思路为主。</w:t>
      </w:r>
    </w:p>
    <w:p>
      <w:pPr>
        <w:pBdr>
          <w:top w:val="single" w:color="auto" w:sz="4" w:space="0"/>
        </w:pBdr>
        <w:outlineLvl w:val="0"/>
        <w:rPr>
          <w:rFonts w:ascii="Times New Roman" w:hAnsi="Times New Roman" w:eastAsia="楷体"/>
          <w:b/>
          <w:color w:val="823C0B"/>
        </w:rPr>
      </w:pPr>
      <w:bookmarkStart w:id="7" w:name="_Toc12933"/>
      <w:r>
        <w:rPr>
          <w:rFonts w:hint="eastAsia" w:ascii="Times New Roman" w:hAnsi="Times New Roman" w:eastAsia="楷体"/>
          <w:b/>
          <w:color w:val="823C0B"/>
          <w:sz w:val="30"/>
          <w:szCs w:val="30"/>
        </w:rPr>
        <w:t>[</w:t>
      </w:r>
      <w:r>
        <w:rPr>
          <w:rFonts w:hint="eastAsia" w:ascii="Times New Roman" w:hAnsi="Times New Roman" w:eastAsia="楷体"/>
          <w:b/>
          <w:color w:val="823C0B"/>
          <w:sz w:val="30"/>
          <w:szCs w:val="30"/>
          <w:lang w:val="en-US" w:eastAsia="zh-CN"/>
        </w:rPr>
        <w:t>贵</w:t>
      </w:r>
      <w:r>
        <w:rPr>
          <w:rFonts w:hint="eastAsia" w:ascii="Times New Roman" w:hAnsi="Times New Roman" w:eastAsia="楷体"/>
          <w:b/>
          <w:color w:val="823C0B"/>
          <w:sz w:val="30"/>
          <w:szCs w:val="30"/>
        </w:rPr>
        <w:t>金</w:t>
      </w:r>
      <w:r>
        <w:rPr>
          <w:rFonts w:hint="eastAsia" w:ascii="Times New Roman" w:hAnsi="Times New Roman" w:eastAsia="楷体"/>
          <w:b/>
          <w:color w:val="823C0B"/>
          <w:sz w:val="30"/>
          <w:szCs w:val="30"/>
          <w:lang w:val="en-US" w:eastAsia="zh-CN"/>
        </w:rPr>
        <w:t>属</w:t>
      </w:r>
      <w:r>
        <w:rPr>
          <w:rFonts w:hint="eastAsia" w:ascii="Times New Roman" w:hAnsi="Times New Roman" w:eastAsia="楷体"/>
          <w:b/>
          <w:color w:val="823C0B"/>
          <w:sz w:val="30"/>
          <w:szCs w:val="30"/>
        </w:rPr>
        <w:t>]</w:t>
      </w:r>
      <w:bookmarkEnd w:id="7"/>
    </w:p>
    <w:p>
      <w:pPr>
        <w:ind w:left="420" w:leftChars="200"/>
        <w:outlineLvl w:val="1"/>
        <w:rPr>
          <w:rFonts w:ascii="Times New Roman" w:hAnsi="Times New Roman" w:eastAsia="楷体"/>
          <w:b/>
          <w:color w:val="000000" w:themeColor="text1"/>
          <w:sz w:val="24"/>
          <w:szCs w:val="24"/>
          <w14:textFill>
            <w14:solidFill>
              <w14:schemeClr w14:val="tx1"/>
            </w14:solidFill>
          </w14:textFill>
        </w:rPr>
      </w:pPr>
      <w:bookmarkStart w:id="8" w:name="_Toc16458"/>
      <w:r>
        <w:rPr>
          <w:rFonts w:hint="eastAsia" w:ascii="Times New Roman" w:hAnsi="Times New Roman" w:eastAsia="楷体"/>
          <w:b/>
          <w:color w:val="000000" w:themeColor="text1"/>
          <w:sz w:val="24"/>
          <w:szCs w:val="24"/>
          <w14:textFill>
            <w14:solidFill>
              <w14:schemeClr w14:val="tx1"/>
            </w14:solidFill>
          </w14:textFill>
        </w:rPr>
        <w:t>贵金属：</w:t>
      </w:r>
      <w:r>
        <w:rPr>
          <w:rFonts w:hint="eastAsia" w:ascii="Times New Roman" w:hAnsi="Times New Roman" w:eastAsia="楷体"/>
          <w:b/>
          <w:color w:val="000000" w:themeColor="text1"/>
          <w:sz w:val="24"/>
          <w:szCs w:val="24"/>
          <w:highlight w:val="none"/>
          <w14:textFill>
            <w14:solidFill>
              <w14:schemeClr w14:val="tx1"/>
            </w14:solidFill>
          </w14:textFill>
        </w:rPr>
        <w:t>假日期间外盘休市，沪金或窄幅震荡</w:t>
      </w:r>
      <w:bookmarkEnd w:id="8"/>
    </w:p>
    <w:p>
      <w:pPr>
        <w:ind w:left="630" w:leftChars="300"/>
        <w:rPr>
          <w:rFonts w:ascii="Times New Roman" w:hAnsi="Times New Roman" w:eastAsia="楷体"/>
          <w:sz w:val="24"/>
          <w:szCs w:val="24"/>
        </w:rPr>
      </w:pPr>
      <w:r>
        <w:rPr>
          <w:rFonts w:hint="eastAsia" w:ascii="Times New Roman" w:hAnsi="Times New Roman" w:eastAsia="楷体"/>
          <w:color w:val="000000" w:themeColor="text1"/>
          <w:sz w:val="24"/>
          <w:szCs w:val="24"/>
          <w14:textFill>
            <w14:solidFill>
              <w14:schemeClr w14:val="tx1"/>
            </w14:solidFill>
          </w14:textFill>
        </w:rPr>
        <w:t>今日外盘因圣诞假期休市，内盘贵金属交投或偏寡淡。上周日本央行放宽YCC区间传递超预期鹰派信号，海外市场避险情绪升温，贵金属价格偏强运行。截至12月23日晚间COMEX黄金期货主力周内上涨0.32%，报1806.0美元/盎司；COMEX白银期货主力周涨2.54%，报23.92美元/盎司。沪金主力12月24日收盘报407.54元/克，周涨1.29%；沪银主力报5318元/千克，周涨1.43%。后续海外市场或将围绕衰退预期进行交易，甚至或提前对2024年可能的降息进行定价。欧美货币政策边际转向节奏差对欧元形成支撑，美元指数走弱、海外经济衰退危机隐现的背景下相对看好贵金属中长期表现，建议沪金、沪银逢低轻仓做多。</w:t>
      </w:r>
    </w:p>
    <w:p>
      <w:pPr>
        <w:ind w:left="630" w:leftChars="300"/>
        <w:rPr>
          <w:rFonts w:hint="eastAsia"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sz w:val="30"/>
          <w:szCs w:val="30"/>
        </w:rPr>
      </w:pPr>
      <w:bookmarkStart w:id="9" w:name="金属"/>
      <w:bookmarkStart w:id="10" w:name="_Toc20891"/>
      <w:bookmarkStart w:id="11" w:name="_Toc3096"/>
      <w:bookmarkStart w:id="12" w:name="_Toc15261"/>
      <w:bookmarkStart w:id="13" w:name="农产品"/>
      <w:r>
        <w:rPr>
          <w:rFonts w:hint="eastAsia" w:ascii="Times New Roman" w:hAnsi="Times New Roman" w:eastAsia="楷体"/>
          <w:b/>
          <w:color w:val="823C0B"/>
          <w:sz w:val="30"/>
          <w:szCs w:val="30"/>
        </w:rPr>
        <w:t>[金属]</w:t>
      </w:r>
      <w:bookmarkEnd w:id="9"/>
      <w:bookmarkEnd w:id="10"/>
      <w:bookmarkEnd w:id="11"/>
      <w:bookmarkEnd w:id="12"/>
    </w:p>
    <w:p>
      <w:pPr>
        <w:ind w:left="420" w:leftChars="200"/>
        <w:outlineLvl w:val="1"/>
        <w:rPr>
          <w:rFonts w:ascii="楷体" w:hAnsi="楷体" w:eastAsia="楷体"/>
          <w:b/>
          <w:color w:val="000000" w:themeColor="text1"/>
          <w:sz w:val="24"/>
          <w:szCs w:val="24"/>
          <w14:textFill>
            <w14:solidFill>
              <w14:schemeClr w14:val="tx1"/>
            </w14:solidFill>
          </w14:textFill>
        </w:rPr>
      </w:pPr>
      <w:bookmarkStart w:id="14" w:name="_Toc27831"/>
      <w:bookmarkStart w:id="15" w:name="_Toc5371"/>
      <w:bookmarkStart w:id="16" w:name="_Toc12788"/>
      <w:r>
        <w:rPr>
          <w:rFonts w:hint="eastAsia" w:ascii="楷体" w:hAnsi="楷体" w:eastAsia="楷体"/>
          <w:b/>
          <w:color w:val="000000" w:themeColor="text1"/>
          <w:sz w:val="24"/>
          <w:szCs w:val="24"/>
          <w14:textFill>
            <w14:solidFill>
              <w14:schemeClr w14:val="tx1"/>
            </w14:solidFill>
          </w14:textFill>
        </w:rPr>
        <w:t>螺纹钢：</w:t>
      </w:r>
      <w:bookmarkEnd w:id="14"/>
      <w:bookmarkEnd w:id="15"/>
      <w:r>
        <w:rPr>
          <w:rFonts w:hint="eastAsia" w:ascii="楷体" w:hAnsi="楷体" w:eastAsia="楷体"/>
          <w:b/>
          <w:color w:val="000000" w:themeColor="text1"/>
          <w:sz w:val="24"/>
          <w:szCs w:val="24"/>
          <w:highlight w:val="none"/>
          <w14:textFill>
            <w14:solidFill>
              <w14:schemeClr w14:val="tx1"/>
            </w14:solidFill>
          </w14:textFill>
        </w:rPr>
        <w:t>利好消息刺激，关注上方压力区间</w:t>
      </w:r>
      <w:bookmarkEnd w:id="16"/>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短期一二线消费半径开始修复，新冠疫情改名刺激情绪，市场偏强运行。市场进入季节性累库阶段，贸易商冬储意愿较弱，冬储大部分由钢厂完成，大跌大涨或需现货端完成库存转移，预计盘面或继续宽幅震荡整理，日内波动或放大。但上方电炉钢成本的压力会比较明显，关注上方压力区间（4050,4100），下方（3850,3900）的支撑区间。</w:t>
      </w:r>
    </w:p>
    <w:p>
      <w:pPr>
        <w:rPr>
          <w:rFonts w:ascii="楷体" w:hAnsi="楷体" w:eastAsia="楷体"/>
          <w:bCs/>
          <w:sz w:val="24"/>
          <w:szCs w:val="24"/>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17" w:name="_Toc4790"/>
      <w:bookmarkStart w:id="18" w:name="_Toc11356"/>
      <w:bookmarkStart w:id="19" w:name="_Toc21357"/>
      <w:r>
        <w:rPr>
          <w:rFonts w:hint="eastAsia" w:ascii="楷体" w:hAnsi="楷体" w:eastAsia="楷体"/>
          <w:b/>
          <w:color w:val="000000" w:themeColor="text1"/>
          <w:sz w:val="24"/>
          <w:szCs w:val="24"/>
          <w14:textFill>
            <w14:solidFill>
              <w14:schemeClr w14:val="tx1"/>
            </w14:solidFill>
          </w14:textFill>
        </w:rPr>
        <w:t>焦炭：</w:t>
      </w:r>
      <w:bookmarkEnd w:id="17"/>
      <w:bookmarkEnd w:id="18"/>
      <w:r>
        <w:rPr>
          <w:rFonts w:hint="eastAsia" w:ascii="楷体" w:hAnsi="楷体" w:eastAsia="楷体"/>
          <w:b/>
          <w:color w:val="000000" w:themeColor="text1"/>
          <w:sz w:val="24"/>
          <w:szCs w:val="24"/>
          <w14:textFill>
            <w14:solidFill>
              <w14:schemeClr w14:val="tx1"/>
            </w14:solidFill>
          </w14:textFill>
        </w:rPr>
        <w:t>横盘震荡，随成材波动，注意上方压力区间</w:t>
      </w:r>
      <w:bookmarkEnd w:id="19"/>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目前现货驱动转弱后偏稳运行，成本端焦煤供应受疫情扰动下偏紧，成本端支撑偏强，预计现货在春节前偏稳运行，盘面贴水幅度较大，焦炭价格预计在（2630,2780）区间震荡。等待市场主线更加清晰。</w:t>
      </w:r>
    </w:p>
    <w:p>
      <w:pPr>
        <w:ind w:left="210" w:leftChars="100"/>
        <w:rPr>
          <w:rFonts w:ascii="楷体" w:hAnsi="楷体" w:eastAsia="楷体"/>
          <w:bCs/>
          <w:sz w:val="24"/>
          <w:szCs w:val="24"/>
        </w:rPr>
      </w:pPr>
    </w:p>
    <w:p>
      <w:pPr>
        <w:ind w:left="420" w:leftChars="200"/>
        <w:outlineLvl w:val="1"/>
        <w:rPr>
          <w:rFonts w:hint="eastAsia" w:ascii="楷体" w:hAnsi="楷体" w:eastAsia="楷体"/>
          <w:b/>
          <w:sz w:val="24"/>
          <w:szCs w:val="24"/>
        </w:rPr>
      </w:pPr>
      <w:bookmarkStart w:id="20" w:name="_Toc26934"/>
      <w:r>
        <w:rPr>
          <w:rFonts w:hint="eastAsia" w:ascii="楷体" w:hAnsi="楷体" w:eastAsia="楷体"/>
          <w:b/>
          <w:color w:val="000000" w:themeColor="text1"/>
          <w:sz w:val="24"/>
          <w:szCs w:val="24"/>
          <w14:textFill>
            <w14:solidFill>
              <w14:schemeClr w14:val="tx1"/>
            </w14:solidFill>
          </w14:textFill>
        </w:rPr>
        <w:t>焦煤：</w:t>
      </w:r>
      <w:r>
        <w:rPr>
          <w:rFonts w:hint="eastAsia" w:ascii="楷体" w:hAnsi="楷体" w:eastAsia="楷体"/>
          <w:b/>
          <w:sz w:val="24"/>
          <w:szCs w:val="24"/>
        </w:rPr>
        <w:t>横盘震荡，随成材波动，关注上方压力压力区间    </w:t>
      </w:r>
      <w:bookmarkEnd w:id="20"/>
    </w:p>
    <w:p>
      <w:pPr>
        <w:ind w:left="630" w:leftChars="300"/>
        <w:rPr>
          <w:rFonts w:ascii="楷体" w:hAnsi="楷体" w:eastAsia="楷体"/>
          <w:bCs/>
          <w:sz w:val="24"/>
          <w:szCs w:val="24"/>
        </w:rPr>
      </w:pPr>
      <w:r>
        <w:rPr>
          <w:rFonts w:hint="eastAsia" w:ascii="楷体" w:hAnsi="楷体" w:eastAsia="楷体"/>
          <w:sz w:val="24"/>
          <w:szCs w:val="24"/>
        </w:rPr>
        <w:t>前期调整相对充分，短期随成材波动。供应端对现货驱动转弱，中澳双方并未超预期内容出现，前期澳煤放开的担忧对估值的压制转弱，预计短期焦煤05合约在（1830,1930）区间支撑震荡。</w:t>
      </w:r>
    </w:p>
    <w:p>
      <w:pPr>
        <w:ind w:firstLine="480" w:firstLineChars="200"/>
        <w:rPr>
          <w:rFonts w:ascii="楷体" w:hAnsi="楷体" w:eastAsia="楷体"/>
          <w:sz w:val="24"/>
          <w:szCs w:val="24"/>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1" w:name="_Toc25617"/>
      <w:bookmarkStart w:id="22" w:name="_Toc9719"/>
      <w:bookmarkStart w:id="23" w:name="_Toc25132"/>
      <w:r>
        <w:rPr>
          <w:rFonts w:hint="eastAsia" w:ascii="楷体" w:hAnsi="楷体" w:eastAsia="楷体"/>
          <w:b/>
          <w:color w:val="000000" w:themeColor="text1"/>
          <w:sz w:val="24"/>
          <w:szCs w:val="24"/>
          <w14:textFill>
            <w14:solidFill>
              <w14:schemeClr w14:val="tx1"/>
            </w14:solidFill>
          </w14:textFill>
        </w:rPr>
        <w:t>铜：</w:t>
      </w:r>
      <w:bookmarkEnd w:id="21"/>
      <w:bookmarkEnd w:id="22"/>
      <w:r>
        <w:rPr>
          <w:rFonts w:hint="eastAsia" w:ascii="楷体" w:hAnsi="楷体" w:eastAsia="楷体"/>
          <w:b/>
          <w:color w:val="000000" w:themeColor="text1"/>
          <w:sz w:val="24"/>
          <w:szCs w:val="24"/>
          <w14:textFill>
            <w14:solidFill>
              <w14:schemeClr w14:val="tx1"/>
            </w14:solidFill>
          </w14:textFill>
        </w:rPr>
        <w:t>短期驱动有限，价格维持震荡</w:t>
      </w:r>
      <w:bookmarkEnd w:id="23"/>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(1)库存：12月26日，SHFE仓单库存25349吨，减833吨。LME因圣诞休市。</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(2)精废价差：12月26日，Mysteel精废价差2049，收窄42。目前价差在合理价差1363之上。</w:t>
      </w:r>
    </w:p>
    <w:p>
      <w:pPr>
        <w:ind w:left="630" w:leftChars="300"/>
        <w:rPr>
          <w:rFonts w:hint="eastAsia" w:ascii="楷体" w:hAnsi="楷体" w:eastAsia="楷体"/>
          <w:color w:val="000000" w:themeColor="text1"/>
          <w:sz w:val="24"/>
          <w:szCs w:val="24"/>
          <w14:textFill>
            <w14:solidFill>
              <w14:schemeClr w14:val="tx1"/>
            </w14:solidFill>
          </w14:textFill>
        </w:rPr>
      </w:pP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综述：当前国内疫情阶段性反弹，且进入消费淡季，市场需求维持弱势，同时，国内的产量和进口都难以在短期内出现大幅回升，明显的累库时间或将推迟至明年。国内库存再度去化，现货偏紧对价格仍然形成支撑。短期铜价仍将维持区间震荡运行。参考64000-66500。</w:t>
      </w:r>
    </w:p>
    <w:p>
      <w:pPr>
        <w:ind w:firstLine="480" w:firstLineChars="200"/>
        <w:rPr>
          <w:rFonts w:ascii="楷体" w:hAnsi="楷体" w:eastAsia="楷体"/>
          <w:bCs/>
          <w:sz w:val="24"/>
          <w:szCs w:val="24"/>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4" w:name="_Toc8897"/>
      <w:bookmarkStart w:id="25" w:name="_Toc6247"/>
      <w:bookmarkStart w:id="26" w:name="_Toc3466"/>
      <w:r>
        <w:rPr>
          <w:rFonts w:hint="eastAsia" w:ascii="楷体" w:hAnsi="楷体" w:eastAsia="楷体"/>
          <w:b/>
          <w:color w:val="000000" w:themeColor="text1"/>
          <w:sz w:val="24"/>
          <w:szCs w:val="24"/>
          <w14:textFill>
            <w14:solidFill>
              <w14:schemeClr w14:val="tx1"/>
            </w14:solidFill>
          </w14:textFill>
        </w:rPr>
        <w:t>铝：</w:t>
      </w:r>
      <w:bookmarkEnd w:id="24"/>
      <w:bookmarkEnd w:id="25"/>
      <w:r>
        <w:rPr>
          <w:rFonts w:hint="eastAsia" w:ascii="楷体" w:hAnsi="楷体" w:eastAsia="楷体"/>
          <w:b/>
          <w:color w:val="000000" w:themeColor="text1"/>
          <w:sz w:val="24"/>
          <w:szCs w:val="24"/>
          <w14:textFill>
            <w14:solidFill>
              <w14:schemeClr w14:val="tx1"/>
            </w14:solidFill>
          </w14:textFill>
        </w:rPr>
        <w:t>价格核心支撑未变，铝价短期震荡为主</w:t>
      </w:r>
      <w:bookmarkEnd w:id="26"/>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全球流动性持续收窄，海外经济衰退风险加剧，市场对联储加息仍存担忧预期，日本央行加入加息队伍，美元指数低位扰动。印尼表示从23年中旬开始禁止铝土矿出口，铝价获得供应缺口预期支撑。国内宏观延续内需向好，实际政策投放效果仍待市场检验，多地疫情蔓延对经济消费有消极影响，叠加进入淡季，下游加工情绪偏弱，但现货成交较好，反映市场低价刚需补库，低库存现状短期难以改变，价格仍有较强支撑，短期以震荡为主。</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7" w:name="_Toc14621"/>
      <w:r>
        <w:rPr>
          <w:rFonts w:hint="eastAsia" w:ascii="楷体" w:hAnsi="楷体" w:eastAsia="楷体"/>
          <w:b/>
          <w:color w:val="000000" w:themeColor="text1"/>
          <w:sz w:val="24"/>
          <w:szCs w:val="24"/>
          <w14:textFill>
            <w14:solidFill>
              <w14:schemeClr w14:val="tx1"/>
            </w14:solidFill>
          </w14:textFill>
        </w:rPr>
        <w:t>锌：锌产供给预期增加，低库存为价格支撑核心</w:t>
      </w:r>
      <w:bookmarkEnd w:id="27"/>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 26日沪锌隔夜收盘价格23545元/吨，涨幅0.64%，上海有色网0#锌锭（Zn99.995）现货报价23850元/吨，较上一统计日报价下降240元/吨。</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海外经济衰退风险加剧，市场对联储加息仍存担忧预期，美元指数低位运行。国内疫情防控走向开放，疫情多点蔓延迅速，实体经济表现再度走弱，中央经济工作会议表示要确保地产市场平稳发展，推动国内经济运行良好运转，以扩大国内需求为重任，未来国内仍有内需向好预期。冶炼端仍有较高利润刺激冶炼厂追产，但受疫情开放影响整体开工率在走弱，需求进入消费淡季，部分企业停产检修或提前放假，现货市场供应偏紧，贸易商惜售，库存仍维持低位，上中游宽松加产，下游消费疲弱，后续或有锌产累库动作，但短期大幅累库可能性较小，锌价重心下移，短期价格维持震荡。</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8" w:name="_Toc7185"/>
      <w:r>
        <w:rPr>
          <w:rFonts w:hint="eastAsia" w:ascii="楷体" w:hAnsi="楷体" w:eastAsia="楷体"/>
          <w:b/>
          <w:color w:val="000000" w:themeColor="text1"/>
          <w:sz w:val="24"/>
          <w:szCs w:val="24"/>
          <w14:textFill>
            <w14:solidFill>
              <w14:schemeClr w14:val="tx1"/>
            </w14:solidFill>
          </w14:textFill>
        </w:rPr>
        <w:t>镍：维持高位运行，观望为主</w:t>
      </w:r>
      <w:bookmarkEnd w:id="28"/>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俄罗斯诺镍考虑2023年减产10%，提振短期市场情绪。国内精炼镍库存持续走低，现货紧缺，升水高企，支撑镍价。LME镍库存缓慢回升，现货大幅贴水，反应海外需求疲弱。预计镍价仍将维持高位运行，继续上行驱动有限。当前镍估值偏高，交易上不建议追多，观望为主。</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9" w:name="_Toc13855"/>
      <w:r>
        <w:rPr>
          <w:rFonts w:hint="eastAsia" w:ascii="楷体" w:hAnsi="楷体" w:eastAsia="楷体"/>
          <w:b/>
          <w:color w:val="000000" w:themeColor="text1"/>
          <w:sz w:val="24"/>
          <w:szCs w:val="24"/>
          <w14:textFill>
            <w14:solidFill>
              <w14:schemeClr w14:val="tx1"/>
            </w14:solidFill>
          </w14:textFill>
        </w:rPr>
        <w:t>不锈钢：短期下方空间有限，暂时观望</w:t>
      </w:r>
      <w:bookmarkEnd w:id="29"/>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据SMM调研，近期疫情对市场各环节的影响仍存，市场的成交颓势不改，现货价格在明显走弱后趋于持稳。上周不锈钢社会库存再次大幅累积，叠加宏观乐观情绪褪去，预计不锈钢价维持弱势运行，当前成本支撑依旧坚挺，SS下方空间亦不大，建议暂时观望。</w:t>
      </w:r>
    </w:p>
    <w:p>
      <w:pPr>
        <w:rPr>
          <w:rFonts w:ascii="楷体" w:hAnsi="楷体" w:eastAsia="楷体"/>
          <w:bCs/>
          <w:sz w:val="24"/>
          <w:szCs w:val="24"/>
        </w:rPr>
      </w:pPr>
    </w:p>
    <w:p>
      <w:pPr>
        <w:ind w:left="420" w:leftChars="200"/>
        <w:outlineLvl w:val="1"/>
        <w:rPr>
          <w:rFonts w:hint="eastAsia" w:ascii="楷体" w:hAnsi="楷体" w:eastAsia="楷体"/>
          <w:b/>
          <w:sz w:val="24"/>
          <w:szCs w:val="24"/>
        </w:rPr>
      </w:pPr>
      <w:bookmarkStart w:id="30" w:name="_Toc866"/>
      <w:r>
        <w:rPr>
          <w:rFonts w:hint="eastAsia" w:ascii="楷体" w:hAnsi="楷体" w:eastAsia="楷体"/>
          <w:b/>
          <w:color w:val="000000" w:themeColor="text1"/>
          <w:sz w:val="24"/>
          <w:szCs w:val="24"/>
          <w14:textFill>
            <w14:solidFill>
              <w14:schemeClr w14:val="tx1"/>
            </w14:solidFill>
          </w14:textFill>
        </w:rPr>
        <w:t>工业硅：</w:t>
      </w:r>
      <w:r>
        <w:rPr>
          <w:rFonts w:hint="eastAsia" w:ascii="楷体" w:hAnsi="楷体" w:eastAsia="楷体"/>
          <w:b/>
          <w:sz w:val="24"/>
          <w:szCs w:val="24"/>
        </w:rPr>
        <w:t>下游采购意愿较低，短期需求较难改善</w:t>
      </w:r>
      <w:bookmarkEnd w:id="30"/>
    </w:p>
    <w:p>
      <w:pPr>
        <w:ind w:left="630" w:leftChars="300"/>
        <w:rPr>
          <w:rFonts w:ascii="楷体" w:hAnsi="楷体" w:eastAsia="楷体"/>
          <w:sz w:val="24"/>
          <w:szCs w:val="24"/>
        </w:rPr>
      </w:pPr>
      <w:r>
        <w:rPr>
          <w:rFonts w:hint="eastAsia" w:ascii="楷体" w:hAnsi="楷体" w:eastAsia="楷体"/>
          <w:sz w:val="24"/>
          <w:szCs w:val="24"/>
        </w:rPr>
        <w:t>在国家疫情防控政策全面放开后，新疆生产企业逐步开始复产，但当前国内感染人数飙升，一定程度上导致物流节奏减慢，下游采购意愿仍旧较低，短期市场或维持弱势运行，但当前硅价已接近成本线，对硅价仍有一定支撑。</w:t>
      </w:r>
    </w:p>
    <w:p>
      <w:pPr>
        <w:ind w:firstLine="420" w:firstLineChars="200"/>
        <w:rPr>
          <w:rFonts w:ascii="Times New Roman" w:hAnsi="Times New Roman" w:eastAsia="楷体"/>
          <w:bCs/>
        </w:rPr>
      </w:pPr>
    </w:p>
    <w:p>
      <w:pPr>
        <w:ind w:firstLine="420" w:firstLineChars="200"/>
        <w:rPr>
          <w:rFonts w:ascii="Times New Roman" w:hAnsi="Times New Roman" w:eastAsia="楷体"/>
          <w:bCs/>
        </w:rPr>
      </w:pPr>
    </w:p>
    <w:p>
      <w:pPr>
        <w:pBdr>
          <w:top w:val="single" w:color="auto" w:sz="4" w:space="0"/>
        </w:pBdr>
        <w:outlineLvl w:val="0"/>
        <w:rPr>
          <w:rFonts w:ascii="Times New Roman" w:hAnsi="Times New Roman" w:eastAsia="楷体"/>
          <w:b/>
          <w:color w:val="823C0B"/>
          <w:sz w:val="30"/>
          <w:szCs w:val="30"/>
        </w:rPr>
      </w:pPr>
      <w:bookmarkStart w:id="31" w:name="化工"/>
      <w:r>
        <w:rPr>
          <w:rFonts w:hint="eastAsia" w:ascii="Times New Roman" w:hAnsi="Times New Roman" w:eastAsia="楷体"/>
          <w:b/>
          <w:color w:val="823C0B"/>
          <w:sz w:val="30"/>
          <w:szCs w:val="30"/>
        </w:rPr>
        <w:t xml:space="preserve"> </w:t>
      </w:r>
      <w:bookmarkStart w:id="32" w:name="_Toc23743"/>
      <w:r>
        <w:rPr>
          <w:rFonts w:hint="eastAsia" w:ascii="Times New Roman" w:hAnsi="Times New Roman" w:eastAsia="楷体"/>
          <w:b/>
          <w:color w:val="823C0B"/>
          <w:sz w:val="30"/>
          <w:szCs w:val="30"/>
        </w:rPr>
        <w:t>[化工]</w:t>
      </w:r>
      <w:bookmarkEnd w:id="31"/>
      <w:bookmarkEnd w:id="32"/>
    </w:p>
    <w:p>
      <w:pPr>
        <w:ind w:firstLine="482" w:firstLineChars="200"/>
        <w:outlineLvl w:val="1"/>
        <w:rPr>
          <w:rFonts w:hint="eastAsia" w:ascii="Times New Roman" w:hAnsi="Times New Roman" w:eastAsia="楷体"/>
          <w:b/>
          <w:sz w:val="24"/>
          <w:szCs w:val="24"/>
        </w:rPr>
      </w:pPr>
      <w:bookmarkStart w:id="33" w:name="_Toc4839"/>
      <w:r>
        <w:rPr>
          <w:rFonts w:hint="eastAsia" w:ascii="Times New Roman" w:hAnsi="Times New Roman" w:eastAsia="楷体"/>
          <w:b/>
          <w:color w:val="000000" w:themeColor="text1"/>
          <w:sz w:val="24"/>
          <w:szCs w:val="24"/>
          <w14:textFill>
            <w14:solidFill>
              <w14:schemeClr w14:val="tx1"/>
            </w14:solidFill>
          </w14:textFill>
        </w:rPr>
        <w:t>乙二醇：</w:t>
      </w:r>
      <w:r>
        <w:rPr>
          <w:rFonts w:hint="eastAsia" w:ascii="Times New Roman" w:hAnsi="Times New Roman" w:eastAsia="楷体"/>
          <w:b/>
          <w:sz w:val="24"/>
          <w:szCs w:val="24"/>
        </w:rPr>
        <w:t>美国寒潮天气 天然气走强提振走势</w:t>
      </w:r>
      <w:bookmarkEnd w:id="33"/>
    </w:p>
    <w:p>
      <w:pPr>
        <w:ind w:left="630" w:leftChars="300"/>
        <w:rPr>
          <w:rFonts w:ascii="楷体" w:hAnsi="楷体" w:eastAsia="楷体"/>
          <w:sz w:val="24"/>
          <w:szCs w:val="24"/>
        </w:rPr>
      </w:pPr>
      <w:r>
        <w:rPr>
          <w:rFonts w:hint="eastAsia" w:ascii="楷体" w:hAnsi="楷体" w:eastAsia="楷体"/>
          <w:sz w:val="24"/>
          <w:szCs w:val="24"/>
        </w:rPr>
        <w:t>供需情况，12.19华东主港地区MEG港口库存约98万吨附近，环比上期增加1.9万吨。12月19日至12月25日，主港计划到货总数为11万吨，环比减少2.7万吨。开工情况，截至12月22日，中国大陆地区乙二醇整体开工负荷在59.14%（+3.14%），其中煤制乙二醇开工负荷在41.63%（+3.07%），乙二醇负荷大幅提升。新装置方面，海南一套80万吨/年的MEG新装置计划于本月底前后投产。从聚酯需求端来看，截至12.22，初步核算国内大陆地区聚酯负荷在66.8%（-2.7%）。终端加弹、织造、印染多环节因工人阳率提升而大幅降低负荷，截至12.23，江浙加弹开工率51%（-6%）、江浙织机开工率38%（-20%）、浙江印染开工率41%（-29%）。综合来看，国内经历疫情放开后的大爆发，宏观情绪有所降温。随着MEG新装置逐步投产，供应环节仍在逐步增量中。月底终端放假潮来临，乙二醇供需矛盾依旧严峻，将再度承压下行。仅供参考。</w:t>
      </w:r>
    </w:p>
    <w:p>
      <w:pPr>
        <w:ind w:firstLine="480" w:firstLineChars="200"/>
        <w:rPr>
          <w:rFonts w:ascii="楷体" w:hAnsi="楷体" w:eastAsia="楷体"/>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34" w:name="_Toc22691"/>
      <w:r>
        <w:rPr>
          <w:rFonts w:ascii="楷体" w:hAnsi="楷体" w:eastAsia="楷体"/>
          <w:b/>
          <w:color w:val="000000" w:themeColor="text1"/>
          <w:sz w:val="24"/>
          <w:szCs w:val="24"/>
          <w14:textFill>
            <w14:solidFill>
              <w14:schemeClr w14:val="tx1"/>
            </w14:solidFill>
          </w14:textFill>
        </w:rPr>
        <w:t>PTA</w:t>
      </w:r>
      <w:r>
        <w:rPr>
          <w:rFonts w:hint="eastAsia" w:ascii="楷体" w:hAnsi="楷体" w:eastAsia="楷体"/>
          <w:b/>
          <w:color w:val="000000" w:themeColor="text1"/>
          <w:sz w:val="24"/>
          <w:szCs w:val="24"/>
          <w14:textFill>
            <w14:solidFill>
              <w14:schemeClr w14:val="tx1"/>
            </w14:solidFill>
          </w14:textFill>
        </w:rPr>
        <w:t>：下游即将迎来放假  供需双减建议观望</w:t>
      </w:r>
      <w:bookmarkEnd w:id="34"/>
      <w:r>
        <w:rPr>
          <w:rFonts w:hint="eastAsia" w:ascii="楷体" w:hAnsi="楷体" w:eastAsia="楷体"/>
          <w:b/>
          <w:color w:val="000000" w:themeColor="text1"/>
          <w:sz w:val="24"/>
          <w:szCs w:val="24"/>
          <w14:textFill>
            <w14:solidFill>
              <w14:schemeClr w14:val="tx1"/>
            </w14:solidFill>
          </w14:textFill>
        </w:rPr>
        <w:t xml:space="preserve"> </w:t>
      </w:r>
    </w:p>
    <w:p>
      <w:pPr>
        <w:ind w:left="630" w:leftChars="300"/>
        <w:rPr>
          <w:rFonts w:ascii="楷体" w:hAnsi="楷体" w:eastAsia="楷体"/>
          <w:bCs/>
          <w:sz w:val="24"/>
          <w:szCs w:val="24"/>
        </w:rPr>
      </w:pPr>
      <w:r>
        <w:rPr>
          <w:rFonts w:hint="eastAsia" w:ascii="楷体" w:hAnsi="楷体" w:eastAsia="楷体"/>
          <w:color w:val="000000" w:themeColor="text1"/>
          <w:sz w:val="24"/>
          <w:szCs w:val="24"/>
          <w14:textFill>
            <w14:solidFill>
              <w14:schemeClr w14:val="tx1"/>
            </w14:solidFill>
          </w14:textFill>
        </w:rPr>
        <w:t>本周期逸盛海南PTA装置负荷恢复，新材料PTA装置降负，其他个别装置负荷小幅调整，能投100万吨PTA装置重启再次延后，嘉兴石化220万吨PTA装置已停车，至12.23 PTA负荷下降至60.3%。新装置方面山东威联PTA装置一条线投料，嘉通能源250万吨PTA装置已于昨天投料，目前已出产品。本周前后聚酯长丝装置继续有新增检修，个别工厂因工人问题降负，短纤负荷继续维持稳定，瓶片一套装置正在开启，后续将陆续出产品。截至12.23，初步核算国内大陆地区聚酯负荷在66.8%，下滑幅度较供给端大。终端方面，加弹、织造、印染多环节因工人阳率提升而降低负荷，江浙终端开工快速下降。从供需来看，产业端PX-PTA新装置逐步投产，PTA新装置的产量稳步兑现。随着月底终端放假潮来临，终端及聚酯环节开工负反馈逐渐体现，PTA累库压力仍存。宏观面提振不在及产业链趋弱有望共振，TA短期走势承压。仅供参考。</w:t>
      </w:r>
    </w:p>
    <w:p>
      <w:pPr>
        <w:ind w:firstLine="480" w:firstLineChars="200"/>
        <w:rPr>
          <w:rFonts w:ascii="楷体" w:hAnsi="楷体" w:eastAsia="楷体"/>
          <w:bCs/>
          <w:sz w:val="24"/>
          <w:szCs w:val="24"/>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35" w:name="_Toc516"/>
      <w:r>
        <w:rPr>
          <w:rFonts w:hint="eastAsia" w:ascii="楷体" w:hAnsi="楷体" w:eastAsia="楷体"/>
          <w:b/>
          <w:color w:val="000000" w:themeColor="text1"/>
          <w:sz w:val="24"/>
          <w:szCs w:val="24"/>
          <w14:textFill>
            <w14:solidFill>
              <w14:schemeClr w14:val="tx1"/>
            </w14:solidFill>
          </w14:textFill>
        </w:rPr>
        <w:t>聚烯烃：供需弱平衡下，聚烯烃或窄幅整理</w:t>
      </w:r>
      <w:bookmarkEnd w:id="35"/>
    </w:p>
    <w:p>
      <w:pPr>
        <w:ind w:left="630" w:leftChars="300"/>
        <w:rPr>
          <w:rFonts w:ascii="楷体" w:hAnsi="楷体" w:eastAsia="楷体"/>
          <w:bCs/>
          <w:sz w:val="24"/>
          <w:szCs w:val="24"/>
        </w:rPr>
      </w:pPr>
      <w:r>
        <w:rPr>
          <w:rFonts w:hint="eastAsia" w:ascii="楷体" w:hAnsi="楷体" w:eastAsia="楷体"/>
          <w:color w:val="000000" w:themeColor="text1"/>
          <w:sz w:val="24"/>
          <w:szCs w:val="24"/>
          <w14:textFill>
            <w14:solidFill>
              <w14:schemeClr w14:val="tx1"/>
            </w14:solidFill>
          </w14:textFill>
        </w:rPr>
        <w:t>近期聚烯烃涨跌互现。库存方面，本周国内PE库存环比下降1.30%，其中样本主要生产环节PE库存环比下降3.31%，PE样本港口库存环比增加1.91%，样本贸易企业库存环比下滑3.33%。本周国内PP库存环比下降2.59%。其中主要生产环节PP库存下降、贸易商库存和港口库存均有上升。。供应方面，聚乙烯本周新增兰州石化LDPE和大庆石化全密度共计50万吨装置停车检修，但按计划均将于周内开车重启；本周浙江石化二期HDPE和上海石化LDPE共计45万吨产能装置将于本周开机重启；PP本周新增中原石化和上海赛科共计35万吨装置停车检修，中原石化另一6万吨装置将于本周开车重启。成本端方面，因西方圣诞节调休，WTI及 布伦特原油期货均休市一天、无结算价，目前油制PE利润大约为-294.58元/吨，油制PP利润大约为-1620.73元/吨，相较年度偏低位置已有较大恢复；需求方面，PE下游方面，棚膜需求持续减弱，地膜订单跟进缓慢，农膜厂家仍略显谨慎，坚持刚需采购。PP方面，BOPP整体成交一般，BOPP企业未交付订单多数在5-15天，部分至1月中旬。综合来看，原油成本小幅反弹，但对聚烯烃支撑较俄乌战争初期仍有明显减弱，同时下游需求在春节前多以刚性补库为主，需求较弱，难以大幅放量，供需矛盾变化不大下，预计今日聚烯烃窄幅波动。此前关于宏观利好的炒作情绪一定程度上支撑市场价格，但持续性不会过长，短期暂时维持小幅调整，中长期依旧有下行风险。12-明年1月PE、PP仍有多套装置等待投产，叠加进口套利窗口打开，供应压力不减。塑料供需趋弱累库下高空思路不变，上行空间有限。预计在供需弱平衡下聚烯烃将窄幅整理，短期PP 7800左右支撑较强和PE 8150压力位左右支撑较强。仅供参考。</w:t>
      </w:r>
    </w:p>
    <w:p>
      <w:pPr>
        <w:ind w:firstLine="480" w:firstLineChars="200"/>
        <w:rPr>
          <w:rFonts w:ascii="楷体" w:hAnsi="楷体" w:eastAsia="楷体"/>
          <w:bCs/>
          <w:sz w:val="24"/>
          <w:szCs w:val="24"/>
        </w:rPr>
      </w:pPr>
    </w:p>
    <w:p>
      <w:pPr>
        <w:ind w:firstLine="420" w:firstLineChars="200"/>
        <w:rPr>
          <w:rFonts w:ascii="Times New Roman" w:hAnsi="Times New Roman" w:eastAsia="楷体"/>
          <w:bCs/>
        </w:rPr>
      </w:pPr>
    </w:p>
    <w:p>
      <w:pPr>
        <w:pBdr>
          <w:top w:val="single" w:color="auto" w:sz="4" w:space="1"/>
        </w:pBdr>
        <w:outlineLvl w:val="0"/>
        <w:rPr>
          <w:rFonts w:ascii="Times New Roman" w:hAnsi="Times New Roman" w:eastAsia="楷体"/>
          <w:b/>
          <w:color w:val="823C0B"/>
          <w:sz w:val="30"/>
          <w:szCs w:val="30"/>
        </w:rPr>
      </w:pPr>
      <w:r>
        <w:rPr>
          <w:rFonts w:hint="eastAsia" w:ascii="Times New Roman" w:hAnsi="Times New Roman" w:eastAsia="楷体"/>
          <w:b/>
          <w:color w:val="823C0B"/>
          <w:sz w:val="30"/>
          <w:szCs w:val="30"/>
        </w:rPr>
        <w:t xml:space="preserve"> </w:t>
      </w:r>
      <w:bookmarkStart w:id="36" w:name="_Toc15501"/>
      <w:r>
        <w:rPr>
          <w:rFonts w:hint="eastAsia" w:ascii="Times New Roman" w:hAnsi="Times New Roman" w:eastAsia="楷体"/>
          <w:b/>
          <w:color w:val="823C0B"/>
          <w:sz w:val="30"/>
          <w:szCs w:val="30"/>
        </w:rPr>
        <w:t>[农产品]</w:t>
      </w:r>
      <w:bookmarkEnd w:id="13"/>
      <w:bookmarkEnd w:id="36"/>
    </w:p>
    <w:p>
      <w:pPr>
        <w:ind w:left="420" w:leftChars="200"/>
        <w:outlineLvl w:val="1"/>
        <w:rPr>
          <w:rFonts w:hint="eastAsia" w:ascii="楷体" w:hAnsi="楷体" w:eastAsia="楷体"/>
          <w:b/>
          <w:sz w:val="24"/>
          <w:szCs w:val="24"/>
        </w:rPr>
      </w:pPr>
      <w:bookmarkStart w:id="37" w:name="_Toc13729"/>
      <w:r>
        <w:rPr>
          <w:rFonts w:hint="eastAsia" w:ascii="楷体" w:hAnsi="楷体" w:eastAsia="楷体"/>
          <w:b/>
          <w:color w:val="000000" w:themeColor="text1"/>
          <w:sz w:val="24"/>
          <w:szCs w:val="24"/>
          <w14:textFill>
            <w14:solidFill>
              <w14:schemeClr w14:val="tx1"/>
            </w14:solidFill>
          </w14:textFill>
        </w:rPr>
        <w:t>豆粕：</w:t>
      </w:r>
      <w:r>
        <w:rPr>
          <w:rFonts w:hint="eastAsia" w:ascii="楷体" w:hAnsi="楷体" w:eastAsia="楷体"/>
          <w:b/>
          <w:sz w:val="24"/>
          <w:szCs w:val="24"/>
        </w:rPr>
        <w:t>短期维持高位震荡，短多操作</w:t>
      </w:r>
      <w:bookmarkEnd w:id="37"/>
    </w:p>
    <w:p>
      <w:pPr>
        <w:ind w:left="630" w:leftChars="300"/>
        <w:rPr>
          <w:rFonts w:ascii="楷体" w:hAnsi="楷体" w:eastAsia="楷体"/>
          <w:sz w:val="24"/>
          <w:szCs w:val="24"/>
        </w:rPr>
      </w:pPr>
      <w:r>
        <w:rPr>
          <w:rFonts w:hint="eastAsia" w:ascii="楷体" w:hAnsi="楷体" w:eastAsia="楷体"/>
          <w:sz w:val="24"/>
          <w:szCs w:val="24"/>
        </w:rPr>
        <w:t>外盘方面，因圣诞假日外盘休市，关注阿根廷降雨预期是否能缓解其种植区旱情，因受干旱天气影响阿根廷种植进度和优良率持续下滑，天气的不确定下对美豆构成支撑。国内市场，11月进口大豆到港因密西西比河水位降低而延迟，预计12月份到港恢复，当前大豆港口库存累库速度也有所加快。大部分油厂恢复开工，开机及压榨持续维持高位，豆粕库存拐点显现，已进入累库阶段，但榨利亏损下明年1-2月份缺口仍存。下游养殖利润近期大幅下滑，因冬季腌腊需求生猪大量出栏，饲企和养殖企业等采购需求减弱。短期临近交割月资金已逐渐转至05合约，期现回归仍会对近月构成支撑，若未明显利空行情下，预计豆粕仍将维持高位震荡，短期建议低多参与；中长期维持供给恢复预期，美豆及豆粕价格重心下移观点不变，关注南美种植情况，待丰产落地。</w:t>
      </w:r>
    </w:p>
    <w:p>
      <w:pPr>
        <w:ind w:firstLine="480" w:firstLineChars="200"/>
        <w:rPr>
          <w:rFonts w:ascii="楷体" w:hAnsi="楷体" w:eastAsia="楷体"/>
          <w:bCs/>
          <w:sz w:val="24"/>
          <w:szCs w:val="24"/>
        </w:rPr>
      </w:pPr>
    </w:p>
    <w:p>
      <w:pPr>
        <w:ind w:left="420" w:leftChars="200"/>
        <w:outlineLvl w:val="1"/>
        <w:rPr>
          <w:rFonts w:hint="eastAsia" w:ascii="楷体" w:hAnsi="楷体" w:eastAsia="楷体"/>
          <w:b/>
          <w:sz w:val="24"/>
          <w:szCs w:val="24"/>
        </w:rPr>
      </w:pPr>
      <w:bookmarkStart w:id="38" w:name="_Toc10827"/>
      <w:r>
        <w:rPr>
          <w:rFonts w:hint="eastAsia" w:ascii="楷体" w:hAnsi="楷体" w:eastAsia="楷体"/>
          <w:b/>
          <w:color w:val="000000" w:themeColor="text1"/>
          <w:sz w:val="24"/>
          <w:szCs w:val="24"/>
          <w14:textFill>
            <w14:solidFill>
              <w14:schemeClr w14:val="tx1"/>
            </w14:solidFill>
          </w14:textFill>
        </w:rPr>
        <w:t>油脂：</w:t>
      </w:r>
      <w:r>
        <w:rPr>
          <w:rFonts w:hint="eastAsia" w:ascii="楷体" w:hAnsi="楷体" w:eastAsia="楷体"/>
          <w:b/>
          <w:sz w:val="24"/>
          <w:szCs w:val="24"/>
        </w:rPr>
        <w:t>触底反弹，持续性仍待观望</w:t>
      </w:r>
      <w:bookmarkEnd w:id="38"/>
    </w:p>
    <w:p>
      <w:pPr>
        <w:ind w:left="630" w:leftChars="300"/>
        <w:rPr>
          <w:rFonts w:ascii="楷体" w:hAnsi="楷体" w:eastAsia="楷体"/>
          <w:sz w:val="24"/>
          <w:szCs w:val="24"/>
        </w:rPr>
      </w:pPr>
      <w:r>
        <w:rPr>
          <w:rFonts w:hint="eastAsia" w:ascii="楷体" w:hAnsi="楷体" w:eastAsia="楷体"/>
          <w:sz w:val="24"/>
          <w:szCs w:val="24"/>
        </w:rPr>
        <w:t>外盘方面，国际原油近日在利好支撑下连续上涨，但同时因全球经济衰退影响下，需求偏弱。棕榈油支撑主要来自产地减产周期以及印尼生柴政策利好。数据显示12月1-15日马棕单产减少6%，出油率减少0.14%，产量减少6.73%。而印尼将在23年1月开始实施B35计划。而国内棕榈油供应较宽松，需求方面在冬季消费淡季下增量有限，棕榈油库存当前也进一步创历史新高，随着进口下滑预计在12月底后逐步见顶，短期供应压力较大。近期豆油下游成交有所回暖，进入传统旺季备货阶段，虽近期防疫政策优化，但下游消费未见明显好转，而棕榈油进入季节性消费淡季提振部分豆油替代消费。近期因11月大豆到港延迟，累库进度放缓。但随着12月到港修复，油厂压榨持续恢复后边际供应预计由紧转松，关注豆油库存修复情况，短期延续近强远弱格局。菜油在供应边际预期改善下，现货有所回落，但在库存尚未明显修复下，基差维持高位。随着进口加籽到港量逐步增加，菜籽累库进度加快。同时在刚需以及临近春节前备货下，菜油库存修复仍需时间。预计油脂在供应边际增加及下游消费整体呈现旺季不旺的局面，上方空间预计有限，短期油脂预计维持底部宽幅震荡，反弹持续性仍待观望，建议波段操作，短线高抛低吸。</w:t>
      </w:r>
    </w:p>
    <w:p>
      <w:pPr>
        <w:ind w:firstLine="480" w:firstLineChars="200"/>
        <w:rPr>
          <w:rFonts w:ascii="楷体" w:hAnsi="楷体" w:eastAsia="楷体"/>
          <w:bCs/>
          <w:sz w:val="24"/>
          <w:szCs w:val="24"/>
        </w:rPr>
      </w:pPr>
    </w:p>
    <w:p>
      <w:pPr>
        <w:pStyle w:val="12"/>
        <w:spacing w:before="60" w:beforeAutospacing="0" w:after="60" w:afterAutospacing="0"/>
        <w:ind w:left="420" w:leftChars="200"/>
        <w:outlineLvl w:val="1"/>
        <w:rPr>
          <w:rFonts w:hint="eastAsia" w:ascii="楷体" w:hAnsi="楷体" w:eastAsia="楷体"/>
          <w:b/>
        </w:rPr>
      </w:pPr>
      <w:bookmarkStart w:id="39" w:name="_Toc24265"/>
      <w:r>
        <w:rPr>
          <w:rFonts w:hint="eastAsia" w:ascii="楷体" w:hAnsi="楷体" w:eastAsia="楷体"/>
          <w:b/>
          <w:bCs/>
          <w:color w:val="000000" w:themeColor="text1"/>
          <w14:textFill>
            <w14:solidFill>
              <w14:schemeClr w14:val="tx1"/>
            </w14:solidFill>
          </w14:textFill>
        </w:rPr>
        <w:t>玉米与淀粉：</w:t>
      </w:r>
      <w:r>
        <w:rPr>
          <w:rFonts w:hint="eastAsia" w:ascii="楷体" w:hAnsi="楷体" w:eastAsia="楷体"/>
          <w:b/>
        </w:rPr>
        <w:t>重点留意淀粉-玉米价差交易机会</w:t>
      </w:r>
      <w:bookmarkEnd w:id="39"/>
    </w:p>
    <w:p>
      <w:pPr>
        <w:pStyle w:val="12"/>
        <w:spacing w:before="60" w:beforeAutospacing="0" w:after="60" w:afterAutospacing="0"/>
        <w:ind w:left="630" w:leftChars="300"/>
        <w:rPr>
          <w:rFonts w:hint="eastAsia" w:ascii="楷体" w:hAnsi="楷体" w:eastAsia="楷体"/>
        </w:rPr>
      </w:pPr>
      <w:r>
        <w:rPr>
          <w:rFonts w:hint="eastAsia" w:ascii="楷体" w:hAnsi="楷体" w:eastAsia="楷体"/>
        </w:rPr>
        <w:t>对于玉米而言，国内市场逻辑未变，即期价呈现远月贴水结构，抑制中下游补库积极性，新作上市压力仍有待释放。但值得留意的是，目前盘面期价已经回落至美玉米到港成本一线，而巴西玉米报价亦有显著提升，这表明美玉米竞争压力有所缓解，可能会抑制美玉米期价继续下跌的空间。而对于国内而言，则需要留意南北方港口库存持续回落，深加工玉米库存低位，下游节前备货需求可能带动现货出现阶段性反弹。考虑到从时间上看临近去年调整的尾声，空间上看玉米期价贴近美玉米进口到港成本，观点转为中性，建议激进投资者前期玉米或淀粉空单继续持有，谨慎投资者可考虑获利离场。</w:t>
      </w:r>
    </w:p>
    <w:p>
      <w:pPr>
        <w:pStyle w:val="12"/>
        <w:spacing w:before="60" w:beforeAutospacing="0" w:after="60" w:afterAutospacing="0"/>
        <w:ind w:left="630" w:leftChars="300"/>
        <w:rPr>
          <w:rFonts w:hint="eastAsia" w:ascii="楷体" w:hAnsi="楷体" w:eastAsia="楷体"/>
        </w:rPr>
      </w:pPr>
      <w:r>
        <w:rPr>
          <w:rFonts w:hint="eastAsia" w:ascii="楷体" w:hAnsi="楷体" w:eastAsia="楷体"/>
        </w:rPr>
        <w:t>对于淀粉而言，近期淀粉-玉米价差持续收窄至前期低位，其中主导原因或在于供需端和成本端，即下游需求受疫情压制，而玉米深加工企业收购价持续回落。但需要留意的是，随着副产品价格逐步回落，带动期现货生产利润持续下滑，或有利于后期行业供需改善。在这种情况下，淀粉-玉米价差套利暂建议观望，激进投资者可以轻仓布局做多价差。</w:t>
      </w:r>
    </w:p>
    <w:p>
      <w:pPr>
        <w:pStyle w:val="12"/>
        <w:spacing w:before="60" w:beforeAutospacing="0" w:after="60" w:afterAutospacing="0"/>
        <w:ind w:left="630" w:leftChars="300"/>
        <w:rPr>
          <w:rFonts w:hint="eastAsia" w:ascii="楷体" w:hAnsi="楷体" w:eastAsia="楷体"/>
        </w:rPr>
      </w:pPr>
    </w:p>
    <w:p>
      <w:pPr>
        <w:pStyle w:val="12"/>
        <w:spacing w:before="60" w:beforeAutospacing="0" w:after="60" w:afterAutospacing="0"/>
        <w:ind w:left="420" w:leftChars="200"/>
        <w:outlineLvl w:val="1"/>
        <w:rPr>
          <w:rFonts w:hint="eastAsia" w:ascii="楷体" w:hAnsi="楷体" w:eastAsia="楷体"/>
          <w:b/>
          <w:bCs/>
          <w:color w:val="000000" w:themeColor="text1"/>
          <w14:textFill>
            <w14:solidFill>
              <w14:schemeClr w14:val="tx1"/>
            </w14:solidFill>
          </w14:textFill>
        </w:rPr>
      </w:pPr>
      <w:bookmarkStart w:id="40" w:name="_Toc13132"/>
      <w:r>
        <w:rPr>
          <w:rFonts w:hint="eastAsia" w:ascii="楷体" w:hAnsi="楷体" w:eastAsia="楷体"/>
          <w:b/>
          <w:bCs/>
          <w:color w:val="000000" w:themeColor="text1"/>
          <w14:textFill>
            <w14:solidFill>
              <w14:schemeClr w14:val="tx1"/>
            </w14:solidFill>
          </w14:textFill>
        </w:rPr>
        <w:t>畜禽养殖：鸡蛋现货依然弱势</w:t>
      </w:r>
      <w:bookmarkEnd w:id="40"/>
    </w:p>
    <w:p>
      <w:pPr>
        <w:pStyle w:val="12"/>
        <w:spacing w:before="60" w:beforeAutospacing="0" w:after="60" w:afterAutospacing="0"/>
        <w:ind w:left="630" w:leftChars="300"/>
        <w:rPr>
          <w:rFonts w:hint="eastAsia" w:ascii="楷体" w:hAnsi="楷体" w:eastAsia="楷体"/>
        </w:rPr>
      </w:pPr>
      <w:r>
        <w:rPr>
          <w:rFonts w:hint="eastAsia" w:ascii="楷体" w:hAnsi="楷体" w:eastAsia="楷体"/>
        </w:rPr>
        <w:t>对于生猪而言，近期期价结构频繁转变，低点从之前的3月合约进一步前移至1月，之后合约较1月合约均出现升水，且多维持在行业平均成本线上方，这表明市场预计需求影响时段收窄，且市场认为当前需求弱势会导致产能恢复力度不及之前预期。在我们看来，疫情因素对需求的影响意味着“危”与“机”并存，因其短期和中长期影响有所不同，短期利空或有助于供应出清，在国家收储及其需求改善的带动，或将导致供需发生改变，有望带来期价阶段性反弹机会 ，据此观点转为谨慎看多，谨慎投资者观望，激进投资者可以考虑轻仓做多。</w:t>
      </w:r>
    </w:p>
    <w:p>
      <w:pPr>
        <w:pStyle w:val="12"/>
        <w:spacing w:before="60" w:beforeAutospacing="0" w:after="60" w:afterAutospacing="0"/>
        <w:ind w:left="630" w:leftChars="300"/>
        <w:rPr>
          <w:rFonts w:ascii="楷体" w:hAnsi="楷体" w:eastAsia="楷体"/>
        </w:rPr>
      </w:pPr>
      <w:r>
        <w:rPr>
          <w:rFonts w:hint="eastAsia" w:ascii="楷体" w:hAnsi="楷体" w:eastAsia="楷体"/>
        </w:rPr>
        <w:t>对于鸡蛋而言，在我们看来，今年动物蛋白供应格局类似于2019年，而鸡蛋供需两弱格局则类似于去年。基于上述供需判断，接下来需要关注两个方面，一方面基于鸡蛋自身供需格局关注在产蛋鸡环比变动，另一方面基于动物蛋白供应格局需要关注接下来的猪价走势节奏。各机构蛋鸡存补栏数据和现货表现符合之前预期，供应端未有明显改善，11月在产蛋鸡存栏虽有环比和同比再度小幅回落，总体维持历史同期低位运行，表明供应端依然偏紧。近期防疫政策放开导致短期需求急剧萎缩，但可以预见的是，后期疫情有望趋于缓解，需求将逐步恢复。在这种情况下，考虑到成本支撑因素，预计期价继续下跌空间或有限，对应观点转为谨慎看多，建议谨慎投资者观望，激进投资者可以考虑以前低作为止损轻仓做多5月合约。</w:t>
      </w:r>
    </w:p>
    <w:p>
      <w:pPr>
        <w:ind w:firstLine="480" w:firstLineChars="200"/>
        <w:rPr>
          <w:rFonts w:ascii="楷体" w:hAnsi="楷体" w:eastAsia="楷体"/>
          <w:sz w:val="24"/>
          <w:szCs w:val="24"/>
        </w:rPr>
      </w:pPr>
    </w:p>
    <w:p>
      <w:pPr>
        <w:ind w:left="420" w:leftChars="200"/>
        <w:outlineLvl w:val="1"/>
        <w:rPr>
          <w:rFonts w:hint="eastAsia" w:ascii="楷体" w:hAnsi="楷体" w:eastAsia="楷体"/>
          <w:b/>
          <w:sz w:val="24"/>
          <w:szCs w:val="24"/>
        </w:rPr>
      </w:pPr>
      <w:bookmarkStart w:id="41" w:name="_Toc9084"/>
      <w:r>
        <w:rPr>
          <w:rFonts w:hint="eastAsia" w:ascii="楷体" w:hAnsi="楷体" w:eastAsia="楷体"/>
          <w:b/>
          <w:sz w:val="24"/>
          <w:szCs w:val="24"/>
        </w:rPr>
        <w:t>郑棉：新冠肺炎改名，成为“乙类管制”，市场情绪再度亢奋。郑棉偏强震荡，看跌期权持有</w:t>
      </w:r>
      <w:bookmarkEnd w:id="41"/>
    </w:p>
    <w:p>
      <w:pPr>
        <w:ind w:left="630" w:leftChars="300"/>
        <w:rPr>
          <w:rFonts w:ascii="楷体" w:hAnsi="楷体" w:eastAsia="楷体"/>
          <w:sz w:val="24"/>
          <w:szCs w:val="24"/>
        </w:rPr>
      </w:pPr>
      <w:r>
        <w:rPr>
          <w:rFonts w:hint="eastAsia" w:ascii="楷体" w:hAnsi="楷体" w:eastAsia="楷体"/>
          <w:sz w:val="24"/>
          <w:szCs w:val="24"/>
        </w:rPr>
        <w:t>国家统计局公布的全国棉花产量数据显示，2022年全国棉花播种面积4500.4万亩，比上年减少41.8万亩，下降0.9%；单产132.8公斤/亩，比上年增加6.6公斤/亩，增长5.3%；产量597.7万吨，比上年增加24.6万吨，增长4.3%。本年度棉花丰产，新棉上市速度加快，套保需求增加。</w:t>
      </w:r>
    </w:p>
    <w:p>
      <w:pPr>
        <w:ind w:firstLine="480" w:firstLineChars="200"/>
        <w:rPr>
          <w:rFonts w:ascii="楷体" w:hAnsi="楷体" w:eastAsia="楷体"/>
          <w:bCs/>
          <w:sz w:val="24"/>
          <w:szCs w:val="24"/>
        </w:rPr>
      </w:pPr>
    </w:p>
    <w:p>
      <w:pPr>
        <w:ind w:firstLine="602" w:firstLineChars="200"/>
        <w:rPr>
          <w:rFonts w:ascii="Times New Roman" w:hAnsi="Times New Roman" w:eastAsia="楷体"/>
          <w:b/>
          <w:color w:val="800000"/>
          <w:sz w:val="30"/>
          <w:szCs w:val="30"/>
        </w:rPr>
      </w:pPr>
      <w:r>
        <w:rPr>
          <w:rFonts w:ascii="Times New Roman" w:hAnsi="Times New Roman" w:eastAsia="楷体"/>
          <w:b/>
          <w:color w:val="800000"/>
          <w:sz w:val="30"/>
          <w:szCs w:val="30"/>
        </w:rPr>
        <w:br w:type="page"/>
      </w:r>
    </w:p>
    <w:p>
      <w:pPr>
        <w:spacing w:line="360" w:lineRule="auto"/>
        <w:jc w:val="center"/>
        <w:rPr>
          <w:rFonts w:ascii="Times New Roman" w:hAnsi="Times New Roman" w:eastAsia="楷体"/>
          <w:b/>
          <w:color w:val="411D05"/>
          <w:sz w:val="30"/>
          <w:szCs w:val="30"/>
        </w:rPr>
      </w:pPr>
      <w:bookmarkStart w:id="42" w:name="_Toc19667"/>
      <w:bookmarkStart w:id="43" w:name="_Toc72481108"/>
      <w:bookmarkStart w:id="44" w:name="_Toc12779"/>
      <w:bookmarkStart w:id="45" w:name="_Toc98426751"/>
      <w:bookmarkStart w:id="46" w:name="_Toc71212556"/>
      <w:r>
        <w:rPr>
          <w:rFonts w:ascii="Times New Roman" w:hAnsi="Times New Roman" w:eastAsia="楷体"/>
          <w:b/>
          <w:color w:val="411D05"/>
          <w:sz w:val="30"/>
          <w:szCs w:val="30"/>
        </w:rPr>
        <w:t>免责声明</w:t>
      </w:r>
      <w:bookmarkEnd w:id="42"/>
      <w:bookmarkEnd w:id="43"/>
      <w:bookmarkEnd w:id="44"/>
      <w:bookmarkEnd w:id="45"/>
      <w:bookmarkEnd w:id="46"/>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pPr>
        <w:ind w:firstLine="422" w:firstLineChars="200"/>
        <w:rPr>
          <w:rFonts w:ascii="Times New Roman" w:hAnsi="Times New Roman" w:eastAsia="楷体"/>
        </w:rPr>
      </w:pPr>
      <w:r>
        <w:rPr>
          <w:rFonts w:hint="eastAsia" w:ascii="Times New Roman" w:hAnsi="Times New Roman" w:eastAsia="楷体"/>
          <w:b/>
          <w:bCs/>
          <w:color w:val="C00000"/>
        </w:rPr>
        <w:t>广州期货股份有限公司提醒广大投资者：期市有风险，入市需谨慎！</w:t>
      </w:r>
    </w:p>
    <w:p>
      <w:pPr>
        <w:ind w:firstLine="420" w:firstLineChars="200"/>
        <w:rPr>
          <w:rFonts w:ascii="Times New Roman" w:hAnsi="Times New Roman" w:eastAsia="楷体"/>
        </w:rPr>
      </w:pPr>
    </w:p>
    <w:p>
      <w:pPr>
        <w:ind w:firstLine="420" w:firstLineChars="200"/>
        <w:rPr>
          <w:rFonts w:ascii="Times New Roman" w:hAnsi="Times New Roman" w:eastAsia="楷体"/>
        </w:rPr>
      </w:pPr>
    </w:p>
    <w:p>
      <w:pPr>
        <w:jc w:val="left"/>
        <w:rPr>
          <w:rFonts w:ascii="Times New Roman" w:hAnsi="Times New Roman" w:eastAsia="楷体"/>
          <w:b/>
          <w:color w:val="823C0B"/>
          <w:sz w:val="28"/>
        </w:rPr>
      </w:pPr>
      <w:r>
        <w:rPr>
          <w:rFonts w:ascii="Times New Roman" w:hAnsi="Times New Roman" w:eastAsia="楷体"/>
          <w:b/>
          <w:color w:val="823C0B"/>
          <w:sz w:val="28"/>
        </w:rPr>
        <w:t xml:space="preserve">投资咨询业务资格:证监许可【2012】1497号 </w:t>
      </w:r>
    </w:p>
    <w:p>
      <w:pPr>
        <w:ind w:firstLine="440" w:firstLineChars="200"/>
        <w:rPr>
          <w:rFonts w:ascii="Times New Roman" w:hAnsi="Times New Roman" w:eastAsia="楷体" w:cs="Times New Roman"/>
          <w:sz w:val="22"/>
        </w:rPr>
      </w:pPr>
    </w:p>
    <w:tbl>
      <w:tblPr>
        <w:tblStyle w:val="8"/>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0"/>
        <w:gridCol w:w="42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王荆杰</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F3084112</w:t>
            </w:r>
            <w:r>
              <w:rPr>
                <w:rFonts w:hint="eastAsia" w:ascii="Times New Roman" w:hAnsi="Times New Roman" w:eastAsia="楷体" w:cs="Times New Roman"/>
                <w:color w:val="823C0B"/>
                <w:sz w:val="22"/>
              </w:rPr>
              <w:t xml:space="preserve">    </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Z0016329</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范红军</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F03098791</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：Z0017690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李代</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：F03086605</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：Z0016791</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许克元</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：F3022666</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：Z0013612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谢紫琪</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：F3032560</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：Z0014338</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薛晴</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：F3035906</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：Z0016940</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ind w:firstLine="420" w:firstLineChars="200"/>
        <w:rPr>
          <w:rFonts w:ascii="Times New Roman" w:hAnsi="Times New Roman" w:eastAsia="楷体"/>
        </w:rPr>
      </w:pPr>
    </w:p>
    <w:tbl>
      <w:tblPr>
        <w:tblStyle w:val="7"/>
        <w:tblW w:w="5000" w:type="pct"/>
        <w:jc w:val="center"/>
        <w:tblLayout w:type="autofit"/>
        <w:tblCellMar>
          <w:top w:w="0" w:type="dxa"/>
          <w:left w:w="108" w:type="dxa"/>
          <w:bottom w:w="0" w:type="dxa"/>
          <w:right w:w="108" w:type="dxa"/>
        </w:tblCellMar>
      </w:tblPr>
      <w:tblGrid>
        <w:gridCol w:w="8522"/>
      </w:tblGrid>
      <w:tr>
        <w:tblPrEx>
          <w:tblCellMar>
            <w:top w:w="0" w:type="dxa"/>
            <w:left w:w="108" w:type="dxa"/>
            <w:bottom w:w="0" w:type="dxa"/>
            <w:right w:w="108" w:type="dxa"/>
          </w:tblCellMar>
        </w:tblPrEx>
        <w:trPr>
          <w:jc w:val="center"/>
        </w:trPr>
        <w:tc>
          <w:tcPr>
            <w:tcW w:w="5000" w:type="pct"/>
            <w:shd w:val="clear" w:color="auto" w:fill="auto"/>
            <w:vAlign w:val="center"/>
          </w:tcPr>
          <w:p>
            <w:pPr>
              <w:rPr>
                <w:rFonts w:hint="default" w:ascii="Times New Roman" w:hAnsi="Times New Roman" w:eastAsia="楷体"/>
                <w:b/>
                <w:bCs/>
                <w:color w:val="823C0B"/>
                <w:lang w:val="en-US" w:eastAsia="zh-CN"/>
              </w:rPr>
            </w:pPr>
            <w:r>
              <w:rPr>
                <w:rFonts w:ascii="Times New Roman" w:hAnsi="Times New Roman" w:eastAsia="楷体"/>
                <w:bCs/>
                <w:color w:val="823C0B"/>
              </w:rPr>
              <w:t>办公地址：广州市天河区</w:t>
            </w:r>
            <w:r>
              <w:rPr>
                <w:rFonts w:hint="eastAsia" w:ascii="Times New Roman" w:hAnsi="Times New Roman" w:eastAsia="楷体"/>
                <w:bCs/>
                <w:color w:val="823C0B"/>
              </w:rPr>
              <w:t>临江大道1号寺右万科中心南塔</w:t>
            </w:r>
            <w:r>
              <w:rPr>
                <w:rFonts w:ascii="Times New Roman" w:hAnsi="Times New Roman" w:eastAsia="楷体"/>
                <w:bCs/>
                <w:color w:val="823C0B"/>
              </w:rPr>
              <w:t>6</w:t>
            </w:r>
            <w:r>
              <w:rPr>
                <w:rFonts w:hint="eastAsia" w:ascii="Times New Roman" w:hAnsi="Times New Roman" w:eastAsia="楷体"/>
                <w:bCs/>
                <w:color w:val="823C0B"/>
              </w:rPr>
              <w:t>层</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color w:val="823C0B"/>
              </w:rPr>
            </w:pPr>
            <w:r>
              <w:rPr>
                <w:rFonts w:hint="eastAsia" w:ascii="Times New Roman" w:hAnsi="Times New Roman" w:eastAsia="楷体"/>
                <w:bCs/>
                <w:color w:val="823C0B"/>
              </w:rPr>
              <w:t>联系方式: (020)22836102</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bCs/>
                <w:color w:val="823C0B"/>
              </w:rPr>
            </w:pPr>
            <w:r>
              <w:rPr>
                <w:rFonts w:ascii="Times New Roman" w:hAnsi="Times New Roman" w:eastAsia="楷体"/>
                <w:bCs/>
                <w:color w:val="823C0B"/>
              </w:rPr>
              <w:t>邮政编码：510627</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pBdr>
          <w:top w:val="none" w:color="auto" w:sz="0" w:space="1"/>
          <w:left w:val="none" w:color="auto" w:sz="0" w:space="4"/>
          <w:bottom w:val="none" w:color="auto" w:sz="0" w:space="1"/>
          <w:right w:val="none" w:color="auto" w:sz="0" w:space="4"/>
        </w:pBdr>
      </w:pPr>
    </w:p>
    <w:sectPr>
      <w:footerReference r:id="rId7" w:type="first"/>
      <w:footerReference r:id="rId6" w:type="default"/>
      <w:pgSz w:w="11906" w:h="16838"/>
      <w:pgMar w:top="1440" w:right="1800" w:bottom="1440" w:left="1800" w:header="850" w:footer="1077"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single" w:color="000000" w:sz="4" w:space="0"/>
      </w:pBdr>
      <w:jc w:val="both"/>
    </w:pPr>
    <w:r>
      <w:rPr>
        <w:rFonts w:hint="eastAsia" w:ascii="楷体" w:hAnsi="楷体" w:eastAsia="楷体" w:cs="Times New Roman"/>
        <w:b/>
        <w:color w:val="833C0B"/>
        <w:sz w:val="21"/>
        <w:lang w:val="en-US" w:eastAsia="zh-CN" w:bidi="ar"/>
      </w:rPr>
      <w:t>广州期货提醒各位投资者</w:t>
    </w:r>
    <w:r>
      <w:rPr>
        <w:rFonts w:hint="eastAsia" w:ascii="楷体" w:hAnsi="楷体" w:eastAsia="楷体" w:cs="Times New Roman"/>
        <w:b/>
        <w:color w:val="833C0B"/>
        <w:sz w:val="21"/>
        <w:lang w:bidi="ar"/>
      </w:rPr>
      <w:t>，期市有风险，入市需谨慎！请阅读文末免责声明</w:t>
    </w: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imes New Roman" w:hAnsi="Times New Roman" w:eastAsia="楷体" w:cs="Times New Roman"/>
                              <w:b/>
                              <w:color w:val="833C0B"/>
                              <w:sz w:val="21"/>
                              <w:lang w:eastAsia="zh-CN" w:bidi="ar"/>
                            </w:rPr>
                          </w:pPr>
                          <w:r>
                            <w:rPr>
                              <w:rFonts w:hint="eastAsia" w:ascii="Times New Roman" w:hAnsi="Times New Roman" w:eastAsia="楷体" w:cs="Times New Roman"/>
                              <w:b/>
                              <w:color w:val="833C0B"/>
                              <w:sz w:val="21"/>
                              <w:lang w:bidi="ar"/>
                            </w:rPr>
                            <w:t xml:space="preserve">Page </w:t>
                          </w:r>
                          <w:r>
                            <w:rPr>
                              <w:rFonts w:hint="eastAsia" w:ascii="Times New Roman" w:hAnsi="Times New Roman" w:eastAsia="楷体" w:cs="Times New Roman"/>
                              <w:b/>
                              <w:color w:val="833C0B"/>
                              <w:sz w:val="21"/>
                              <w:lang w:val="en-US" w:eastAsia="zh-CN" w:bidi="ar"/>
                            </w:rPr>
                            <w:t>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3"/>
                      <w:rPr>
                        <w:rFonts w:hint="eastAsia" w:ascii="Times New Roman" w:hAnsi="Times New Roman" w:eastAsia="楷体" w:cs="Times New Roman"/>
                        <w:b/>
                        <w:color w:val="833C0B"/>
                        <w:sz w:val="21"/>
                        <w:lang w:eastAsia="zh-CN" w:bidi="ar"/>
                      </w:rPr>
                    </w:pPr>
                    <w:r>
                      <w:rPr>
                        <w:rFonts w:hint="eastAsia" w:ascii="Times New Roman" w:hAnsi="Times New Roman" w:eastAsia="楷体" w:cs="Times New Roman"/>
                        <w:b/>
                        <w:color w:val="833C0B"/>
                        <w:sz w:val="21"/>
                        <w:lang w:bidi="ar"/>
                      </w:rPr>
                      <w:t xml:space="preserve">Page </w:t>
                    </w:r>
                    <w:r>
                      <w:rPr>
                        <w:rFonts w:hint="eastAsia" w:ascii="Times New Roman" w:hAnsi="Times New Roman" w:eastAsia="楷体" w:cs="Times New Roman"/>
                        <w:b/>
                        <w:color w:val="833C0B"/>
                        <w:sz w:val="21"/>
                        <w:lang w:val="en-US" w:eastAsia="zh-CN" w:bidi="ar"/>
                      </w:rPr>
                      <w:t>1</w:t>
                    </w:r>
                  </w:p>
                </w:txbxContent>
              </v:textbox>
            </v:shape>
          </w:pict>
        </mc:Fallback>
      </mc:AlternateContent>
    </w:r>
    <w:r>
      <w:rPr>
        <w:rFonts w:hint="eastAsia" w:ascii="楷体" w:hAnsi="楷体" w:eastAsia="楷体" w:cs="Times New Roman"/>
        <w:b/>
        <w:color w:val="833C0B"/>
        <w:sz w:val="21"/>
        <w:lang w:bidi="ar"/>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single" w:color="000000" w:sz="4" w:space="0"/>
      </w:pBdr>
      <w:jc w:val="both"/>
    </w:pPr>
    <w: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imes New Roman" w:hAnsi="Times New Roman" w:eastAsia="楷体" w:cs="Times New Roman"/>
                              <w:b/>
                              <w:color w:val="833C0B"/>
                              <w:sz w:val="21"/>
                              <w:lang w:eastAsia="zh-CN" w:bidi="ar"/>
                            </w:rPr>
                          </w:pPr>
                          <w:r>
                            <w:rPr>
                              <w:rFonts w:hint="eastAsia" w:ascii="Times New Roman" w:hAnsi="Times New Roman" w:eastAsia="楷体" w:cs="Times New Roman"/>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85.4pt;margin-top:-0.85pt;height:144pt;width:144pt;mso-position-horizontal-relative:margin;mso-wrap-style:none;z-index:251662336;mso-width-relative:page;mso-height-relative:page;" filled="f" stroked="f" coordsize="21600,21600" o:gfxdata="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pUetTYAAAACwEAAA8AAAAAAAAAAQAgAAAAIgAAAGRycy9kb3ducmV2LnhtbFBLAQIU&#10;ABQAAAAIAIdO4kAXDIm4LAIAAFUEAAAOAAAAAAAAAAEAIAAAACcBAABkcnMvZTJvRG9jLnhtbFBL&#10;BQYAAAAABgAGAFkBAADFBQAAAAA=&#10;">
              <v:fill on="f" focussize="0,0"/>
              <v:stroke on="f" weight="0.5pt"/>
              <v:imagedata o:title=""/>
              <o:lock v:ext="edit" aspectratio="f"/>
              <v:textbox inset="0mm,0mm,0mm,0mm" style="mso-fit-shape-to-text:t;">
                <w:txbxContent>
                  <w:p>
                    <w:pPr>
                      <w:pStyle w:val="3"/>
                      <w:rPr>
                        <w:rFonts w:hint="eastAsia" w:ascii="Times New Roman" w:hAnsi="Times New Roman" w:eastAsia="楷体" w:cs="Times New Roman"/>
                        <w:b/>
                        <w:color w:val="833C0B"/>
                        <w:sz w:val="21"/>
                        <w:lang w:eastAsia="zh-CN" w:bidi="ar"/>
                      </w:rPr>
                    </w:pPr>
                    <w:r>
                      <w:rPr>
                        <w:rFonts w:hint="eastAsia" w:ascii="Times New Roman" w:hAnsi="Times New Roman" w:eastAsia="楷体" w:cs="Times New Roman"/>
                        <w:b/>
                        <w:color w:val="833C0B"/>
                        <w:sz w:val="21"/>
                        <w:lang w:bidi="ar"/>
                      </w:rPr>
                      <w:t>Page</w:t>
                    </w:r>
                  </w:p>
                </w:txbxContent>
              </v:textbox>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hint="eastAsia" w:ascii="Times New Roman" w:hAnsi="Times New Roman" w:eastAsia="楷体" w:cs="Times New Roman"/>
                              <w:b/>
                              <w:color w:val="833C0B"/>
                              <w:sz w:val="21"/>
                              <w:lang w:bidi="ar"/>
                            </w:rPr>
                            <w:t>3</w:t>
                          </w:r>
                          <w:r>
                            <w:rPr>
                              <w:rFonts w:hint="eastAsia" w:ascii="Times New Roman" w:hAnsi="Times New Roman" w:eastAsia="楷体" w:cs="Times New Roman"/>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3"/>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hint="eastAsia" w:ascii="Times New Roman" w:hAnsi="Times New Roman" w:eastAsia="楷体" w:cs="Times New Roman"/>
                        <w:b/>
                        <w:color w:val="833C0B"/>
                        <w:sz w:val="21"/>
                        <w:lang w:bidi="ar"/>
                      </w:rPr>
                      <w:t>3</w:t>
                    </w:r>
                    <w:r>
                      <w:rPr>
                        <w:rFonts w:hint="eastAsia" w:ascii="Times New Roman" w:hAnsi="Times New Roman" w:eastAsia="楷体" w:cs="Times New Roman"/>
                        <w:b/>
                        <w:color w:val="833C0B"/>
                        <w:sz w:val="21"/>
                        <w:lang w:bidi="ar"/>
                      </w:rPr>
                      <w:fldChar w:fldCharType="end"/>
                    </w:r>
                  </w:p>
                </w:txbxContent>
              </v:textbox>
            </v:shape>
          </w:pict>
        </mc:Fallback>
      </mc:AlternateContent>
    </w:r>
    <w:r>
      <w:rPr>
        <w:rFonts w:hint="eastAsia" w:ascii="楷体" w:hAnsi="楷体" w:eastAsia="楷体" w:cs="Times New Roman"/>
        <w:b/>
        <w:color w:val="833C0B"/>
        <w:sz w:val="21"/>
        <w:lang w:val="en-US" w:eastAsia="zh-CN" w:bidi="ar"/>
      </w:rPr>
      <w:t>广州期货提醒各位投资者</w:t>
    </w:r>
    <w:r>
      <w:rPr>
        <w:rFonts w:hint="eastAsia" w:ascii="楷体" w:hAnsi="楷体" w:eastAsia="楷体" w:cs="Times New Roman"/>
        <w:b/>
        <w:color w:val="833C0B"/>
        <w:sz w:val="21"/>
        <w:lang w:bidi="ar"/>
      </w:rPr>
      <w:t>，期市有风险，入市需谨慎！请阅读文末免责声明。</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drawing>
        <wp:anchor distT="0" distB="0" distL="114300" distR="114300" simplePos="0" relativeHeight="251659264" behindDoc="0" locked="0" layoutInCell="1" allowOverlap="1">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pPr>
      <w:pStyle w:val="4"/>
      <w:pBdr>
        <w:bottom w:val="single" w:color="auto" w:sz="4" w:space="1"/>
      </w:pBdr>
      <w:jc w:val="right"/>
      <w:rPr>
        <w:b/>
        <w:bCs/>
      </w:rPr>
    </w:pPr>
    <w:r>
      <w:ptab w:relativeTo="margin" w:alignment="center" w:leader="none"/>
    </w:r>
    <w:r>
      <w:rPr>
        <w:rFonts w:hint="eastAsia" w:ascii="Times New Roman" w:hAnsi="Times New Roman" w:eastAsia="楷体"/>
        <w:b/>
        <w:bCs/>
        <w:color w:val="833C0B"/>
        <w:sz w:val="21"/>
      </w:rPr>
      <w:t>早间直通车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Times New Roman" w:hAnsi="Times New Roman" w:eastAsia="楷体"/>
        <w:b/>
        <w:bCs/>
        <w:color w:val="833C0B"/>
        <w:sz w:val="21"/>
      </w:rPr>
    </w:pPr>
    <w:r>
      <w:ptab w:relativeTo="margin" w:alignment="center" w:leader="none"/>
    </w:r>
    <w:r>
      <w:drawing>
        <wp:anchor distT="0" distB="0" distL="114300" distR="114300" simplePos="0" relativeHeight="251661312" behindDoc="0" locked="0" layoutInCell="1" allowOverlap="1">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hint="eastAsia" w:ascii="Times New Roman" w:hAnsi="Times New Roman" w:eastAsia="楷体"/>
        <w:b/>
        <w:bCs/>
        <w:color w:val="833C0B"/>
        <w:sz w:val="21"/>
      </w:rPr>
      <w:t>早间直通车</w:t>
    </w:r>
  </w:p>
  <w:p>
    <w:pPr>
      <w:pStyle w:val="4"/>
      <w:pBdr>
        <w:bottom w:val="single" w:color="auto" w:sz="4" w:space="1"/>
      </w:pBdr>
      <w:jc w:val="right"/>
    </w:pPr>
    <w:r>
      <w:rPr>
        <w:rFonts w:ascii="Times New Roman" w:hAnsi="Times New Roman" w:eastAsia="楷体"/>
        <w:b/>
        <w:bCs/>
        <w:color w:val="833C0B"/>
        <w:sz w:val="21"/>
      </w:rPr>
      <w:fldChar w:fldCharType="begin"/>
    </w:r>
    <w:r>
      <w:rPr>
        <w:rFonts w:ascii="Times New Roman" w:hAnsi="Times New Roman" w:eastAsia="楷体"/>
        <w:b/>
        <w:bCs/>
        <w:color w:val="833C0B"/>
        <w:sz w:val="21"/>
      </w:rPr>
      <w:instrText xml:space="preserve"> </w:instrText>
    </w:r>
    <w:r>
      <w:rPr>
        <w:rFonts w:hint="eastAsia" w:ascii="Times New Roman" w:hAnsi="Times New Roman" w:eastAsia="楷体"/>
        <w:b/>
        <w:bCs/>
        <w:color w:val="833C0B"/>
        <w:sz w:val="21"/>
      </w:rPr>
      <w:instrText xml:space="preserve">TIME \@ "yyyy年M月d日星期W"</w:instrText>
    </w:r>
    <w:r>
      <w:rPr>
        <w:rFonts w:ascii="Times New Roman" w:hAnsi="Times New Roman" w:eastAsia="楷体"/>
        <w:b/>
        <w:bCs/>
        <w:color w:val="833C0B"/>
        <w:sz w:val="21"/>
      </w:rPr>
      <w:instrText xml:space="preserve"> </w:instrText>
    </w:r>
    <w:r>
      <w:rPr>
        <w:rFonts w:ascii="Times New Roman" w:hAnsi="Times New Roman" w:eastAsia="楷体"/>
        <w:b/>
        <w:bCs/>
        <w:color w:val="833C0B"/>
        <w:sz w:val="21"/>
      </w:rPr>
      <w:fldChar w:fldCharType="separate"/>
    </w:r>
    <w:r>
      <w:rPr>
        <w:rFonts w:hint="eastAsia" w:ascii="Times New Roman" w:hAnsi="Times New Roman" w:eastAsia="楷体"/>
        <w:b/>
        <w:bCs/>
        <w:color w:val="833C0B"/>
        <w:sz w:val="21"/>
      </w:rPr>
      <w:t>2022年12月27日星期二</w:t>
    </w:r>
    <w:r>
      <w:rPr>
        <w:rFonts w:ascii="Times New Roman" w:hAnsi="Times New Roman" w:eastAsia="楷体"/>
        <w:b/>
        <w:bCs/>
        <w:color w:val="833C0B"/>
        <w:sz w:val="21"/>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3B3306F0"/>
    <w:rsid w:val="0000534E"/>
    <w:rsid w:val="000058D8"/>
    <w:rsid w:val="00006269"/>
    <w:rsid w:val="00012A9A"/>
    <w:rsid w:val="00020E82"/>
    <w:rsid w:val="0005286B"/>
    <w:rsid w:val="00076420"/>
    <w:rsid w:val="000820C6"/>
    <w:rsid w:val="000D36DC"/>
    <w:rsid w:val="000E0C15"/>
    <w:rsid w:val="001B1904"/>
    <w:rsid w:val="001B2D4C"/>
    <w:rsid w:val="001B6394"/>
    <w:rsid w:val="001C77D0"/>
    <w:rsid w:val="001F5438"/>
    <w:rsid w:val="002074A1"/>
    <w:rsid w:val="002A0670"/>
    <w:rsid w:val="002B2257"/>
    <w:rsid w:val="002F075C"/>
    <w:rsid w:val="002F6AD1"/>
    <w:rsid w:val="00323550"/>
    <w:rsid w:val="00332F22"/>
    <w:rsid w:val="003416C2"/>
    <w:rsid w:val="00341727"/>
    <w:rsid w:val="003471F4"/>
    <w:rsid w:val="00375F0B"/>
    <w:rsid w:val="00376AF1"/>
    <w:rsid w:val="003A3DB4"/>
    <w:rsid w:val="003C5F91"/>
    <w:rsid w:val="003D3A9E"/>
    <w:rsid w:val="004230AC"/>
    <w:rsid w:val="00440FBE"/>
    <w:rsid w:val="00461147"/>
    <w:rsid w:val="00485A3F"/>
    <w:rsid w:val="004977A9"/>
    <w:rsid w:val="004A65B5"/>
    <w:rsid w:val="004E58A5"/>
    <w:rsid w:val="00541F3F"/>
    <w:rsid w:val="005818A8"/>
    <w:rsid w:val="00591B89"/>
    <w:rsid w:val="00593B03"/>
    <w:rsid w:val="00593F40"/>
    <w:rsid w:val="005B5BDF"/>
    <w:rsid w:val="005C05F7"/>
    <w:rsid w:val="005C05FA"/>
    <w:rsid w:val="005E1CE0"/>
    <w:rsid w:val="005F45A8"/>
    <w:rsid w:val="00610C41"/>
    <w:rsid w:val="00657B01"/>
    <w:rsid w:val="006B4A5D"/>
    <w:rsid w:val="006D21ED"/>
    <w:rsid w:val="00710028"/>
    <w:rsid w:val="0072164F"/>
    <w:rsid w:val="007253E7"/>
    <w:rsid w:val="007315D8"/>
    <w:rsid w:val="00743CFD"/>
    <w:rsid w:val="007A66FE"/>
    <w:rsid w:val="007D29EC"/>
    <w:rsid w:val="007D4BBD"/>
    <w:rsid w:val="007F1327"/>
    <w:rsid w:val="007F140C"/>
    <w:rsid w:val="00806F4A"/>
    <w:rsid w:val="00815011"/>
    <w:rsid w:val="00815817"/>
    <w:rsid w:val="00822591"/>
    <w:rsid w:val="00867CA5"/>
    <w:rsid w:val="00873ECE"/>
    <w:rsid w:val="0087785E"/>
    <w:rsid w:val="008A1D22"/>
    <w:rsid w:val="008B361D"/>
    <w:rsid w:val="008E2B15"/>
    <w:rsid w:val="00906E0C"/>
    <w:rsid w:val="00907943"/>
    <w:rsid w:val="00916E97"/>
    <w:rsid w:val="009316EC"/>
    <w:rsid w:val="009644D9"/>
    <w:rsid w:val="009870E4"/>
    <w:rsid w:val="009A12FA"/>
    <w:rsid w:val="009B591A"/>
    <w:rsid w:val="009D5253"/>
    <w:rsid w:val="009D64FE"/>
    <w:rsid w:val="009E4452"/>
    <w:rsid w:val="009F5C7B"/>
    <w:rsid w:val="00A63022"/>
    <w:rsid w:val="00A96E37"/>
    <w:rsid w:val="00A97444"/>
    <w:rsid w:val="00AA29E5"/>
    <w:rsid w:val="00AB0678"/>
    <w:rsid w:val="00AC7ECD"/>
    <w:rsid w:val="00AD009F"/>
    <w:rsid w:val="00B15418"/>
    <w:rsid w:val="00B443CE"/>
    <w:rsid w:val="00B53C56"/>
    <w:rsid w:val="00B618F8"/>
    <w:rsid w:val="00B72E2D"/>
    <w:rsid w:val="00B805BD"/>
    <w:rsid w:val="00BC71D6"/>
    <w:rsid w:val="00BF3137"/>
    <w:rsid w:val="00C240C3"/>
    <w:rsid w:val="00C66C6C"/>
    <w:rsid w:val="00C82E4D"/>
    <w:rsid w:val="00CB1F18"/>
    <w:rsid w:val="00CB3015"/>
    <w:rsid w:val="00CC3E40"/>
    <w:rsid w:val="00CD5DE8"/>
    <w:rsid w:val="00CE7903"/>
    <w:rsid w:val="00CF6C71"/>
    <w:rsid w:val="00D00D60"/>
    <w:rsid w:val="00D01A19"/>
    <w:rsid w:val="00D309C4"/>
    <w:rsid w:val="00D75630"/>
    <w:rsid w:val="00D87130"/>
    <w:rsid w:val="00DF56EC"/>
    <w:rsid w:val="00E020F2"/>
    <w:rsid w:val="00E12059"/>
    <w:rsid w:val="00E25D21"/>
    <w:rsid w:val="00E55B22"/>
    <w:rsid w:val="00E64502"/>
    <w:rsid w:val="00E928BB"/>
    <w:rsid w:val="00EB56F2"/>
    <w:rsid w:val="00F234BF"/>
    <w:rsid w:val="00F31CCA"/>
    <w:rsid w:val="00F43E0E"/>
    <w:rsid w:val="00F622ED"/>
    <w:rsid w:val="00F65EEA"/>
    <w:rsid w:val="00FB3956"/>
    <w:rsid w:val="09F160E3"/>
    <w:rsid w:val="0C1F7DEE"/>
    <w:rsid w:val="100732C8"/>
    <w:rsid w:val="10DA6205"/>
    <w:rsid w:val="129B2E20"/>
    <w:rsid w:val="12AA5DF8"/>
    <w:rsid w:val="15364A7C"/>
    <w:rsid w:val="15D52593"/>
    <w:rsid w:val="197E6634"/>
    <w:rsid w:val="1B8A2034"/>
    <w:rsid w:val="1BC72FF7"/>
    <w:rsid w:val="1D5030CD"/>
    <w:rsid w:val="2056595D"/>
    <w:rsid w:val="20AE4DE8"/>
    <w:rsid w:val="21996AC1"/>
    <w:rsid w:val="219F3EE2"/>
    <w:rsid w:val="24321B2E"/>
    <w:rsid w:val="247F3074"/>
    <w:rsid w:val="26F95364"/>
    <w:rsid w:val="2DC02C2B"/>
    <w:rsid w:val="2DE440F7"/>
    <w:rsid w:val="2FA70F17"/>
    <w:rsid w:val="340E7198"/>
    <w:rsid w:val="373F75CC"/>
    <w:rsid w:val="3AC9385E"/>
    <w:rsid w:val="3B3306F0"/>
    <w:rsid w:val="3B563B4D"/>
    <w:rsid w:val="3C2825B0"/>
    <w:rsid w:val="3C2B26B7"/>
    <w:rsid w:val="3D8B796D"/>
    <w:rsid w:val="3DA80A30"/>
    <w:rsid w:val="3EE0186C"/>
    <w:rsid w:val="441077D2"/>
    <w:rsid w:val="44396064"/>
    <w:rsid w:val="45A37566"/>
    <w:rsid w:val="45CF0A85"/>
    <w:rsid w:val="4D2A3925"/>
    <w:rsid w:val="4DB20386"/>
    <w:rsid w:val="5005695E"/>
    <w:rsid w:val="50286811"/>
    <w:rsid w:val="51266B84"/>
    <w:rsid w:val="548642E9"/>
    <w:rsid w:val="56DD4D3A"/>
    <w:rsid w:val="57CB522F"/>
    <w:rsid w:val="59C52328"/>
    <w:rsid w:val="5D5617A6"/>
    <w:rsid w:val="5EA7685B"/>
    <w:rsid w:val="62710E5F"/>
    <w:rsid w:val="64C32497"/>
    <w:rsid w:val="66D04BBC"/>
    <w:rsid w:val="685D4EEE"/>
    <w:rsid w:val="6ECB7DD2"/>
    <w:rsid w:val="713E0334"/>
    <w:rsid w:val="729B5F03"/>
    <w:rsid w:val="72F62A89"/>
    <w:rsid w:val="737357AF"/>
    <w:rsid w:val="778F5135"/>
    <w:rsid w:val="78E55995"/>
    <w:rsid w:val="7ABE4B56"/>
    <w:rsid w:val="7B3E56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1"/>
      <w:lang w:val="en-US" w:eastAsia="zh-CN" w:bidi="ar-SA"/>
    </w:rPr>
  </w:style>
  <w:style w:type="paragraph" w:styleId="2">
    <w:name w:val="heading 1"/>
    <w:basedOn w:val="1"/>
    <w:next w:val="1"/>
    <w:link w:val="16"/>
    <w:qFormat/>
    <w:uiPriority w:val="0"/>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toc 1"/>
    <w:basedOn w:val="1"/>
    <w:next w:val="1"/>
    <w:qFormat/>
    <w:uiPriority w:val="39"/>
  </w:style>
  <w:style w:type="paragraph" w:styleId="6">
    <w:name w:val="toc 2"/>
    <w:basedOn w:val="1"/>
    <w:next w:val="1"/>
    <w:qFormat/>
    <w:uiPriority w:val="39"/>
    <w:pPr>
      <w:ind w:left="420" w:leftChars="200"/>
    </w:pPr>
  </w:style>
  <w:style w:type="table" w:styleId="8">
    <w:name w:val="Table Grid"/>
    <w:basedOn w:val="7"/>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FollowedHyperlink"/>
    <w:basedOn w:val="9"/>
    <w:qFormat/>
    <w:uiPriority w:val="0"/>
    <w:rPr>
      <w:color w:val="954F72" w:themeColor="followedHyperlink"/>
      <w:u w:val="single"/>
      <w14:textFill>
        <w14:solidFill>
          <w14:schemeClr w14:val="folHlink"/>
        </w14:solidFill>
      </w14:textFill>
    </w:rPr>
  </w:style>
  <w:style w:type="character" w:styleId="11">
    <w:name w:val="Hyperlink"/>
    <w:basedOn w:val="9"/>
    <w:qFormat/>
    <w:uiPriority w:val="99"/>
    <w:rPr>
      <w:color w:val="0563C1" w:themeColor="hyperlink"/>
      <w:u w:val="single"/>
      <w14:textFill>
        <w14:solidFill>
          <w14:schemeClr w14:val="hlink"/>
        </w14:solidFill>
      </w14:textFill>
    </w:rPr>
  </w:style>
  <w:style w:type="paragraph" w:customStyle="1" w:styleId="12">
    <w:name w:val="paragraph"/>
    <w:basedOn w:val="1"/>
    <w:qFormat/>
    <w:uiPriority w:val="0"/>
    <w:pPr>
      <w:widowControl/>
      <w:spacing w:before="100" w:beforeAutospacing="1" w:after="100" w:afterAutospacing="1"/>
      <w:jc w:val="left"/>
    </w:pPr>
    <w:rPr>
      <w:rFonts w:ascii="宋体" w:hAnsi="宋体" w:cs="宋体"/>
      <w:kern w:val="0"/>
      <w:sz w:val="24"/>
      <w:szCs w:val="24"/>
    </w:rPr>
  </w:style>
  <w:style w:type="paragraph" w:styleId="13">
    <w:name w:val="List Paragraph"/>
    <w:basedOn w:val="1"/>
    <w:qFormat/>
    <w:uiPriority w:val="99"/>
    <w:pPr>
      <w:ind w:firstLine="420" w:firstLineChars="200"/>
    </w:pPr>
  </w:style>
  <w:style w:type="paragraph" w:customStyle="1" w:styleId="14">
    <w:name w:val="WPSOffice手动目录 1"/>
    <w:qFormat/>
    <w:uiPriority w:val="0"/>
    <w:rPr>
      <w:rFonts w:ascii="Times New Roman" w:hAnsi="Times New Roman" w:eastAsia="宋体" w:cs="Times New Roman"/>
      <w:lang w:val="en-US" w:eastAsia="zh-CN" w:bidi="ar-SA"/>
    </w:rPr>
  </w:style>
  <w:style w:type="paragraph" w:customStyle="1" w:styleId="15">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16">
    <w:name w:val="标题 1 字符"/>
    <w:basedOn w:val="9"/>
    <w:link w:val="2"/>
    <w:qFormat/>
    <w:uiPriority w:val="0"/>
    <w:rPr>
      <w:rFonts w:asciiTheme="minorHAnsi" w:hAnsiTheme="minorHAnsi" w:cstheme="minorBidi"/>
      <w:b/>
      <w:bCs/>
      <w:kern w:val="44"/>
      <w:sz w:val="44"/>
      <w:szCs w:val="44"/>
    </w:rPr>
  </w:style>
  <w:style w:type="paragraph" w:customStyle="1" w:styleId="17">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7B271F-CE5D-421B-9A46-E52BFC81BD46}">
  <ds:schemaRefs/>
</ds:datastoreItem>
</file>

<file path=docProps/app.xml><?xml version="1.0" encoding="utf-8"?>
<Properties xmlns="http://schemas.openxmlformats.org/officeDocument/2006/extended-properties" xmlns:vt="http://schemas.openxmlformats.org/officeDocument/2006/docPropsVTypes">
  <Template>Normal</Template>
  <Pages>8</Pages>
  <Words>6344</Words>
  <Characters>6919</Characters>
  <Lines>50</Lines>
  <Paragraphs>14</Paragraphs>
  <TotalTime>0</TotalTime>
  <ScaleCrop>false</ScaleCrop>
  <LinksUpToDate>false</LinksUpToDate>
  <CharactersWithSpaces>6947</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2022-11-15T10:06:00Z</dcterms:created>
  <dc:creator>yanjiusuo</dc:creator>
  <cp:lastModifiedBy>yang.jiahong</cp:lastModifiedBy>
  <cp:lastPrinted>2022-07-01T02:28:00Z</cp:lastPrinted>
  <dcterms:modified xsi:type="dcterms:W3CDTF">2022-12-27T02:01:03Z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2AD6C5347C844179B2458C2E14054CF3</vt:lpwstr>
  </property>
</Properties>
</file>