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_Toc24654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_Toc16146 </w:instrText>
          </w:r>
          <w:r>
            <w:rPr>
              <w:bCs/>
            </w:rPr>
            <w:fldChar w:fldCharType="separate"/>
          </w:r>
          <w:r>
            <w:rPr>
              <w:rFonts w:hint="eastAsia" w:ascii="Times New Roman" w:hAnsi="Times New Roman" w:eastAsia="楷体"/>
              <w:szCs w:val="24"/>
            </w:rPr>
            <w:t>股指：观望，待企稳后逢低多</w:t>
          </w:r>
          <w:r>
            <w:rPr>
              <w:bCs/>
            </w:rPr>
            <w:fldChar w:fldCharType="end"/>
          </w:r>
        </w:p>
        <w:p>
          <w:pPr>
            <w:pStyle w:val="5"/>
            <w:tabs>
              <w:tab w:val="right" w:leader="dot" w:pos="8306"/>
            </w:tabs>
          </w:pPr>
          <w:r>
            <w:rPr>
              <w:bCs/>
            </w:rPr>
            <w:fldChar w:fldCharType="begin"/>
          </w:r>
          <w:r>
            <w:rPr>
              <w:bCs/>
            </w:rPr>
            <w:instrText xml:space="preserve"> HYPERLINK \l _Toc636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_Toc205 </w:instrText>
          </w:r>
          <w:r>
            <w:rPr>
              <w:bCs/>
            </w:rPr>
            <w:fldChar w:fldCharType="separate"/>
          </w:r>
          <w:r>
            <w:rPr>
              <w:rFonts w:hint="eastAsia" w:ascii="Times New Roman" w:hAnsi="Times New Roman" w:eastAsia="楷体"/>
              <w:szCs w:val="24"/>
            </w:rPr>
            <w:t>贵金属：日本央行调整货币政策，贵金属价格大幅反弹</w:t>
          </w:r>
          <w:r>
            <w:rPr>
              <w:bCs/>
            </w:rPr>
            <w:fldChar w:fldCharType="end"/>
          </w:r>
        </w:p>
        <w:p>
          <w:pPr>
            <w:pStyle w:val="5"/>
            <w:tabs>
              <w:tab w:val="right" w:leader="dot" w:pos="8306"/>
            </w:tabs>
          </w:pPr>
          <w:r>
            <w:rPr>
              <w:bCs/>
            </w:rPr>
            <w:fldChar w:fldCharType="begin"/>
          </w:r>
          <w:r>
            <w:rPr>
              <w:bCs/>
            </w:rPr>
            <w:instrText xml:space="preserve"> HYPERLINK \l _Toc13601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_Toc12158 </w:instrText>
          </w:r>
          <w:r>
            <w:rPr>
              <w:bCs/>
            </w:rPr>
            <w:fldChar w:fldCharType="separate"/>
          </w:r>
          <w:r>
            <w:rPr>
              <w:rFonts w:hint="eastAsia" w:ascii="楷体" w:hAnsi="楷体" w:eastAsia="楷体"/>
              <w:szCs w:val="24"/>
            </w:rPr>
            <w:t>螺纹钢：窄幅震荡，等待市场选择方向，观望为主</w:t>
          </w:r>
          <w:r>
            <w:rPr>
              <w:bCs/>
            </w:rPr>
            <w:fldChar w:fldCharType="end"/>
          </w:r>
        </w:p>
        <w:p>
          <w:pPr>
            <w:pStyle w:val="6"/>
            <w:tabs>
              <w:tab w:val="right" w:leader="dot" w:pos="8306"/>
            </w:tabs>
          </w:pPr>
          <w:r>
            <w:rPr>
              <w:bCs/>
            </w:rPr>
            <w:fldChar w:fldCharType="begin"/>
          </w:r>
          <w:r>
            <w:rPr>
              <w:bCs/>
            </w:rPr>
            <w:instrText xml:space="preserve"> HYPERLINK \l _Toc19146 </w:instrText>
          </w:r>
          <w:r>
            <w:rPr>
              <w:bCs/>
            </w:rPr>
            <w:fldChar w:fldCharType="separate"/>
          </w:r>
          <w:r>
            <w:rPr>
              <w:rFonts w:hint="eastAsia" w:ascii="楷体" w:hAnsi="楷体" w:eastAsia="楷体"/>
              <w:szCs w:val="24"/>
            </w:rPr>
            <w:t>焦炭：窄幅震荡，关注支撑情况</w:t>
          </w:r>
          <w:r>
            <w:rPr>
              <w:bCs/>
            </w:rPr>
            <w:fldChar w:fldCharType="end"/>
          </w:r>
        </w:p>
        <w:p>
          <w:pPr>
            <w:pStyle w:val="6"/>
            <w:tabs>
              <w:tab w:val="right" w:leader="dot" w:pos="8306"/>
            </w:tabs>
          </w:pPr>
          <w:r>
            <w:rPr>
              <w:bCs/>
            </w:rPr>
            <w:fldChar w:fldCharType="begin"/>
          </w:r>
          <w:r>
            <w:rPr>
              <w:bCs/>
            </w:rPr>
            <w:instrText xml:space="preserve"> HYPERLINK \l _Toc10348 </w:instrText>
          </w:r>
          <w:r>
            <w:rPr>
              <w:bCs/>
            </w:rPr>
            <w:fldChar w:fldCharType="separate"/>
          </w:r>
          <w:r>
            <w:rPr>
              <w:rFonts w:hint="eastAsia" w:ascii="楷体" w:hAnsi="楷体" w:eastAsia="楷体"/>
              <w:szCs w:val="24"/>
            </w:rPr>
            <w:t>焦煤：窄幅震荡，关注新的驱动</w:t>
          </w:r>
          <w:r>
            <w:rPr>
              <w:bCs/>
            </w:rPr>
            <w:fldChar w:fldCharType="end"/>
          </w:r>
        </w:p>
        <w:p>
          <w:pPr>
            <w:pStyle w:val="6"/>
            <w:tabs>
              <w:tab w:val="right" w:leader="dot" w:pos="8306"/>
            </w:tabs>
          </w:pPr>
          <w:r>
            <w:rPr>
              <w:bCs/>
            </w:rPr>
            <w:fldChar w:fldCharType="begin"/>
          </w:r>
          <w:r>
            <w:rPr>
              <w:bCs/>
            </w:rPr>
            <w:instrText xml:space="preserve"> HYPERLINK \l _Toc21736 </w:instrText>
          </w:r>
          <w:r>
            <w:rPr>
              <w:bCs/>
            </w:rPr>
            <w:fldChar w:fldCharType="separate"/>
          </w:r>
          <w:r>
            <w:rPr>
              <w:rFonts w:hint="eastAsia" w:ascii="楷体" w:hAnsi="楷体" w:eastAsia="楷体"/>
              <w:szCs w:val="24"/>
            </w:rPr>
            <w:t>铜：短期维持区间震荡运行</w:t>
          </w:r>
          <w:r>
            <w:rPr>
              <w:bCs/>
            </w:rPr>
            <w:fldChar w:fldCharType="end"/>
          </w:r>
        </w:p>
        <w:p>
          <w:pPr>
            <w:pStyle w:val="6"/>
            <w:tabs>
              <w:tab w:val="right" w:leader="dot" w:pos="8306"/>
            </w:tabs>
          </w:pPr>
          <w:r>
            <w:rPr>
              <w:bCs/>
            </w:rPr>
            <w:fldChar w:fldCharType="begin"/>
          </w:r>
          <w:r>
            <w:rPr>
              <w:bCs/>
            </w:rPr>
            <w:instrText xml:space="preserve"> HYPERLINK \l _Toc17275 </w:instrText>
          </w:r>
          <w:r>
            <w:rPr>
              <w:bCs/>
            </w:rPr>
            <w:fldChar w:fldCharType="separate"/>
          </w:r>
          <w:r>
            <w:rPr>
              <w:rFonts w:hint="eastAsia" w:ascii="楷体" w:hAnsi="楷体" w:eastAsia="楷体"/>
              <w:szCs w:val="24"/>
            </w:rPr>
            <w:t>铝：多空扰动价格震荡，关注库存变化情况</w:t>
          </w:r>
          <w:r>
            <w:rPr>
              <w:bCs/>
            </w:rPr>
            <w:fldChar w:fldCharType="end"/>
          </w:r>
        </w:p>
        <w:p>
          <w:pPr>
            <w:pStyle w:val="6"/>
            <w:tabs>
              <w:tab w:val="right" w:leader="dot" w:pos="8306"/>
            </w:tabs>
          </w:pPr>
          <w:r>
            <w:rPr>
              <w:bCs/>
            </w:rPr>
            <w:fldChar w:fldCharType="begin"/>
          </w:r>
          <w:r>
            <w:rPr>
              <w:bCs/>
            </w:rPr>
            <w:instrText xml:space="preserve"> HYPERLINK \l _Toc3871 </w:instrText>
          </w:r>
          <w:r>
            <w:rPr>
              <w:bCs/>
            </w:rPr>
            <w:fldChar w:fldCharType="separate"/>
          </w:r>
          <w:r>
            <w:rPr>
              <w:rFonts w:hint="eastAsia" w:ascii="楷体" w:hAnsi="楷体" w:eastAsia="楷体"/>
              <w:szCs w:val="24"/>
            </w:rPr>
            <w:t>锌：前期利好释放充分，等待需求驱动</w:t>
          </w:r>
          <w:r>
            <w:rPr>
              <w:bCs/>
            </w:rPr>
            <w:fldChar w:fldCharType="end"/>
          </w:r>
        </w:p>
        <w:p>
          <w:pPr>
            <w:pStyle w:val="6"/>
            <w:tabs>
              <w:tab w:val="right" w:leader="dot" w:pos="8306"/>
            </w:tabs>
          </w:pPr>
          <w:r>
            <w:rPr>
              <w:bCs/>
            </w:rPr>
            <w:fldChar w:fldCharType="begin"/>
          </w:r>
          <w:r>
            <w:rPr>
              <w:bCs/>
            </w:rPr>
            <w:instrText xml:space="preserve"> HYPERLINK \l _Toc19401 </w:instrText>
          </w:r>
          <w:r>
            <w:rPr>
              <w:bCs/>
            </w:rPr>
            <w:fldChar w:fldCharType="separate"/>
          </w:r>
          <w:r>
            <w:rPr>
              <w:rFonts w:hint="eastAsia" w:ascii="楷体" w:hAnsi="楷体" w:eastAsia="楷体"/>
              <w:szCs w:val="24"/>
            </w:rPr>
            <w:t>工业硅：西南地区成本支撑，硅价趋稳运行</w:t>
          </w:r>
          <w:r>
            <w:rPr>
              <w:bCs/>
            </w:rPr>
            <w:fldChar w:fldCharType="end"/>
          </w:r>
        </w:p>
        <w:p>
          <w:pPr>
            <w:pStyle w:val="5"/>
            <w:tabs>
              <w:tab w:val="right" w:leader="dot" w:pos="8306"/>
            </w:tabs>
          </w:pPr>
          <w:r>
            <w:rPr>
              <w:bCs/>
            </w:rPr>
            <w:fldChar w:fldCharType="begin"/>
          </w:r>
          <w:r>
            <w:rPr>
              <w:bCs/>
            </w:rPr>
            <w:instrText xml:space="preserve"> HYPERLINK \l _Toc17912 </w:instrText>
          </w:r>
          <w:r>
            <w:rPr>
              <w:bCs/>
            </w:rPr>
            <w:fldChar w:fldCharType="separate"/>
          </w:r>
          <w:r>
            <w:rPr>
              <w:rFonts w:hint="eastAsia" w:ascii="Times New Roman" w:hAnsi="Times New Roman" w:eastAsia="楷体"/>
              <w:szCs w:val="30"/>
            </w:rPr>
            <w:t>[化工]</w:t>
          </w:r>
          <w:r>
            <w:rPr>
              <w:bCs/>
            </w:rPr>
            <w:fldChar w:fldCharType="end"/>
          </w:r>
          <w:bookmarkStart w:id="45" w:name="_GoBack"/>
          <w:bookmarkEnd w:id="45"/>
        </w:p>
        <w:p>
          <w:pPr>
            <w:pStyle w:val="6"/>
            <w:tabs>
              <w:tab w:val="right" w:leader="dot" w:pos="8306"/>
            </w:tabs>
          </w:pPr>
          <w:r>
            <w:rPr>
              <w:bCs/>
            </w:rPr>
            <w:fldChar w:fldCharType="begin"/>
          </w:r>
          <w:r>
            <w:rPr>
              <w:bCs/>
            </w:rPr>
            <w:instrText xml:space="preserve"> HYPERLINK \l _Toc23064 </w:instrText>
          </w:r>
          <w:r>
            <w:rPr>
              <w:bCs/>
            </w:rPr>
            <w:fldChar w:fldCharType="separate"/>
          </w:r>
          <w:r>
            <w:rPr>
              <w:rFonts w:hint="eastAsia" w:ascii="Times New Roman" w:hAnsi="Times New Roman" w:eastAsia="楷体"/>
              <w:szCs w:val="24"/>
            </w:rPr>
            <w:t>乙二醇：成本端走弱叠加供增需减  建议轻仓空单持有</w:t>
          </w:r>
          <w:r>
            <w:rPr>
              <w:bCs/>
            </w:rPr>
            <w:fldChar w:fldCharType="end"/>
          </w:r>
        </w:p>
        <w:p>
          <w:pPr>
            <w:pStyle w:val="6"/>
            <w:tabs>
              <w:tab w:val="right" w:leader="dot" w:pos="8306"/>
            </w:tabs>
          </w:pPr>
          <w:r>
            <w:rPr>
              <w:bCs/>
            </w:rPr>
            <w:fldChar w:fldCharType="begin"/>
          </w:r>
          <w:r>
            <w:rPr>
              <w:bCs/>
            </w:rPr>
            <w:instrText xml:space="preserve"> HYPERLINK \l _Toc7197 </w:instrText>
          </w:r>
          <w:r>
            <w:rPr>
              <w:bCs/>
            </w:rPr>
            <w:fldChar w:fldCharType="separate"/>
          </w:r>
          <w:r>
            <w:rPr>
              <w:rFonts w:ascii="楷体" w:hAnsi="楷体" w:eastAsia="楷体"/>
              <w:szCs w:val="24"/>
            </w:rPr>
            <w:t>PTA</w:t>
          </w:r>
          <w:r>
            <w:rPr>
              <w:rFonts w:hint="eastAsia" w:ascii="楷体" w:hAnsi="楷体" w:eastAsia="楷体"/>
              <w:szCs w:val="24"/>
            </w:rPr>
            <w:t>：下游即将迎来放假  供需双减建议观望</w:t>
          </w:r>
          <w:r>
            <w:rPr>
              <w:bCs/>
            </w:rPr>
            <w:fldChar w:fldCharType="end"/>
          </w:r>
        </w:p>
        <w:p>
          <w:pPr>
            <w:pStyle w:val="6"/>
            <w:tabs>
              <w:tab w:val="right" w:leader="dot" w:pos="8306"/>
            </w:tabs>
          </w:pPr>
          <w:r>
            <w:rPr>
              <w:bCs/>
            </w:rPr>
            <w:fldChar w:fldCharType="begin"/>
          </w:r>
          <w:r>
            <w:rPr>
              <w:bCs/>
            </w:rPr>
            <w:instrText xml:space="preserve"> HYPERLINK \l _Toc1940 </w:instrText>
          </w:r>
          <w:r>
            <w:rPr>
              <w:bCs/>
            </w:rPr>
            <w:fldChar w:fldCharType="separate"/>
          </w:r>
          <w:r>
            <w:rPr>
              <w:rFonts w:hint="eastAsia" w:ascii="Times New Roman" w:hAnsi="Times New Roman" w:eastAsia="楷体"/>
              <w:szCs w:val="24"/>
            </w:rPr>
            <w:t>聚烯烃:供需矛盾改善不佳下，聚烯烃或窄幅整理</w:t>
          </w:r>
          <w:r>
            <w:rPr>
              <w:bCs/>
            </w:rPr>
            <w:fldChar w:fldCharType="end"/>
          </w:r>
        </w:p>
        <w:p>
          <w:pPr>
            <w:pStyle w:val="5"/>
            <w:tabs>
              <w:tab w:val="right" w:leader="dot" w:pos="8306"/>
            </w:tabs>
          </w:pPr>
          <w:r>
            <w:rPr>
              <w:bCs/>
            </w:rPr>
            <w:fldChar w:fldCharType="begin"/>
          </w:r>
          <w:r>
            <w:rPr>
              <w:bCs/>
            </w:rPr>
            <w:instrText xml:space="preserve"> HYPERLINK \l _Toc27277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_Toc25526 </w:instrText>
          </w:r>
          <w:r>
            <w:rPr>
              <w:bCs/>
            </w:rPr>
            <w:fldChar w:fldCharType="separate"/>
          </w:r>
          <w:r>
            <w:rPr>
              <w:rFonts w:hint="eastAsia" w:ascii="楷体" w:hAnsi="楷体" w:eastAsia="楷体"/>
              <w:szCs w:val="24"/>
            </w:rPr>
            <w:t>豆粕：延续近强远弱，短期低多参与</w:t>
          </w:r>
          <w:r>
            <w:rPr>
              <w:bCs/>
            </w:rPr>
            <w:fldChar w:fldCharType="end"/>
          </w:r>
        </w:p>
        <w:p>
          <w:pPr>
            <w:pStyle w:val="6"/>
            <w:tabs>
              <w:tab w:val="right" w:leader="dot" w:pos="8306"/>
            </w:tabs>
          </w:pPr>
          <w:r>
            <w:rPr>
              <w:bCs/>
            </w:rPr>
            <w:fldChar w:fldCharType="begin"/>
          </w:r>
          <w:r>
            <w:rPr>
              <w:bCs/>
            </w:rPr>
            <w:instrText xml:space="preserve"> HYPERLINK \l _Toc7024 </w:instrText>
          </w:r>
          <w:r>
            <w:rPr>
              <w:bCs/>
            </w:rPr>
            <w:fldChar w:fldCharType="separate"/>
          </w:r>
          <w:r>
            <w:rPr>
              <w:rFonts w:hint="eastAsia" w:ascii="楷体" w:hAnsi="楷体" w:eastAsia="楷体"/>
              <w:szCs w:val="24"/>
            </w:rPr>
            <w:t>油脂：需求疲软，走势预计偏弱</w:t>
          </w:r>
          <w:r>
            <w:rPr>
              <w:bCs/>
            </w:rPr>
            <w:fldChar w:fldCharType="end"/>
          </w:r>
        </w:p>
        <w:p>
          <w:pPr>
            <w:pStyle w:val="6"/>
            <w:tabs>
              <w:tab w:val="right" w:leader="dot" w:pos="8306"/>
            </w:tabs>
          </w:pPr>
          <w:r>
            <w:rPr>
              <w:bCs/>
            </w:rPr>
            <w:fldChar w:fldCharType="begin"/>
          </w:r>
          <w:r>
            <w:rPr>
              <w:bCs/>
            </w:rPr>
            <w:instrText xml:space="preserve"> HYPERLINK \l _Toc11859 </w:instrText>
          </w:r>
          <w:r>
            <w:rPr>
              <w:bCs/>
            </w:rPr>
            <w:fldChar w:fldCharType="separate"/>
          </w:r>
          <w:r>
            <w:rPr>
              <w:rFonts w:hint="eastAsia" w:ascii="楷体" w:hAnsi="楷体" w:eastAsia="楷体"/>
              <w:bCs/>
            </w:rPr>
            <w:t>玉米与淀粉：</w:t>
          </w:r>
          <w:r>
            <w:rPr>
              <w:rFonts w:hint="eastAsia" w:ascii="楷体" w:hAnsi="楷体" w:eastAsia="楷体"/>
            </w:rPr>
            <w:t>期价继续下跌</w:t>
          </w:r>
          <w:r>
            <w:rPr>
              <w:bCs/>
            </w:rPr>
            <w:fldChar w:fldCharType="end"/>
          </w:r>
        </w:p>
        <w:p>
          <w:pPr>
            <w:pStyle w:val="6"/>
            <w:tabs>
              <w:tab w:val="right" w:leader="dot" w:pos="8306"/>
            </w:tabs>
          </w:pPr>
          <w:r>
            <w:rPr>
              <w:bCs/>
            </w:rPr>
            <w:fldChar w:fldCharType="begin"/>
          </w:r>
          <w:r>
            <w:rPr>
              <w:bCs/>
            </w:rPr>
            <w:instrText xml:space="preserve"> HYPERLINK \l _Toc7273 </w:instrText>
          </w:r>
          <w:r>
            <w:rPr>
              <w:bCs/>
            </w:rPr>
            <w:fldChar w:fldCharType="separate"/>
          </w:r>
          <w:r>
            <w:rPr>
              <w:rFonts w:hint="eastAsia" w:ascii="楷体" w:hAnsi="楷体" w:eastAsia="楷体"/>
              <w:bCs/>
            </w:rPr>
            <w:t>畜禽养殖：生猪期价继续严重分化</w:t>
          </w:r>
          <w:r>
            <w:rPr>
              <w:bCs/>
            </w:rPr>
            <w:fldChar w:fldCharType="end"/>
          </w:r>
        </w:p>
        <w:p>
          <w:pPr>
            <w:pStyle w:val="6"/>
            <w:tabs>
              <w:tab w:val="right" w:leader="dot" w:pos="8306"/>
            </w:tabs>
          </w:pPr>
          <w:r>
            <w:rPr>
              <w:bCs/>
            </w:rPr>
            <w:fldChar w:fldCharType="begin"/>
          </w:r>
          <w:r>
            <w:rPr>
              <w:bCs/>
            </w:rPr>
            <w:instrText xml:space="preserve"> HYPERLINK \l _Toc7962 </w:instrText>
          </w:r>
          <w:r>
            <w:rPr>
              <w:bCs/>
            </w:rPr>
            <w:fldChar w:fldCharType="separate"/>
          </w:r>
          <w:r>
            <w:rPr>
              <w:rFonts w:hint="eastAsia" w:ascii="楷体" w:hAnsi="楷体" w:eastAsia="楷体"/>
              <w:szCs w:val="24"/>
            </w:rPr>
            <w:t>郑棉：国际商品整体走强，美棉再度涨停</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4654"/>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614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观望，待企稳后逢低多</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日本央行宣布，将调整收益率曲线控制（YCC）政策目标，10年期日债收益率上限由0.25%上调至0.50%，诱发大盘加速下跌，但扰动偏短期，并不是A股核心矛盾。事实上，当前盘面症结在于，弱现实环境下，疫情影响经济生产活动且LPR利率并未下调，市场对于后续政策加码的预期消退。技术上，经连续杀跌后，昨日大盘回补缺口，量能急剧萎缩，形成超卖态势，存在反弹需求，短线或围绕3100点震荡运行，建议观望，待企稳后逢低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636"/>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205"/>
      <w:r>
        <w:rPr>
          <w:rFonts w:hint="eastAsia" w:ascii="Times New Roman" w:hAnsi="Times New Roman" w:eastAsia="楷体"/>
          <w:b/>
          <w:color w:val="000000" w:themeColor="text1"/>
          <w:sz w:val="24"/>
          <w:szCs w:val="24"/>
          <w14:textFill>
            <w14:solidFill>
              <w14:schemeClr w14:val="tx1"/>
            </w14:solidFill>
          </w14:textFill>
        </w:rPr>
        <w:t>贵金属：日本央行调整货币政策，贵金属价格大幅反弹</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日央行12月议息决议宣布对此前宽松的货币政策进行调整，允许十年期国债收益率升至0.5%左右，事实上相当于进行了加息操作。受此影响非美货币多数上涨，美元指数走弱。欧央行管委穆勒讲话称，未来几次会议不会放缓加息步伐，预计欧元区衰退将较为轻微，明年下半年进入复苏阶段。近期市场对美国经济增长的预期较为悲观，欧美股市下跌提振避险资产表现，隔夜沪金、沪银大幅反弹，操作建议短线可逢低做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_Toc20891"/>
      <w:bookmarkStart w:id="11" w:name="金属"/>
      <w:bookmarkStart w:id="12" w:name="_Toc13601"/>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2158"/>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14:textFill>
            <w14:solidFill>
              <w14:schemeClr w14:val="tx1"/>
            </w14:solidFill>
          </w14:textFill>
        </w:rPr>
        <w:t>窄幅震荡，等待市场选择方向，观望为主</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会议未有关于地产的超预期表述下，前期过于乐观情绪有所调整。短期现货低库存高成本及宏观偏暖情况下，较难看到大跌的矛盾。钢价短期大幅度回调后，预计窄幅震荡，等待市场选择方向，关注（3880,3900）的一带的支撑。</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19146"/>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窄幅震荡，关注支撑情况</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补库尾声，现货继续上涨驱动较弱。焦炭05估值调整后，已贴水现货3-4轮，短期内或有所支撑，等待市场继续选择方向。关注（2600,2630）一带支撑情况，等待新的驱动。</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034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窄幅震荡，关注新的驱动</w:t>
      </w:r>
      <w:bookmarkEnd w:id="20"/>
    </w:p>
    <w:p>
      <w:pPr>
        <w:ind w:left="630" w:leftChars="300"/>
        <w:rPr>
          <w:rFonts w:ascii="楷体" w:hAnsi="楷体" w:eastAsia="楷体"/>
          <w:bCs/>
          <w:sz w:val="24"/>
          <w:szCs w:val="24"/>
        </w:rPr>
      </w:pPr>
      <w:r>
        <w:rPr>
          <w:rFonts w:hint="eastAsia" w:ascii="楷体" w:hAnsi="楷体" w:eastAsia="楷体"/>
          <w:sz w:val="24"/>
          <w:szCs w:val="24"/>
        </w:rPr>
        <w:t>前期市场对利多定价较为充分，会议未有关于地产的超预期表述下，前期过于乐观情绪有所调整。周三澳大利亚外交部部长来华访问，澳煤放开的担忧下偏弱运行，关注焦煤05合约在（1800,1830）区间支撑情况。</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1736"/>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短期维持区间震荡运行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(1)库存：12月20日，SHFE仓单库存27943吨，减2277吨。LME仓单库存82600吨，减975吨。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(2)精废价差：12月20日，Mysteel精废价差1561，收窄208。目前价差在合理价差1356之上。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高通胀高利率环境对整体需求依旧形成冲击，这将继续限制短中期铜价反弹空间。在国内疫情防控政策转向的情况下，疫情的中长期冲击正在迅速转变为短期冲击，铜价承压运行，但短期低库存仍提供底部支撑。预计短期沪铜主力期价波动于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17275"/>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多空扰动价格震荡，关注库存变化情况</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再度走弱，隔夜大宗市场情绪走高。国内疫情走入放开阶段，多地疫情感染率持续上升，对国内经济消费产生较大压力，中央经济工作会议表示明年的经济工作要从改善预期、提振信心入手，未来将延续政策宽松。铝产产能逐步缓慢恢复，产量逐步走升，需求受到消费淡季及疫情影响，铝加工冶炼开工率走弱，下游企业仍以刚需为主，海内外铝库存低库，沪铝及国内社会库存出现小幅累库，市场有累库预期对盘面价格走势有抑制效应。基本面供修需疲，多空因素交织下，铝价区间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3871"/>
      <w:r>
        <w:rPr>
          <w:rFonts w:hint="eastAsia" w:ascii="楷体" w:hAnsi="楷体" w:eastAsia="楷体"/>
          <w:b/>
          <w:color w:val="000000" w:themeColor="text1"/>
          <w:sz w:val="24"/>
          <w:szCs w:val="24"/>
          <w14:textFill>
            <w14:solidFill>
              <w14:schemeClr w14:val="tx1"/>
            </w14:solidFill>
          </w14:textFill>
        </w:rPr>
        <w:t>锌：前期利好释放充分，等待需求驱动</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20日沪锌隔夜收盘价格23550元/吨，涨幅0.23%，上海有色网0#锌锭（Zn99.995）现货报价23730元/吨，较上一统计日报价下跌520元/吨。</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风险加剧，市场仍存担忧预期，美元再度走弱，市场情绪波动向上。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呢较小，锌价重心下移，短期价格震荡为主。</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8" w:name="_Toc1940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西南地区成本支撑，硅价趋稳运行</w:t>
      </w:r>
      <w:bookmarkEnd w:id="28"/>
    </w:p>
    <w:p>
      <w:pPr>
        <w:ind w:left="630" w:leftChars="300"/>
        <w:rPr>
          <w:rFonts w:ascii="楷体" w:hAnsi="楷体" w:eastAsia="楷体"/>
          <w:sz w:val="24"/>
          <w:szCs w:val="24"/>
        </w:rPr>
      </w:pPr>
      <w:r>
        <w:rPr>
          <w:rFonts w:hint="eastAsia" w:ascii="楷体" w:hAnsi="楷体" w:eastAsia="楷体"/>
          <w:sz w:val="24"/>
          <w:szCs w:val="24"/>
        </w:rPr>
        <w:t>12月20日，华东地区553（通氧）18950元/吨，较上个统计日持平，由于西南地区季节性减产叠加下游需求低迷，整体呈供需双弱，市场成交较为清淡。近期硅价下跌幅度不断收窄，在西南地区枯水期成本支撑下，预计硅价将趋稳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791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23064"/>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成本端走弱叠加供增需减  建议轻仓空单持有</w:t>
      </w:r>
      <w:bookmarkEnd w:id="31"/>
    </w:p>
    <w:p>
      <w:pPr>
        <w:ind w:left="630" w:leftChars="300"/>
        <w:rPr>
          <w:rFonts w:ascii="楷体" w:hAnsi="楷体" w:eastAsia="楷体"/>
          <w:sz w:val="24"/>
          <w:szCs w:val="24"/>
        </w:rPr>
      </w:pPr>
      <w:r>
        <w:rPr>
          <w:rFonts w:hint="eastAsia" w:ascii="楷体" w:hAnsi="楷体" w:eastAsia="楷体"/>
          <w:sz w:val="24"/>
          <w:szCs w:val="24"/>
        </w:rPr>
        <w:t>截止11.21华东主港地区MEG港口库存约85.0万吨附近，环比上期减少1.4万吨。供需情况，截至11月24日，中国大陆地区乙二醇整体开工负荷在55.01%（-0.13%），其中煤制乙二醇开工负荷在32.43%，环比持平，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11.24，江浙加弹开工率55%（-2%）、江浙织机开工率46%（-3%）、浙江印染开工率50%（0+）。预估进入12月份以后下游放年假的现象会进一步增多。综合来看，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719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供需双减建议观望</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供需方面，中国大陆装置变动：亚东重启，但独山能源，逸盛海南等PTA装置下调负荷，能投计划外停车，至12.15 PTA负荷降至63.7%（-2.8%）。新装置方面山东威联PTA装置一条线投料，昨晚已出合格品。聚酯方面，本周期聚酯装置有轮动检修和开启，综合聚酯负荷继续下滑。截至12.15，初步核算国内大陆地区聚酯负荷在68.1%，涤纶长丝基本面阶段性出现明显改善的情况下，涤纶长丝短期减产动作或会放缓，后续负荷将跟随下游开机率调整。终端方面，随着防疫政策放开及天气转冷，本周期江浙终端开工继续提升，江浙终端工厂原料备货继续追加，终端赶尾单生产集中，坯布库存持续下降。但四季度通常也是聚酯淡季，行情回暖预估不会影响厂家放假休息。PX和PTA新产能投放预期下，12月起PX进入到大幅度累库时期，加工费预计将进一步压缩。行业实质性需求恢复仍需要缓冲期，聚酯降负及放假临近，PTA供需累库预期仍存。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Times New Roman" w:hAnsi="Times New Roman" w:eastAsia="楷体"/>
          <w:b/>
          <w:sz w:val="24"/>
          <w:szCs w:val="24"/>
        </w:rPr>
      </w:pPr>
      <w:bookmarkStart w:id="33" w:name="_Toc1940"/>
      <w:r>
        <w:rPr>
          <w:rFonts w:hint="eastAsia" w:ascii="Times New Roman" w:hAnsi="Times New Roman" w:eastAsia="楷体"/>
          <w:b/>
          <w:color w:val="000000" w:themeColor="text1"/>
          <w:sz w:val="24"/>
          <w:szCs w:val="24"/>
          <w14:textFill>
            <w14:solidFill>
              <w14:schemeClr w14:val="tx1"/>
            </w14:solidFill>
          </w14:textFill>
        </w:rPr>
        <w:t>聚烯烃:供需矛盾改善不佳下，聚烯烃或窄幅整理</w:t>
      </w:r>
      <w:bookmarkEnd w:id="33"/>
    </w:p>
    <w:p>
      <w:pPr>
        <w:ind w:left="630" w:leftChars="300"/>
        <w:rPr>
          <w:rFonts w:ascii="楷体" w:hAnsi="楷体" w:eastAsia="楷体"/>
          <w:sz w:val="24"/>
          <w:szCs w:val="24"/>
        </w:rPr>
      </w:pPr>
      <w:r>
        <w:rPr>
          <w:rFonts w:hint="eastAsia" w:ascii="楷体" w:hAnsi="楷体" w:eastAsia="楷体"/>
          <w:sz w:val="24"/>
          <w:szCs w:val="24"/>
        </w:rPr>
        <w:t>近期聚烯烃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投资者评估能源需求长期前景，美国将补充石油战略储备，欧美原油期货收盘走高，目前油制PE利润大约为5.76元/吨，油制PP利润大约为-1213.65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价格偏一般，对聚烯烃支撑较俄乌战争初期仍有明显减弱，同时下游需求多以刚性补库为主，需求较弱，难以大幅放量，供需矛盾变化不大下，预计今日聚烯烃窄幅回落。此前关于宏观利好的炒作情绪一定程度上支撑市场价格，但持续性不会过长，短期暂时维持小幅调整，中长期依旧有下行风险。12月PE、PP仍有多套装置等待投产，叠加进口套利窗口打开，供应压力不减。塑料供需趋弱累库下高空思路不变，上行空间有限。预计在成本波动、下游未有改善下聚烯烃将窄幅整理，短期PP 7800左右支撑较强和PE 8150压力位左右支撑较强。仅供参考。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7277"/>
      <w:r>
        <w:rPr>
          <w:rFonts w:hint="eastAsia" w:ascii="Times New Roman" w:hAnsi="Times New Roman" w:eastAsia="楷体"/>
          <w:b/>
          <w:color w:val="823C0B"/>
          <w:sz w:val="30"/>
          <w:szCs w:val="30"/>
        </w:rPr>
        <w:t>[农产品]</w:t>
      </w:r>
      <w:bookmarkEnd w:id="13"/>
      <w:bookmarkEnd w:id="34"/>
    </w:p>
    <w:p>
      <w:pPr>
        <w:ind w:left="420" w:leftChars="200"/>
        <w:outlineLvl w:val="1"/>
        <w:rPr>
          <w:rFonts w:hint="eastAsia" w:ascii="楷体" w:hAnsi="楷体" w:eastAsia="楷体"/>
          <w:b/>
          <w:sz w:val="24"/>
          <w:szCs w:val="24"/>
        </w:rPr>
      </w:pPr>
      <w:bookmarkStart w:id="35" w:name="_Toc2552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延续近强远弱，短期低多参与</w:t>
      </w:r>
      <w:bookmarkEnd w:id="35"/>
    </w:p>
    <w:p>
      <w:pPr>
        <w:ind w:left="630" w:leftChars="300"/>
        <w:rPr>
          <w:rFonts w:ascii="楷体" w:hAnsi="楷体" w:eastAsia="楷体"/>
          <w:sz w:val="24"/>
          <w:szCs w:val="24"/>
        </w:rPr>
      </w:pPr>
      <w:r>
        <w:rPr>
          <w:rFonts w:hint="eastAsia" w:ascii="楷体" w:hAnsi="楷体" w:eastAsia="楷体"/>
          <w:sz w:val="24"/>
          <w:szCs w:val="24"/>
        </w:rPr>
        <w:t>外盘方面，美豆表现依然较强，阿根廷虽上周迎来降雨，但仍无法缓解长期干旱对作物的影响，天气升水仍有支撑。国内市场，11月进口大豆到港因密西西比河水位降低而延迟，预计12月份到港增加，当前大豆港口库存累库速度也有所加快。大部分油厂恢复开工，开机及压榨持续维持高位，豆粕库存拐点显现，逐步进入累库阶段。下游养殖利润近期大幅下滑，因冬季腌腊需求生猪大量出栏，饲企和养殖企业等采购需求减弱。短期临近交割月资金移仓换月盘面有所回落，但期现回归仍会对近月构成支撑，若未明显利空行情下，预计豆粕仍将维持高位震荡，当前05合约仍延续01的逻辑，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702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需求疲软，走势预计偏弱</w:t>
      </w:r>
      <w:bookmarkEnd w:id="36"/>
    </w:p>
    <w:p>
      <w:pPr>
        <w:ind w:left="630" w:leftChars="300"/>
        <w:rPr>
          <w:rFonts w:ascii="楷体" w:hAnsi="楷体" w:eastAsia="楷体"/>
          <w:sz w:val="24"/>
          <w:szCs w:val="24"/>
        </w:rPr>
      </w:pPr>
      <w:r>
        <w:rPr>
          <w:rFonts w:hint="eastAsia" w:ascii="楷体" w:hAnsi="楷体" w:eastAsia="楷体"/>
          <w:sz w:val="24"/>
          <w:szCs w:val="24"/>
        </w:rPr>
        <w:t>外盘油脂以及国际原油价格在宏观氛围偏空影响下走势持续偏弱。棕榈油支撑主要来自产地减产预期以及印尼生柴政策利好。数据显示12月1-15日马棕单产减少6%，出油率减少0.14%，产量减少6.73%。而国内棕榈油供应较宽松，需求方面在冬季消费淡季下增量有限，棕榈油库存预计在12月底逐步见顶，短期上方压力较大。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进口加籽到港量逐步增加，菜籽累库进度加快。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1185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期价继续下跌</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关注现货和基差支撑。考虑到国内中下游节前备货需求带来期价阶段性调整的可能性，建议激进投资者前期玉米或淀粉空单继续持有，谨慎投资者可考虑获利离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继续收窄，主要源于副产品端、成本端与供需端的三个方面的原因，其中主导原因或在于供需端，即行业开机率回升，而下游需求引发市场担忧。但值得一提的是，目前价差已经逼近前期低点，而副产品价格逐步回落，带动期现货生产利润下滑，或有利于后期行业供需改善。在这种情况下，淀粉-玉米价差套利暂建议观望，激进投资者可以轻仓布局做多价差。</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7273"/>
      <w:r>
        <w:rPr>
          <w:rFonts w:hint="eastAsia" w:ascii="楷体" w:hAnsi="楷体" w:eastAsia="楷体"/>
          <w:b/>
          <w:bCs/>
          <w:color w:val="000000" w:themeColor="text1"/>
          <w14:textFill>
            <w14:solidFill>
              <w14:schemeClr w14:val="tx1"/>
            </w14:solidFill>
          </w14:textFill>
        </w:rPr>
        <w:t>畜禽养殖：生猪期价继续严重分化</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期价近弱远强带动期价结构持续转变，低点从之前的7月合约前移至3月，之后合约较3月合约均出现小幅升水，主要源于12月以来现货价格的反季节性下跌，使得市场对于防疫政策变动对于需求的影响由正面转向负面，即转而担心春节前后的市场需求。在我们看来，疫情因素对需求的影响意味着“危”与“机”并存，因其短期和中长期影响有所不同，短期利空或有助于供应出清，后期需求改善或将导致供需发生改变，有望带来期价阶段性反弹机会。考虑到当前需求利空或将继续，而期价已经跌至成本端下方，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市场对需求端的担忧加剧，受猪价持续反季节性大幅下跌带动，市场对春节前后需求的担忧加剧，近期鸡蛋现货亦转为震荡下行。这使得市场再度回归供需两弱格局，期价更多依赖供应端和基差的支撑。考虑到市场对鸡蛋需求的担忧，短期转为中性，建议投资者暂以观望为宜，等待需求回暖后的做多机会。</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7962"/>
      <w:r>
        <w:rPr>
          <w:rFonts w:hint="eastAsia" w:ascii="楷体" w:hAnsi="楷体" w:eastAsia="楷体"/>
          <w:b/>
          <w:sz w:val="24"/>
          <w:szCs w:val="24"/>
        </w:rPr>
        <w:t>郑棉：国际商品整体走强，美棉再度涨停</w:t>
      </w:r>
      <w:bookmarkEnd w:id="39"/>
    </w:p>
    <w:p>
      <w:pPr>
        <w:ind w:left="630" w:leftChars="300"/>
        <w:rPr>
          <w:rFonts w:hint="eastAsia" w:ascii="楷体" w:hAnsi="楷体" w:eastAsia="楷体"/>
          <w:sz w:val="24"/>
          <w:szCs w:val="24"/>
        </w:rPr>
      </w:pPr>
      <w:r>
        <w:rPr>
          <w:rFonts w:hint="eastAsia" w:ascii="楷体" w:hAnsi="楷体" w:eastAsia="楷体"/>
          <w:sz w:val="24"/>
          <w:szCs w:val="24"/>
        </w:rPr>
        <w:t>外盘和预期提振VS套保压力，郑棉区间震荡，观望或空单持有</w:t>
      </w:r>
    </w:p>
    <w:p>
      <w:pPr>
        <w:ind w:left="630" w:leftChars="300"/>
        <w:rPr>
          <w:rFonts w:ascii="楷体" w:hAnsi="楷体" w:eastAsia="楷体"/>
          <w:sz w:val="24"/>
          <w:szCs w:val="24"/>
        </w:rPr>
      </w:pPr>
      <w:r>
        <w:rPr>
          <w:rFonts w:hint="eastAsia" w:ascii="楷体" w:hAnsi="楷体" w:eastAsia="楷体"/>
          <w:sz w:val="24"/>
          <w:szCs w:val="24"/>
        </w:rPr>
        <w:t>随着年尾节日时间逐步靠近，以及各地疫情的飞速蔓延，前期复工后的棉花棉纱补库势头逐渐回归平淡。新棉逐渐上量，棉花价格指数继续小幅回落，期现基差进一步回归，套保需求逐起。</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19667"/>
      <w:bookmarkStart w:id="41" w:name="_Toc71212556"/>
      <w:bookmarkStart w:id="42" w:name="_Toc72481108"/>
      <w:bookmarkStart w:id="43" w:name="_Toc12779"/>
      <w:bookmarkStart w:id="44" w:name="_Toc98426751"/>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2022年12月21日星期三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5301F53"/>
    <w:rsid w:val="09F160E3"/>
    <w:rsid w:val="100732C8"/>
    <w:rsid w:val="10DA6205"/>
    <w:rsid w:val="129B2E20"/>
    <w:rsid w:val="15D52593"/>
    <w:rsid w:val="1B8A2034"/>
    <w:rsid w:val="1BC72FF7"/>
    <w:rsid w:val="1D5030CD"/>
    <w:rsid w:val="20AE4DE8"/>
    <w:rsid w:val="219F3EE2"/>
    <w:rsid w:val="26F95364"/>
    <w:rsid w:val="2DE440F7"/>
    <w:rsid w:val="340E7198"/>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78F513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0</TotalTime>
  <ScaleCrop>false</ScaleCrop>
  <LinksUpToDate>false</LinksUpToDate>
  <CharactersWithSpaces>7040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小野猫子</cp:lastModifiedBy>
  <cp:lastPrinted>2022-07-01T02:28:00Z</cp:lastPrinted>
  <dcterms:modified xsi:type="dcterms:W3CDTF">2022-12-21T03:10:15Z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2AD6C5347C844179B2458C2E14054CF3</vt:lpwstr>
  </property>
</Properties>
</file>