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bookmarkStart w:id="45" w:name="_GoBack"/>
      <w:r>
        <w:rPr>
          <w:rFonts w:ascii="Times New Roman" w:hAnsi="Times New Roman" w:eastAsia="楷体" w:cs="Times New Roman"/>
          <w:b/>
          <w:color w:val="823C0B"/>
          <w:sz w:val="24"/>
        </w:rPr>
        <w:t>投资咨询业务资格：证监许可【2012】1497号</w:t>
      </w:r>
    </w:p>
    <w:bookmarkEnd w:id="45"/>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_Toc8155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_Toc20370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待震荡消化后，短线低多IH，中线低多IC</w:t>
          </w:r>
          <w:r>
            <w:rPr>
              <w:bCs/>
            </w:rPr>
            <w:fldChar w:fldCharType="end"/>
          </w:r>
        </w:p>
        <w:p>
          <w:pPr>
            <w:pStyle w:val="5"/>
            <w:tabs>
              <w:tab w:val="right" w:leader="dot" w:pos="8306"/>
            </w:tabs>
          </w:pPr>
          <w:r>
            <w:rPr>
              <w:bCs/>
            </w:rPr>
            <w:fldChar w:fldCharType="begin"/>
          </w:r>
          <w:r>
            <w:rPr>
              <w:bCs/>
            </w:rPr>
            <w:instrText xml:space="preserve"> HYPERLINK \l _Toc3545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_Toc26926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窄幅震荡，等待市场选择方向，观望为主</w:t>
          </w:r>
          <w:r>
            <w:rPr>
              <w:bCs/>
            </w:rPr>
            <w:fldChar w:fldCharType="end"/>
          </w:r>
        </w:p>
        <w:p>
          <w:pPr>
            <w:pStyle w:val="6"/>
            <w:tabs>
              <w:tab w:val="right" w:leader="dot" w:pos="8306"/>
            </w:tabs>
          </w:pPr>
          <w:r>
            <w:rPr>
              <w:bCs/>
            </w:rPr>
            <w:fldChar w:fldCharType="begin"/>
          </w:r>
          <w:r>
            <w:rPr>
              <w:bCs/>
            </w:rPr>
            <w:instrText xml:space="preserve"> HYPERLINK \l _Toc22882 </w:instrText>
          </w:r>
          <w:r>
            <w:rPr>
              <w:bCs/>
            </w:rPr>
            <w:fldChar w:fldCharType="separate"/>
          </w:r>
          <w:r>
            <w:rPr>
              <w:rFonts w:hint="eastAsia" w:ascii="楷体" w:hAnsi="楷体" w:eastAsia="楷体"/>
              <w:szCs w:val="24"/>
            </w:rPr>
            <w:t>焦炭：窄幅震荡，关注支撑情况</w:t>
          </w:r>
          <w:r>
            <w:rPr>
              <w:bCs/>
            </w:rPr>
            <w:fldChar w:fldCharType="end"/>
          </w:r>
        </w:p>
        <w:p>
          <w:pPr>
            <w:pStyle w:val="6"/>
            <w:tabs>
              <w:tab w:val="right" w:leader="dot" w:pos="8306"/>
            </w:tabs>
          </w:pPr>
          <w:r>
            <w:rPr>
              <w:bCs/>
            </w:rPr>
            <w:fldChar w:fldCharType="begin"/>
          </w:r>
          <w:r>
            <w:rPr>
              <w:bCs/>
            </w:rPr>
            <w:instrText xml:space="preserve"> HYPERLINK \l _Toc29722 </w:instrText>
          </w:r>
          <w:r>
            <w:rPr>
              <w:bCs/>
            </w:rPr>
            <w:fldChar w:fldCharType="separate"/>
          </w:r>
          <w:r>
            <w:rPr>
              <w:rFonts w:hint="eastAsia" w:ascii="楷体" w:hAnsi="楷体" w:eastAsia="楷体"/>
              <w:szCs w:val="24"/>
            </w:rPr>
            <w:t>焦煤：窄幅震荡，关注新的驱动    </w:t>
          </w:r>
          <w:r>
            <w:rPr>
              <w:bCs/>
            </w:rPr>
            <w:fldChar w:fldCharType="end"/>
          </w:r>
        </w:p>
        <w:p>
          <w:pPr>
            <w:pStyle w:val="6"/>
            <w:tabs>
              <w:tab w:val="right" w:leader="dot" w:pos="8306"/>
            </w:tabs>
          </w:pPr>
          <w:r>
            <w:rPr>
              <w:bCs/>
            </w:rPr>
            <w:fldChar w:fldCharType="begin"/>
          </w:r>
          <w:r>
            <w:rPr>
              <w:bCs/>
            </w:rPr>
            <w:instrText xml:space="preserve"> HYPERLINK \l _Toc19492 </w:instrText>
          </w:r>
          <w:r>
            <w:rPr>
              <w:bCs/>
            </w:rPr>
            <w:fldChar w:fldCharType="separate"/>
          </w:r>
          <w:r>
            <w:rPr>
              <w:rFonts w:hint="eastAsia" w:ascii="楷体" w:hAnsi="楷体" w:eastAsia="楷体"/>
              <w:szCs w:val="24"/>
            </w:rPr>
            <w:t>铜：乐观情绪退潮，短期铜价承压运行</w:t>
          </w:r>
          <w:r>
            <w:rPr>
              <w:bCs/>
            </w:rPr>
            <w:fldChar w:fldCharType="end"/>
          </w:r>
        </w:p>
        <w:p>
          <w:pPr>
            <w:pStyle w:val="6"/>
            <w:tabs>
              <w:tab w:val="right" w:leader="dot" w:pos="8306"/>
            </w:tabs>
          </w:pPr>
          <w:r>
            <w:rPr>
              <w:bCs/>
            </w:rPr>
            <w:fldChar w:fldCharType="begin"/>
          </w:r>
          <w:r>
            <w:rPr>
              <w:bCs/>
            </w:rPr>
            <w:instrText xml:space="preserve"> HYPERLINK \l _Toc19681 </w:instrText>
          </w:r>
          <w:r>
            <w:rPr>
              <w:bCs/>
            </w:rPr>
            <w:fldChar w:fldCharType="separate"/>
          </w:r>
          <w:r>
            <w:rPr>
              <w:rFonts w:hint="eastAsia" w:ascii="楷体" w:hAnsi="楷体" w:eastAsia="楷体"/>
              <w:szCs w:val="24"/>
            </w:rPr>
            <w:t>铝：铝价偏弱震荡，持续关注库存</w:t>
          </w:r>
          <w:r>
            <w:rPr>
              <w:bCs/>
            </w:rPr>
            <w:fldChar w:fldCharType="end"/>
          </w:r>
        </w:p>
        <w:p>
          <w:pPr>
            <w:pStyle w:val="6"/>
            <w:tabs>
              <w:tab w:val="right" w:leader="dot" w:pos="8306"/>
            </w:tabs>
          </w:pPr>
          <w:r>
            <w:rPr>
              <w:bCs/>
            </w:rPr>
            <w:fldChar w:fldCharType="begin"/>
          </w:r>
          <w:r>
            <w:rPr>
              <w:bCs/>
            </w:rPr>
            <w:instrText xml:space="preserve"> HYPERLINK \l _Toc27594 </w:instrText>
          </w:r>
          <w:r>
            <w:rPr>
              <w:bCs/>
            </w:rPr>
            <w:fldChar w:fldCharType="separate"/>
          </w:r>
          <w:r>
            <w:rPr>
              <w:rFonts w:hint="eastAsia" w:ascii="楷体" w:hAnsi="楷体" w:eastAsia="楷体"/>
              <w:szCs w:val="24"/>
            </w:rPr>
            <w:t>锌：宏观及基本面有利空，锌价偏弱震荡</w:t>
          </w:r>
          <w:r>
            <w:rPr>
              <w:bCs/>
            </w:rPr>
            <w:fldChar w:fldCharType="end"/>
          </w:r>
        </w:p>
        <w:p>
          <w:pPr>
            <w:pStyle w:val="6"/>
            <w:tabs>
              <w:tab w:val="right" w:leader="dot" w:pos="8306"/>
            </w:tabs>
          </w:pPr>
          <w:r>
            <w:rPr>
              <w:bCs/>
            </w:rPr>
            <w:fldChar w:fldCharType="begin"/>
          </w:r>
          <w:r>
            <w:rPr>
              <w:bCs/>
            </w:rPr>
            <w:instrText xml:space="preserve"> HYPERLINK \l _Toc14499 </w:instrText>
          </w:r>
          <w:r>
            <w:rPr>
              <w:bCs/>
            </w:rPr>
            <w:fldChar w:fldCharType="separate"/>
          </w:r>
          <w:r>
            <w:rPr>
              <w:rFonts w:hint="eastAsia" w:ascii="楷体" w:hAnsi="楷体" w:eastAsia="楷体"/>
              <w:szCs w:val="24"/>
            </w:rPr>
            <w:t>镍：警惕价格回落风险</w:t>
          </w:r>
          <w:r>
            <w:rPr>
              <w:bCs/>
            </w:rPr>
            <w:fldChar w:fldCharType="end"/>
          </w:r>
        </w:p>
        <w:p>
          <w:pPr>
            <w:pStyle w:val="6"/>
            <w:tabs>
              <w:tab w:val="right" w:leader="dot" w:pos="8306"/>
            </w:tabs>
          </w:pPr>
          <w:r>
            <w:rPr>
              <w:bCs/>
            </w:rPr>
            <w:fldChar w:fldCharType="begin"/>
          </w:r>
          <w:r>
            <w:rPr>
              <w:bCs/>
            </w:rPr>
            <w:instrText xml:space="preserve"> HYPERLINK \l _Toc28300 </w:instrText>
          </w:r>
          <w:r>
            <w:rPr>
              <w:bCs/>
            </w:rPr>
            <w:fldChar w:fldCharType="separate"/>
          </w:r>
          <w:r>
            <w:rPr>
              <w:rFonts w:hint="eastAsia" w:ascii="楷体" w:hAnsi="楷体" w:eastAsia="楷体"/>
              <w:szCs w:val="24"/>
            </w:rPr>
            <w:t>不锈钢：短空止盈，关注成本支撑</w:t>
          </w:r>
          <w:r>
            <w:rPr>
              <w:bCs/>
            </w:rPr>
            <w:fldChar w:fldCharType="end"/>
          </w:r>
        </w:p>
        <w:p>
          <w:pPr>
            <w:pStyle w:val="6"/>
            <w:tabs>
              <w:tab w:val="right" w:leader="dot" w:pos="8306"/>
            </w:tabs>
          </w:pPr>
          <w:r>
            <w:rPr>
              <w:bCs/>
            </w:rPr>
            <w:fldChar w:fldCharType="begin"/>
          </w:r>
          <w:r>
            <w:rPr>
              <w:bCs/>
            </w:rPr>
            <w:instrText xml:space="preserve"> HYPERLINK \l _Toc27625 </w:instrText>
          </w:r>
          <w:r>
            <w:rPr>
              <w:bCs/>
            </w:rPr>
            <w:fldChar w:fldCharType="separate"/>
          </w:r>
          <w:r>
            <w:rPr>
              <w:rFonts w:hint="eastAsia" w:ascii="楷体" w:hAnsi="楷体" w:eastAsia="楷体"/>
              <w:szCs w:val="24"/>
            </w:rPr>
            <w:t>工业硅：高品位421价格下跌，与553价差收窄</w:t>
          </w:r>
          <w:r>
            <w:rPr>
              <w:bCs/>
            </w:rPr>
            <w:fldChar w:fldCharType="end"/>
          </w:r>
        </w:p>
        <w:p>
          <w:pPr>
            <w:pStyle w:val="5"/>
            <w:tabs>
              <w:tab w:val="right" w:leader="dot" w:pos="8306"/>
            </w:tabs>
          </w:pPr>
          <w:r>
            <w:rPr>
              <w:bCs/>
            </w:rPr>
            <w:fldChar w:fldCharType="begin"/>
          </w:r>
          <w:r>
            <w:rPr>
              <w:bCs/>
            </w:rPr>
            <w:instrText xml:space="preserve"> HYPERLINK \l _Toc31031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_Toc22798 </w:instrText>
          </w:r>
          <w:r>
            <w:rPr>
              <w:bCs/>
            </w:rPr>
            <w:fldChar w:fldCharType="separate"/>
          </w:r>
          <w:r>
            <w:rPr>
              <w:rFonts w:hint="eastAsia" w:ascii="Times New Roman" w:hAnsi="Times New Roman" w:eastAsia="楷体"/>
              <w:szCs w:val="24"/>
            </w:rPr>
            <w:t>乙二醇：终端持续改善 走势偏坚挺</w:t>
          </w:r>
          <w:r>
            <w:rPr>
              <w:bCs/>
            </w:rPr>
            <w:fldChar w:fldCharType="end"/>
          </w:r>
        </w:p>
        <w:p>
          <w:pPr>
            <w:pStyle w:val="6"/>
            <w:tabs>
              <w:tab w:val="right" w:leader="dot" w:pos="8306"/>
            </w:tabs>
          </w:pPr>
          <w:r>
            <w:rPr>
              <w:bCs/>
            </w:rPr>
            <w:fldChar w:fldCharType="begin"/>
          </w:r>
          <w:r>
            <w:rPr>
              <w:bCs/>
            </w:rPr>
            <w:instrText xml:space="preserve"> HYPERLINK \l _Toc6774 </w:instrText>
          </w:r>
          <w:r>
            <w:rPr>
              <w:bCs/>
            </w:rPr>
            <w:fldChar w:fldCharType="separate"/>
          </w:r>
          <w:r>
            <w:rPr>
              <w:rFonts w:ascii="楷体" w:hAnsi="楷体" w:eastAsia="楷体"/>
              <w:szCs w:val="24"/>
            </w:rPr>
            <w:t>PTA</w:t>
          </w:r>
          <w:r>
            <w:rPr>
              <w:rFonts w:hint="eastAsia" w:ascii="楷体" w:hAnsi="楷体" w:eastAsia="楷体"/>
              <w:szCs w:val="24"/>
            </w:rPr>
            <w:t>：终端持续性正反馈VS油价面临下行风险  建议观望</w:t>
          </w:r>
          <w:r>
            <w:rPr>
              <w:bCs/>
            </w:rPr>
            <w:fldChar w:fldCharType="end"/>
          </w:r>
        </w:p>
        <w:p>
          <w:pPr>
            <w:pStyle w:val="6"/>
            <w:tabs>
              <w:tab w:val="right" w:leader="dot" w:pos="8306"/>
            </w:tabs>
          </w:pPr>
          <w:r>
            <w:rPr>
              <w:bCs/>
            </w:rPr>
            <w:fldChar w:fldCharType="begin"/>
          </w:r>
          <w:r>
            <w:rPr>
              <w:bCs/>
            </w:rPr>
            <w:instrText xml:space="preserve"> HYPERLINK \l _Toc2786 </w:instrText>
          </w:r>
          <w:r>
            <w:rPr>
              <w:bCs/>
            </w:rPr>
            <w:fldChar w:fldCharType="separate"/>
          </w:r>
          <w:r>
            <w:rPr>
              <w:rFonts w:hint="eastAsia" w:ascii="楷体" w:hAnsi="楷体" w:eastAsia="楷体"/>
              <w:szCs w:val="24"/>
            </w:rPr>
            <w:t>聚烯烃：供需矛盾改善不佳下，聚烯烃中长期依旧有下跌风险</w:t>
          </w:r>
          <w:r>
            <w:rPr>
              <w:bCs/>
            </w:rPr>
            <w:fldChar w:fldCharType="end"/>
          </w:r>
        </w:p>
        <w:p>
          <w:pPr>
            <w:pStyle w:val="5"/>
            <w:tabs>
              <w:tab w:val="right" w:leader="dot" w:pos="8306"/>
            </w:tabs>
          </w:pPr>
          <w:r>
            <w:rPr>
              <w:bCs/>
            </w:rPr>
            <w:fldChar w:fldCharType="begin"/>
          </w:r>
          <w:r>
            <w:rPr>
              <w:bCs/>
            </w:rPr>
            <w:instrText xml:space="preserve"> HYPERLINK \l _Toc21862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_Toc13682 </w:instrText>
          </w:r>
          <w:r>
            <w:rPr>
              <w:bCs/>
            </w:rPr>
            <w:fldChar w:fldCharType="separate"/>
          </w:r>
          <w:r>
            <w:rPr>
              <w:rFonts w:hint="eastAsia" w:ascii="楷体" w:hAnsi="楷体" w:eastAsia="楷体"/>
              <w:szCs w:val="24"/>
            </w:rPr>
            <w:t>豆粕：短期维持高位震荡</w:t>
          </w:r>
          <w:r>
            <w:rPr>
              <w:bCs/>
            </w:rPr>
            <w:fldChar w:fldCharType="end"/>
          </w:r>
        </w:p>
        <w:p>
          <w:pPr>
            <w:pStyle w:val="6"/>
            <w:tabs>
              <w:tab w:val="right" w:leader="dot" w:pos="8306"/>
            </w:tabs>
          </w:pPr>
          <w:r>
            <w:rPr>
              <w:bCs/>
            </w:rPr>
            <w:fldChar w:fldCharType="begin"/>
          </w:r>
          <w:r>
            <w:rPr>
              <w:bCs/>
            </w:rPr>
            <w:instrText xml:space="preserve"> HYPERLINK \l _Toc23990 </w:instrText>
          </w:r>
          <w:r>
            <w:rPr>
              <w:bCs/>
            </w:rPr>
            <w:fldChar w:fldCharType="separate"/>
          </w:r>
          <w:r>
            <w:rPr>
              <w:rFonts w:hint="eastAsia" w:ascii="楷体" w:hAnsi="楷体" w:eastAsia="楷体"/>
              <w:szCs w:val="24"/>
            </w:rPr>
            <w:t>油脂：多空因素扰动，短期预计维持宽幅震荡</w:t>
          </w:r>
          <w:r>
            <w:rPr>
              <w:bCs/>
            </w:rPr>
            <w:fldChar w:fldCharType="end"/>
          </w:r>
        </w:p>
        <w:p>
          <w:pPr>
            <w:pStyle w:val="6"/>
            <w:tabs>
              <w:tab w:val="right" w:leader="dot" w:pos="8306"/>
            </w:tabs>
          </w:pPr>
          <w:r>
            <w:rPr>
              <w:bCs/>
            </w:rPr>
            <w:fldChar w:fldCharType="begin"/>
          </w:r>
          <w:r>
            <w:rPr>
              <w:bCs/>
            </w:rPr>
            <w:instrText xml:space="preserve"> HYPERLINK \l _Toc13858 </w:instrText>
          </w:r>
          <w:r>
            <w:rPr>
              <w:bCs/>
            </w:rPr>
            <w:fldChar w:fldCharType="separate"/>
          </w:r>
          <w:r>
            <w:rPr>
              <w:rFonts w:hint="eastAsia" w:ascii="楷体" w:hAnsi="楷体" w:eastAsia="楷体"/>
              <w:bCs/>
            </w:rPr>
            <w:t>玉米与淀粉：</w:t>
          </w:r>
          <w:r>
            <w:rPr>
              <w:rFonts w:hint="eastAsia" w:ascii="楷体" w:hAnsi="楷体" w:eastAsia="楷体"/>
            </w:rPr>
            <w:t>期价弱势未改</w:t>
          </w:r>
          <w:r>
            <w:rPr>
              <w:bCs/>
            </w:rPr>
            <w:fldChar w:fldCharType="end"/>
          </w:r>
        </w:p>
        <w:p>
          <w:pPr>
            <w:pStyle w:val="6"/>
            <w:tabs>
              <w:tab w:val="right" w:leader="dot" w:pos="8306"/>
            </w:tabs>
          </w:pPr>
          <w:r>
            <w:rPr>
              <w:bCs/>
            </w:rPr>
            <w:fldChar w:fldCharType="begin"/>
          </w:r>
          <w:r>
            <w:rPr>
              <w:bCs/>
            </w:rPr>
            <w:instrText xml:space="preserve"> HYPERLINK \l _Toc31205 </w:instrText>
          </w:r>
          <w:r>
            <w:rPr>
              <w:bCs/>
            </w:rPr>
            <w:fldChar w:fldCharType="separate"/>
          </w:r>
          <w:r>
            <w:rPr>
              <w:rFonts w:hint="eastAsia" w:ascii="楷体" w:hAnsi="楷体" w:eastAsia="楷体"/>
              <w:bCs/>
            </w:rPr>
            <w:t>畜禽养殖：等待需求回暖</w:t>
          </w:r>
          <w:r>
            <w:rPr>
              <w:bCs/>
            </w:rPr>
            <w:fldChar w:fldCharType="end"/>
          </w:r>
        </w:p>
        <w:p>
          <w:pPr>
            <w:pStyle w:val="6"/>
            <w:tabs>
              <w:tab w:val="right" w:leader="dot" w:pos="8306"/>
            </w:tabs>
          </w:pPr>
          <w:r>
            <w:rPr>
              <w:bCs/>
            </w:rPr>
            <w:fldChar w:fldCharType="begin"/>
          </w:r>
          <w:r>
            <w:rPr>
              <w:bCs/>
            </w:rPr>
            <w:instrText xml:space="preserve"> HYPERLINK \l _Toc17783 </w:instrText>
          </w:r>
          <w:r>
            <w:rPr>
              <w:bCs/>
            </w:rPr>
            <w:fldChar w:fldCharType="separate"/>
          </w:r>
          <w:r>
            <w:rPr>
              <w:rFonts w:hint="eastAsia" w:ascii="楷体" w:hAnsi="楷体" w:eastAsia="楷体"/>
              <w:szCs w:val="24"/>
            </w:rPr>
            <w:t>郑棉：油价提振和美元走弱，美棉跳涨至震荡区间上沿</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8155"/>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20370"/>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待震荡消化后，短线低多IH，中线低多IC</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受疫情影响，11月经济数据整体疲弱且从国外经验看，往后两个月在感染人数持续上升背景下，经济活动不可避免将受到一定影响，短期而言市场还需震荡消化羸弱的基本面现实，不建议追高。从中央经济工作会议定调可预见2023年仍是稳增长政策大年，政策驱动特征明显，尽管市场对政策预期最“兴奋”的时期已过，但新的政策组合拳必定将不断加大力度且具有实质作用，对市场的支撑作用仍将持续，后续伴随美国经济回落加速， 海外环境亦将逐步改善。技术上，大盘跌至本轮上升趋势线上，存一定支撑力，可以分批逢低布局思路为主，待震荡消化后，短线低多IH，中线低多IC 。</w:t>
      </w:r>
    </w:p>
    <w:p>
      <w:pPr>
        <w:pBdr>
          <w:top w:val="single" w:color="auto" w:sz="4" w:space="0"/>
        </w:pBdr>
        <w:outlineLvl w:val="0"/>
        <w:rPr>
          <w:rFonts w:ascii="Times New Roman" w:hAnsi="Times New Roman" w:eastAsia="楷体"/>
          <w:b/>
          <w:color w:val="823C0B"/>
          <w:sz w:val="30"/>
          <w:szCs w:val="30"/>
        </w:rPr>
      </w:pPr>
      <w:bookmarkStart w:id="7" w:name="_Toc20891"/>
      <w:bookmarkStart w:id="8" w:name="金属"/>
      <w:bookmarkStart w:id="9" w:name="_Toc3096"/>
      <w:bookmarkStart w:id="10" w:name="_Toc3545"/>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26926"/>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窄幅震荡，等待市场选择方向，观望为主</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会议未有关于地产的超预期表述下，前期过于乐观情绪有所调整。短期现货低库存高成本及宏观偏暖情况下，较难看到大跌的矛盾。钢价短期大幅度回调后，预计窄幅震荡，等待市场选择方向，关注（3880,3900）的一带的支撑。</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1356"/>
      <w:bookmarkStart w:id="16" w:name="_Toc4790"/>
      <w:bookmarkStart w:id="17" w:name="_Toc22882"/>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窄幅震荡，关注支撑情况</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市场对利多定价较为充分，建议观望为主。会议未有关于地产的超预期表述下，前期过于乐观情绪有所调整。焦炭05估值调整后，已贴水现货3-4轮，短期内或有所支撑，等待市场继续选择方向。关注（2600,2630）一带支撑情况。</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18" w:name="_Toc29722"/>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窄幅震荡，关注新的驱动    </w:t>
      </w:r>
      <w:bookmarkEnd w:id="18"/>
    </w:p>
    <w:p>
      <w:pPr>
        <w:ind w:left="630" w:leftChars="300"/>
        <w:rPr>
          <w:rFonts w:ascii="楷体" w:hAnsi="楷体" w:eastAsia="楷体"/>
          <w:bCs/>
          <w:sz w:val="24"/>
          <w:szCs w:val="24"/>
        </w:rPr>
      </w:pPr>
      <w:r>
        <w:rPr>
          <w:rFonts w:hint="eastAsia" w:ascii="楷体" w:hAnsi="楷体" w:eastAsia="楷体"/>
          <w:sz w:val="24"/>
          <w:szCs w:val="24"/>
        </w:rPr>
        <w:t>前期市场对利多定价较为充分，会议未有关于地产的超预期表述下，前期过于乐观情绪有所调整。周三澳大利亚外交部部长来华访问，澳煤放开的担忧下偏弱运行，预计短期焦煤05合约在（1780,1830）区间支撑情况。</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9" w:name="_Toc25617"/>
      <w:bookmarkStart w:id="20" w:name="_Toc9719"/>
      <w:bookmarkStart w:id="21" w:name="_Toc19492"/>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乐观情绪退潮，短期铜价承压运行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(1)库存：12月19日，SHFE仓单库存30220吨，减1330吨。LME仓单库存83575吨，减525吨。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(2)精废价差：12月19日，Mysteel精废价差1499，收窄79。目前价差在合理价差1358之上。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高通胀高利率环境对整体需求依旧形成冲击，这将继续限制短中期铜价反弹空间。在国内疫情防控政策转向的情况下，疫情的中长期冲击正在迅速转变为短期冲击，铜价承压运行，但短期低库存仍提供底部支撑。预计短期沪铜主力期价波动于64000-66500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19681"/>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铝价偏弱震荡，持续关注库存</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近期鹰派态度表示延续加息，12月议息如期加息50基点，兑现市场利好预期，美元指数底部反弹，海内外经济数据表现不佳，市场风险偏好收敛。国内疫情走入放开阶段，多地疫情感染率持续上升，对国内经济消费产生较大压力，中央经济工作会议表示明年的经济工作要从改善预期、提振信心入手，未来将延续政策宽松。铝产产能逐步缓慢恢复，产量逐步走升，需求受到消费淡季及疫情影响，铝加工冶炼开工率走弱，下游企业仍以刚需为主，海内外铝库存低库，沪铝及国内社会库存出现小幅累库，市场有累库预期对盘面价格走势有抑制效应。基本面供修需疲，市场利多情绪逐步出空，短期铝价偏弱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7594"/>
      <w:r>
        <w:rPr>
          <w:rFonts w:hint="eastAsia" w:ascii="楷体" w:hAnsi="楷体" w:eastAsia="楷体"/>
          <w:b/>
          <w:color w:val="000000" w:themeColor="text1"/>
          <w:sz w:val="24"/>
          <w:szCs w:val="24"/>
          <w14:textFill>
            <w14:solidFill>
              <w14:schemeClr w14:val="tx1"/>
            </w14:solidFill>
          </w14:textFill>
        </w:rPr>
        <w:t>锌：宏观及基本面有利空，锌价偏弱震荡</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19日沪锌隔夜收盘价格23470元/吨，跌幅1.94%，上海有色网0#锌锭（Zn99.995）现货报价24250元/吨，较上一统计日报价下跌290元/吨。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12月议息如期加息50基点，兑现市场利好预期，联储官员偏鹰表态，美元指数企稳走强，有色承压。国内疫情防控走向开放，疫情多点蔓延迅速，实体经济表现再度走弱，中央经济工作会议表示要确保地产市场平稳发展，推动国内经济运行良好运转，以扩大国内需求为重任，未来国内仍有内需向好预期。冶炼端仍有较高利润刺激冶炼厂追产，但受疫情开放影响整体开工率仍在走弱，需求进入消费淡季，部分企业停产检修或提前放假，现货市场供应偏紧，贸易商惜售，库存仍维持低位，上中游宽松加产，下游消费疲弱，后续或有锌产累库动作，锌价重心下移，短期偏弱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4499"/>
      <w:r>
        <w:rPr>
          <w:rFonts w:hint="eastAsia" w:ascii="楷体" w:hAnsi="楷体" w:eastAsia="楷体"/>
          <w:b/>
          <w:color w:val="000000" w:themeColor="text1"/>
          <w:sz w:val="24"/>
          <w:szCs w:val="24"/>
          <w14:textFill>
            <w14:solidFill>
              <w14:schemeClr w14:val="tx1"/>
            </w14:solidFill>
          </w14:textFill>
        </w:rPr>
        <w:t>镍：警惕价格回落风险</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整体宏观情绪乐观叠加镍板资源偏紧对镍价有所支撑，镍价表现震荡走强，海外经济下行压力逐渐显现，LME镍库存开始稳中回升，现货大幅贴水，供需边际存转弱迹象。短期宏观利多情绪消化后，警惕价格回落风险。</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28300"/>
      <w:r>
        <w:rPr>
          <w:rFonts w:hint="eastAsia" w:ascii="楷体" w:hAnsi="楷体" w:eastAsia="楷体"/>
          <w:b/>
          <w:color w:val="000000" w:themeColor="text1"/>
          <w:sz w:val="24"/>
          <w:szCs w:val="24"/>
          <w14:textFill>
            <w14:solidFill>
              <w14:schemeClr w14:val="tx1"/>
            </w14:solidFill>
          </w14:textFill>
        </w:rPr>
        <w:t>不锈钢：短空止盈，关注成本支撑</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日不锈钢期价大幅减仓下行。前期受宏观利好刺激，不锈钢维持震荡偏强走势，钢厂利润修复后产量有所释放，终端消费淡季下社会库存周内再次出现明显累积，“强预期”热情在近期疫情快速扩散压力下有所褪去。短期价格仍将承压运行，底部存成本支撑，盘面关注16400-16500支撑，短空止赢。</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2762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高品位421价格下跌，与553价差收窄</w:t>
      </w:r>
      <w:bookmarkEnd w:id="28"/>
    </w:p>
    <w:p>
      <w:pPr>
        <w:ind w:left="630" w:leftChars="300"/>
        <w:rPr>
          <w:rFonts w:ascii="楷体" w:hAnsi="楷体" w:eastAsia="楷体"/>
          <w:sz w:val="24"/>
          <w:szCs w:val="24"/>
        </w:rPr>
      </w:pPr>
      <w:r>
        <w:rPr>
          <w:rFonts w:hint="eastAsia" w:ascii="楷体" w:hAnsi="楷体" w:eastAsia="楷体"/>
          <w:sz w:val="24"/>
          <w:szCs w:val="24"/>
        </w:rPr>
        <w:t>12月19日，华东地区553（通氧）18950元/吨，较上个统计日持平，421（通氧）20000元/吨，较上个统计日下降150元/吨，受有机硅需求低迷，421价格继续回落，与553价差收窄至1050元/吨。在疫情防控政策优化下，新疆伊犁、石河子等地硅厂恢复生产，近期已复炉30余台，预计供应也将逐步恢复。下游多晶硅价格开始明显松动，也将弱化对工业硅价格的支撑作用，预计近期市场将继续弱势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31031"/>
      <w:r>
        <w:rPr>
          <w:rFonts w:hint="eastAsia" w:ascii="Times New Roman" w:hAnsi="Times New Roman" w:eastAsia="楷体"/>
          <w:b/>
          <w:color w:val="823C0B"/>
          <w:sz w:val="30"/>
          <w:szCs w:val="30"/>
        </w:rPr>
        <w:t>[化工]</w:t>
      </w:r>
      <w:bookmarkEnd w:id="29"/>
      <w:bookmarkEnd w:id="30"/>
    </w:p>
    <w:p>
      <w:pPr>
        <w:ind w:firstLine="482" w:firstLineChars="200"/>
        <w:outlineLvl w:val="1"/>
        <w:rPr>
          <w:rFonts w:hint="eastAsia" w:ascii="Times New Roman" w:hAnsi="Times New Roman" w:eastAsia="楷体"/>
          <w:b/>
          <w:sz w:val="24"/>
          <w:szCs w:val="24"/>
        </w:rPr>
      </w:pPr>
      <w:bookmarkStart w:id="31" w:name="_Toc22798"/>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终端持续改善 走势偏坚挺</w:t>
      </w:r>
      <w:bookmarkEnd w:id="31"/>
    </w:p>
    <w:p>
      <w:pPr>
        <w:ind w:left="630" w:leftChars="300"/>
        <w:rPr>
          <w:rFonts w:ascii="楷体" w:hAnsi="楷体" w:eastAsia="楷体"/>
          <w:sz w:val="24"/>
          <w:szCs w:val="24"/>
        </w:rPr>
      </w:pPr>
      <w:r>
        <w:rPr>
          <w:rFonts w:hint="eastAsia" w:ascii="楷体" w:hAnsi="楷体" w:eastAsia="楷体"/>
          <w:sz w:val="24"/>
          <w:szCs w:val="24"/>
        </w:rPr>
        <w:t>MEG：12.12华东主港地区 MEG港口库存约96.1万吨附近，环比上期增加7.3万吨。12月12日至12月18日，主港计划到货总数为13.7万吨，环比减少9万吨。供需情况，截至12月15日中国大陆地区乙二醇整体开工负荷在56%（-0.12%），其中煤制乙二醇开工负荷在38.56%（-0.77%），乙二醇负荷小幅下滑。新装置方面，海南一套80万吨/年的MEG新装置计划于本月底前后投产。本周期聚酯装置有轮动检修和开启，综合聚酯负荷继续下滑。截至12.15，初步核算国内大陆地区聚酯负荷在68.1%，变化不大。终端开工继续向上修复，江浙终端工厂原料备货追加，坯布库存持续下滑。截至12.15，江浙加弹开工率65%（+13%）、江浙织机开工率58%（+11%）、浙江印染开工率70%（+14%）。综合来看，近期宏观面及基本面稍有改善，随着防疫政策的放开，部分终端企业投机性补货需求显现。外盘进口方面，预估1月份开始美国货到货预计降至3-4万吨/月。近洋方面，前期停车的装置如台湾南亚、韩国乐天、KPIC等均无重启计划，未来几个月进口估计缩量。短期来看，产业链自下而上的情绪好转及正反馈仍在继续，乙二醇短期内价格偏坚挺。</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6774"/>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：终端持续性正反馈VS油价面临下行风险  建议观望</w:t>
      </w:r>
      <w:bookmarkEnd w:id="32"/>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供需方面，中国大陆装置变动：亚东重启，但独山能源，逸盛海南等PTA装置下调负荷，能投计划外停车，至12.15 PTA负荷降至63.7%（-2.8%）。新装置方面山东威联PTA装置一条线投料，昨晚已出合格品。聚酯方面，本周聚酯装置有轮动检修和开启，综合聚酯负荷继续下滑。截至12.15，初步核算国内大陆地区聚酯负荷在68.1%，涤纶长丝基本面阶段性出现明显改善的情况下，涤纶长丝短期减产动作或会放缓，后续负荷将跟随下游开机率调整。终端方面，随着防疫政策放开及天气转冷，本周期江浙终端开工继续提升，江浙终端工厂原料备货继续追加，终端赶尾单生产集中，坯布库存持续下降。短期来看，PTA存量装置检修增多，增量装置尚未稳定投产，供给端压力不大。近期终端开工率明显改善，聚酯产销阶段性有提升。原计划12月中停车放假的工厂，停车行动多后延至12月下旬或1月初附近。短期来看，在油价企稳及终端持续正反馈带动聚酯负荷明显转好预期下，TA近月合约存短多机会。中长期来看，PX和PTA新产能投放预期下，12月起PX进入到大幅度累库时期，加工费预计将进一步压缩。行业实质性需求恢复仍需要缓冲期，聚酯降负及放假临近，PTA供需累库预期仍存。仅供参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2786"/>
      <w:r>
        <w:rPr>
          <w:rFonts w:hint="eastAsia" w:ascii="楷体" w:hAnsi="楷体" w:eastAsia="楷体"/>
          <w:b/>
          <w:color w:val="000000" w:themeColor="text1"/>
          <w:sz w:val="24"/>
          <w:szCs w:val="24"/>
          <w14:textFill>
            <w14:solidFill>
              <w14:schemeClr w14:val="tx1"/>
            </w14:solidFill>
          </w14:textFill>
        </w:rPr>
        <w:t>聚烯烃：供需矛盾改善不佳下，聚烯烃中长期依旧有下跌风险</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窄幅回落。库存方面，本周国内PE库存环比下滑3.58%，其中样本主要生产环节PE库存环比下降10.21%，PE样本港口库存环比增加1.45%，样本贸易企业库存环比下降0.64%。本周PP库存环比下降12.58%。其中主要生产环节PP库存下降、贸易商库存、港口库存上升。供应方面，聚乙烯本周暂无新增检修计划，中沙石化和茂名石化等多套装置（共计78万吨产能）将于本周开机重启；PP本周新增延长中煤和浙江石化共计85万吨装置停车检修，东莞石化60万吨装置将于本周开车重启。本周荆门石化一12万吨产能装置将开车重启。成本端方面，欧美央行暗示明年利率将继续上调并保持高位，引发了对全球经济放缓可能导致能源需求下降的担忧，国际油价尾随全球多数股市下跌，目前油制PE利润大约为71.36元/吨，油制PP利润大约为-1138元/吨，相较年度偏低位置已有较大恢复；需求方面，PE下游方面，棚膜需求持续减弱，地膜订单跟进缓慢，农膜厂家仍略显谨慎，坚持刚需采购。PP方面，BOPP整体成交一般，BOPP企业未交付订单多数在5-15天，部分至12月下旬。综合来看，原油成本端价格偏一般，对聚烯烃支撑较俄乌战争初期仍有明显减弱，同时下游需求多以刚性补库为主，需求较弱，难以大幅放量，供需矛盾变化不大下，预计今日聚烯烃窄幅回落。此前关于宏观利好的炒作情绪一定程度上支撑市场价格，但持续性不会过长，短期暂时维持小幅调整，中长期依旧有下行风险。12月PE、PP仍有多套装置等待投产，叠加进口套利窗口打开，供应压力不减。塑料供需趋弱累库下高空思路不变，上行空间有限。预计在成本波动、下游未有改善下聚烯烃将窄幅整理，短期PP 7800左右支撑较强和PE 8150压力位左右支撑较强。仅供参考。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4" w:name="_Toc21862"/>
      <w:r>
        <w:rPr>
          <w:rFonts w:hint="eastAsia" w:ascii="Times New Roman" w:hAnsi="Times New Roman" w:eastAsia="楷体"/>
          <w:b/>
          <w:color w:val="823C0B"/>
          <w:sz w:val="30"/>
          <w:szCs w:val="30"/>
        </w:rPr>
        <w:t>[农产品]</w:t>
      </w:r>
      <w:bookmarkEnd w:id="11"/>
      <w:bookmarkEnd w:id="34"/>
    </w:p>
    <w:p>
      <w:pPr>
        <w:ind w:left="420" w:leftChars="200"/>
        <w:outlineLvl w:val="1"/>
        <w:rPr>
          <w:rFonts w:hint="eastAsia" w:ascii="楷体" w:hAnsi="楷体" w:eastAsia="楷体"/>
          <w:b/>
          <w:sz w:val="24"/>
          <w:szCs w:val="24"/>
        </w:rPr>
      </w:pPr>
      <w:bookmarkStart w:id="35" w:name="_Toc13682"/>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w:t>
      </w:r>
      <w:bookmarkEnd w:id="35"/>
    </w:p>
    <w:p>
      <w:pPr>
        <w:ind w:left="630" w:leftChars="300"/>
        <w:rPr>
          <w:rFonts w:ascii="楷体" w:hAnsi="楷体" w:eastAsia="楷体"/>
          <w:sz w:val="24"/>
          <w:szCs w:val="24"/>
        </w:rPr>
      </w:pPr>
      <w:r>
        <w:rPr>
          <w:rFonts w:hint="eastAsia" w:ascii="楷体" w:hAnsi="楷体" w:eastAsia="楷体"/>
          <w:sz w:val="24"/>
          <w:szCs w:val="24"/>
        </w:rPr>
        <w:t>外盘方面，在美联储加息决议公布后，欧央行也继续加息，加剧市场对经济衰退的担忧。在宏观氛围偏空影响下，美豆表现较抗跌，仍有南美天气升水支撑。国内市场，11月进口大豆到港不及预期，港口库存累库速度放缓，预计11月延迟量将陆续在12月到港。大部分油厂恢复开工，开机率大幅回升压榨增加，豆粕库存拐点逐步显现，逐步进入累库阶段。下游养殖利润虽近期有所下滑但整体较好，因冬季腌腊需求生猪集中出栏，饲企和养殖企业等采购需求减弱，但仍保持刚需补库及后续有节前备货需求。短期临近交割月资金移仓换月盘面有所回落，但高基差仍会对近月构成支撑，若未明显利空行情下，预计豆粕仍将维持高位震荡；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6" w:name="_Toc23990"/>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多空因素扰动，短期预计维持宽幅震荡</w:t>
      </w:r>
      <w:bookmarkEnd w:id="36"/>
    </w:p>
    <w:p>
      <w:pPr>
        <w:ind w:left="630" w:leftChars="300"/>
        <w:rPr>
          <w:rFonts w:ascii="楷体" w:hAnsi="楷体" w:eastAsia="楷体"/>
          <w:sz w:val="24"/>
          <w:szCs w:val="24"/>
        </w:rPr>
      </w:pPr>
      <w:r>
        <w:rPr>
          <w:rFonts w:hint="eastAsia" w:ascii="楷体" w:hAnsi="楷体" w:eastAsia="楷体"/>
          <w:sz w:val="24"/>
          <w:szCs w:val="24"/>
        </w:rPr>
        <w:t>外盘油脂以及国际原油价格在宏观氛围偏空影响下承压回落。棕榈油支撑主要来自产地减产预期以及印尼生柴政策利好。数据显示12月1-15日马棕单产减少6%，出油率减少0.14%，产量减少6.73%。而国内棕榈油供应较宽松，需求方面在冬季消费淡季下增量有限，在供应压力下棕榈油上方压力仍存。近期豆油下游成交有所回暖，进入传统旺季备货阶段，虽近期防疫政策优化，但下游消费未见明显好转，而棕榈油进入季节性消费淡季提振部分豆油替代消费。近期因11月大豆到港延迟，累库进度放缓。但随着12月到港修复，油厂压榨持续恢复后边际供应预计由紧转松，关注豆油库存修复情况，短期延续近强远弱格局。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及下游消费整体呈现旺季不旺的局面，上方空间预计有限，短期油脂单边波动较大，建议波段操作，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7" w:name="_Toc1385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期价弱势未改</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整体市场逻辑未变，即供需阶段性紧张得到缓解之后市场转向新作上市压力，而期价呈现远月贴水结构，抑制中下游补库积极性，玉米有望逐步回归销区定价，而由于CBOT期价弱势、FOB升贴水下滑及其人民币升值带动进口谷物性价比提升，后期国产玉米或逐步滑向进口到港成本，短期则需要关注现货和基差支撑。考虑到国内中下游节前备货需求带来期价阶段性调整的可能性，建议激进投资者前期玉米或淀粉空单继续持有，谨慎投资者可考虑获利离场。</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继续收窄，主要源于副产品端、成本端与供需端的三个方面的原因，其中主导原因或在于供需端，即行业开机率回升，而下游需求引发市场担忧。但值得一提的是，目前价差已经逼近前期低点，而副产品价格逐步回落，带动期现货生产利润下滑，或有利于后期行业供需改善。在这种情况下，淀粉-玉米价差套利暂建议观望，激进投资者可以轻仓布局做多价差。</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31205"/>
      <w:r>
        <w:rPr>
          <w:rFonts w:hint="eastAsia" w:ascii="楷体" w:hAnsi="楷体" w:eastAsia="楷体"/>
          <w:b/>
          <w:bCs/>
          <w:color w:val="000000" w:themeColor="text1"/>
          <w14:textFill>
            <w14:solidFill>
              <w14:schemeClr w14:val="tx1"/>
            </w14:solidFill>
          </w14:textFill>
        </w:rPr>
        <w:t>畜禽养殖：等待需求回暖</w:t>
      </w:r>
      <w:bookmarkEnd w:id="38"/>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期价近弱远强带动期价结构持续转变，低点从之前的7月合约前移至3月，之后合约较3月合约均出现小幅升水，主要源于12月以来现货价格的反季节性下跌，使得市场对于防疫政策变动对于需求的影响由正面转向负面，即转而担心春节前后的市场需求。在我们看来，疫情因素对需求的影响意味着“危”与“机”并存，因其短期和中长期影响有所不同，短期利空或有助于供应出清，后期需求改善或将导致供需发生改变，有望带来期价阶段性反弹机会。考虑到当前需求利空或将继续，而期价已经跌至成本端下方，维持中性观点。</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各机构蛋鸡存补栏数据和现货表现符合之前预期，供应端未有明显改善，11月在产蛋鸡存栏虽有环比和同比再度小幅回落，总体维持历史同期低位运行，表明供应端依然偏紧。但市场对需求端的担忧加剧，受猪价持续反季节性大幅下跌带动，市场对春节前后需求的担忧加剧，近期鸡蛋现货亦转为震荡下行。这使得市场再度回归供需两弱格局，期价更多依赖供应端和基差的支撑。考虑到市场对鸡蛋需求的担忧，短期转为中性，建议投资者暂以观望为宜，等待需求回暖后的做多机会。</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9" w:name="_Toc17783"/>
      <w:r>
        <w:rPr>
          <w:rFonts w:hint="eastAsia" w:ascii="楷体" w:hAnsi="楷体" w:eastAsia="楷体"/>
          <w:b/>
          <w:sz w:val="24"/>
          <w:szCs w:val="24"/>
        </w:rPr>
        <w:t>郑棉：油价提振和美元走弱，美棉跳涨至震荡区间上沿</w:t>
      </w:r>
      <w:bookmarkEnd w:id="39"/>
    </w:p>
    <w:p>
      <w:pPr>
        <w:ind w:left="630" w:leftChars="300"/>
        <w:rPr>
          <w:rFonts w:hint="eastAsia" w:ascii="楷体" w:hAnsi="楷体" w:eastAsia="楷体"/>
          <w:sz w:val="24"/>
          <w:szCs w:val="24"/>
        </w:rPr>
      </w:pPr>
      <w:r>
        <w:rPr>
          <w:rFonts w:hint="eastAsia" w:ascii="楷体" w:hAnsi="楷体" w:eastAsia="楷体"/>
          <w:sz w:val="24"/>
          <w:szCs w:val="24"/>
        </w:rPr>
        <w:t>市场看涨情绪衰减，郑棉区间震荡，观望或空单持有</w:t>
      </w:r>
    </w:p>
    <w:p>
      <w:pPr>
        <w:ind w:left="630" w:leftChars="300"/>
        <w:rPr>
          <w:rFonts w:ascii="楷体" w:hAnsi="楷体" w:eastAsia="楷体"/>
          <w:sz w:val="24"/>
          <w:szCs w:val="24"/>
        </w:rPr>
      </w:pPr>
      <w:r>
        <w:rPr>
          <w:rFonts w:hint="eastAsia" w:ascii="楷体" w:hAnsi="楷体" w:eastAsia="楷体"/>
          <w:sz w:val="24"/>
          <w:szCs w:val="24"/>
        </w:rPr>
        <w:t>各地纺企表示，纱线市场整体逐稳向好，报价局部上涨，信心提振下开机局部小幅回升，成品库存持续下降，但下降速度有所放缓不及上周。部分纱厂的报价上涨后，存在“有价无市”的状况，贸易商的备货及补库热情也有所降低，交易市场因阳性病例增多人流稀少，下游织厂观望心理逐渐趋升，市场的采购积极性或因节假临近而逐步回归平淡。</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98426751"/>
      <w:bookmarkStart w:id="41" w:name="_Toc12779"/>
      <w:bookmarkStart w:id="42" w:name="_Toc71212556"/>
      <w:bookmarkStart w:id="43" w:name="_Toc19667"/>
      <w:bookmarkStart w:id="44" w:name="_Toc72481108"/>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2022年12月20日星期二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0C1F7DEE"/>
    <w:rsid w:val="100732C8"/>
    <w:rsid w:val="10DA6205"/>
    <w:rsid w:val="129B2E20"/>
    <w:rsid w:val="12AA5DF8"/>
    <w:rsid w:val="15364A7C"/>
    <w:rsid w:val="15D52593"/>
    <w:rsid w:val="197E6634"/>
    <w:rsid w:val="1B8A2034"/>
    <w:rsid w:val="1BC72FF7"/>
    <w:rsid w:val="1D5030CD"/>
    <w:rsid w:val="20AE4DE8"/>
    <w:rsid w:val="21996AC1"/>
    <w:rsid w:val="219F3EE2"/>
    <w:rsid w:val="24321B2E"/>
    <w:rsid w:val="247F3074"/>
    <w:rsid w:val="26F95364"/>
    <w:rsid w:val="2DE440F7"/>
    <w:rsid w:val="340E7198"/>
    <w:rsid w:val="373F75CC"/>
    <w:rsid w:val="3B3306F0"/>
    <w:rsid w:val="3B563B4D"/>
    <w:rsid w:val="3C2825B0"/>
    <w:rsid w:val="3C2B26B7"/>
    <w:rsid w:val="3D8B796D"/>
    <w:rsid w:val="3DA80A30"/>
    <w:rsid w:val="3EE0186C"/>
    <w:rsid w:val="441077D2"/>
    <w:rsid w:val="44396064"/>
    <w:rsid w:val="45CF0A85"/>
    <w:rsid w:val="4D2A3925"/>
    <w:rsid w:val="4DB20386"/>
    <w:rsid w:val="5005695E"/>
    <w:rsid w:val="50286811"/>
    <w:rsid w:val="51266B84"/>
    <w:rsid w:val="548642E9"/>
    <w:rsid w:val="56DD4D3A"/>
    <w:rsid w:val="57CB522F"/>
    <w:rsid w:val="59C52328"/>
    <w:rsid w:val="5D5617A6"/>
    <w:rsid w:val="5EA7685B"/>
    <w:rsid w:val="62710E5F"/>
    <w:rsid w:val="64C32497"/>
    <w:rsid w:val="66D04BBC"/>
    <w:rsid w:val="685D4EEE"/>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6352</Words>
  <Characters>6806</Characters>
  <Lines>50</Lines>
  <Paragraphs>14</Paragraphs>
  <TotalTime>0</TotalTime>
  <ScaleCrop>false</ScaleCrop>
  <LinksUpToDate>false</LinksUpToDate>
  <CharactersWithSpaces>6838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2022-12-20T02:02:17Z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