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_Toc16932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bookmarkStart w:id="45" w:name="_GoBack"/>
          <w:r>
            <w:rPr>
              <w:bCs/>
            </w:rPr>
            <w:fldChar w:fldCharType="begin"/>
          </w:r>
          <w:r>
            <w:rPr>
              <w:bCs/>
            </w:rPr>
            <w:instrText xml:space="preserve"> HYPERLINK \l _Toc14526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待震荡消化后，短线低多IH，中线低多IC</w:t>
          </w:r>
          <w:r>
            <w:rPr>
              <w:bCs/>
            </w:rPr>
            <w:fldChar w:fldCharType="end"/>
          </w:r>
        </w:p>
        <w:bookmarkEnd w:id="45"/>
        <w:p>
          <w:pPr>
            <w:pStyle w:val="5"/>
            <w:tabs>
              <w:tab w:val="right" w:leader="dot" w:pos="8306"/>
            </w:tabs>
          </w:pPr>
          <w:r>
            <w:rPr>
              <w:bCs/>
            </w:rPr>
            <w:fldChar w:fldCharType="begin"/>
          </w:r>
          <w:r>
            <w:rPr>
              <w:bCs/>
            </w:rPr>
            <w:instrText xml:space="preserve"> HYPERLINK \l _Toc3245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_Toc32344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会议未有超预期表述，钢价宽幅震荡，观望为主</w:t>
          </w:r>
          <w:r>
            <w:rPr>
              <w:bCs/>
            </w:rPr>
            <w:fldChar w:fldCharType="end"/>
          </w:r>
        </w:p>
        <w:p>
          <w:pPr>
            <w:pStyle w:val="6"/>
            <w:tabs>
              <w:tab w:val="right" w:leader="dot" w:pos="8306"/>
            </w:tabs>
          </w:pPr>
          <w:r>
            <w:rPr>
              <w:bCs/>
            </w:rPr>
            <w:fldChar w:fldCharType="begin"/>
          </w:r>
          <w:r>
            <w:rPr>
              <w:bCs/>
            </w:rPr>
            <w:instrText xml:space="preserve"> HYPERLINK \l _Toc25313 </w:instrText>
          </w:r>
          <w:r>
            <w:rPr>
              <w:bCs/>
            </w:rPr>
            <w:fldChar w:fldCharType="separate"/>
          </w:r>
          <w:r>
            <w:rPr>
              <w:rFonts w:hint="eastAsia" w:ascii="楷体" w:hAnsi="楷体" w:eastAsia="楷体"/>
              <w:szCs w:val="24"/>
            </w:rPr>
            <w:t>焦炭：短期内或面临利多出尽，随钢价波动</w:t>
          </w:r>
          <w:r>
            <w:rPr>
              <w:bCs/>
            </w:rPr>
            <w:fldChar w:fldCharType="end"/>
          </w:r>
        </w:p>
        <w:p>
          <w:pPr>
            <w:pStyle w:val="6"/>
            <w:tabs>
              <w:tab w:val="right" w:leader="dot" w:pos="8306"/>
            </w:tabs>
          </w:pPr>
          <w:r>
            <w:rPr>
              <w:bCs/>
            </w:rPr>
            <w:fldChar w:fldCharType="begin"/>
          </w:r>
          <w:r>
            <w:rPr>
              <w:bCs/>
            </w:rPr>
            <w:instrText xml:space="preserve"> HYPERLINK \l _Toc17114 </w:instrText>
          </w:r>
          <w:r>
            <w:rPr>
              <w:bCs/>
            </w:rPr>
            <w:fldChar w:fldCharType="separate"/>
          </w:r>
          <w:r>
            <w:rPr>
              <w:rFonts w:hint="eastAsia" w:ascii="楷体" w:hAnsi="楷体" w:eastAsia="楷体"/>
              <w:szCs w:val="24"/>
            </w:rPr>
            <w:t>焦煤：短期内或面临利多出尽，随钢价波动    </w:t>
          </w:r>
          <w:r>
            <w:rPr>
              <w:bCs/>
            </w:rPr>
            <w:fldChar w:fldCharType="end"/>
          </w:r>
        </w:p>
        <w:p>
          <w:pPr>
            <w:pStyle w:val="6"/>
            <w:tabs>
              <w:tab w:val="right" w:leader="dot" w:pos="8306"/>
            </w:tabs>
          </w:pPr>
          <w:r>
            <w:rPr>
              <w:bCs/>
            </w:rPr>
            <w:fldChar w:fldCharType="begin"/>
          </w:r>
          <w:r>
            <w:rPr>
              <w:bCs/>
            </w:rPr>
            <w:instrText xml:space="preserve"> HYPERLINK \l _Toc2976 </w:instrText>
          </w:r>
          <w:r>
            <w:rPr>
              <w:bCs/>
            </w:rPr>
            <w:fldChar w:fldCharType="separate"/>
          </w:r>
          <w:r>
            <w:rPr>
              <w:rFonts w:hint="eastAsia" w:ascii="楷体" w:hAnsi="楷体" w:eastAsia="楷体"/>
              <w:szCs w:val="24"/>
            </w:rPr>
            <w:t>铜：乐观情绪退潮，短期铜价承压运行</w:t>
          </w:r>
          <w:r>
            <w:rPr>
              <w:bCs/>
            </w:rPr>
            <w:fldChar w:fldCharType="end"/>
          </w:r>
        </w:p>
        <w:p>
          <w:pPr>
            <w:pStyle w:val="6"/>
            <w:tabs>
              <w:tab w:val="right" w:leader="dot" w:pos="8306"/>
            </w:tabs>
          </w:pPr>
          <w:r>
            <w:rPr>
              <w:bCs/>
            </w:rPr>
            <w:fldChar w:fldCharType="begin"/>
          </w:r>
          <w:r>
            <w:rPr>
              <w:bCs/>
            </w:rPr>
            <w:instrText xml:space="preserve"> HYPERLINK \l _Toc751 </w:instrText>
          </w:r>
          <w:r>
            <w:rPr>
              <w:bCs/>
            </w:rPr>
            <w:fldChar w:fldCharType="separate"/>
          </w:r>
          <w:r>
            <w:rPr>
              <w:rFonts w:hint="eastAsia" w:ascii="楷体" w:hAnsi="楷体" w:eastAsia="楷体"/>
              <w:szCs w:val="24"/>
            </w:rPr>
            <w:t>铝：价格仍有支撑，铝价高位震荡</w:t>
          </w:r>
          <w:r>
            <w:rPr>
              <w:bCs/>
            </w:rPr>
            <w:fldChar w:fldCharType="end"/>
          </w:r>
        </w:p>
        <w:p>
          <w:pPr>
            <w:pStyle w:val="6"/>
            <w:tabs>
              <w:tab w:val="right" w:leader="dot" w:pos="8306"/>
            </w:tabs>
          </w:pPr>
          <w:r>
            <w:rPr>
              <w:bCs/>
            </w:rPr>
            <w:fldChar w:fldCharType="begin"/>
          </w:r>
          <w:r>
            <w:rPr>
              <w:bCs/>
            </w:rPr>
            <w:instrText xml:space="preserve"> HYPERLINK \l _Toc17676 </w:instrText>
          </w:r>
          <w:r>
            <w:rPr>
              <w:bCs/>
            </w:rPr>
            <w:fldChar w:fldCharType="separate"/>
          </w:r>
          <w:r>
            <w:rPr>
              <w:rFonts w:hint="eastAsia" w:ascii="楷体" w:hAnsi="楷体" w:eastAsia="楷体"/>
              <w:szCs w:val="24"/>
            </w:rPr>
            <w:t>锌：内外盘同频价格向弱，利好仍存锌价有支撑</w:t>
          </w:r>
          <w:r>
            <w:rPr>
              <w:bCs/>
            </w:rPr>
            <w:fldChar w:fldCharType="end"/>
          </w:r>
        </w:p>
        <w:p>
          <w:pPr>
            <w:pStyle w:val="6"/>
            <w:tabs>
              <w:tab w:val="right" w:leader="dot" w:pos="8306"/>
            </w:tabs>
          </w:pPr>
          <w:r>
            <w:rPr>
              <w:bCs/>
            </w:rPr>
            <w:fldChar w:fldCharType="begin"/>
          </w:r>
          <w:r>
            <w:rPr>
              <w:bCs/>
            </w:rPr>
            <w:instrText xml:space="preserve"> HYPERLINK \l _Toc28619 </w:instrText>
          </w:r>
          <w:r>
            <w:rPr>
              <w:bCs/>
            </w:rPr>
            <w:fldChar w:fldCharType="separate"/>
          </w:r>
          <w:r>
            <w:rPr>
              <w:rFonts w:hint="eastAsia" w:ascii="楷体" w:hAnsi="楷体" w:eastAsia="楷体"/>
              <w:szCs w:val="24"/>
            </w:rPr>
            <w:t>镍：警惕价格回落风险</w:t>
          </w:r>
          <w:r>
            <w:rPr>
              <w:bCs/>
            </w:rPr>
            <w:fldChar w:fldCharType="end"/>
          </w:r>
        </w:p>
        <w:p>
          <w:pPr>
            <w:pStyle w:val="6"/>
            <w:tabs>
              <w:tab w:val="right" w:leader="dot" w:pos="8306"/>
            </w:tabs>
          </w:pPr>
          <w:r>
            <w:rPr>
              <w:bCs/>
            </w:rPr>
            <w:fldChar w:fldCharType="begin"/>
          </w:r>
          <w:r>
            <w:rPr>
              <w:bCs/>
            </w:rPr>
            <w:instrText xml:space="preserve"> HYPERLINK \l _Toc8380 </w:instrText>
          </w:r>
          <w:r>
            <w:rPr>
              <w:bCs/>
            </w:rPr>
            <w:fldChar w:fldCharType="separate"/>
          </w:r>
          <w:r>
            <w:rPr>
              <w:rFonts w:hint="eastAsia" w:ascii="楷体" w:hAnsi="楷体" w:eastAsia="楷体"/>
              <w:szCs w:val="24"/>
            </w:rPr>
            <w:t>不锈钢：短期仍有下行压力</w:t>
          </w:r>
          <w:r>
            <w:rPr>
              <w:bCs/>
            </w:rPr>
            <w:fldChar w:fldCharType="end"/>
          </w:r>
        </w:p>
        <w:p>
          <w:pPr>
            <w:pStyle w:val="6"/>
            <w:tabs>
              <w:tab w:val="right" w:leader="dot" w:pos="8306"/>
            </w:tabs>
          </w:pPr>
          <w:r>
            <w:rPr>
              <w:bCs/>
            </w:rPr>
            <w:fldChar w:fldCharType="begin"/>
          </w:r>
          <w:r>
            <w:rPr>
              <w:bCs/>
            </w:rPr>
            <w:instrText xml:space="preserve"> HYPERLINK \l _Toc11538 </w:instrText>
          </w:r>
          <w:r>
            <w:rPr>
              <w:bCs/>
            </w:rPr>
            <w:fldChar w:fldCharType="separate"/>
          </w:r>
          <w:r>
            <w:rPr>
              <w:rFonts w:hint="eastAsia" w:ascii="楷体" w:hAnsi="楷体" w:eastAsia="楷体"/>
              <w:szCs w:val="24"/>
            </w:rPr>
            <w:t>工业硅：硅料价格松动对工业硅支撑将弱化</w:t>
          </w:r>
          <w:r>
            <w:rPr>
              <w:bCs/>
            </w:rPr>
            <w:fldChar w:fldCharType="end"/>
          </w:r>
        </w:p>
        <w:p>
          <w:pPr>
            <w:pStyle w:val="5"/>
            <w:tabs>
              <w:tab w:val="right" w:leader="dot" w:pos="8306"/>
            </w:tabs>
          </w:pPr>
          <w:r>
            <w:rPr>
              <w:bCs/>
            </w:rPr>
            <w:fldChar w:fldCharType="begin"/>
          </w:r>
          <w:r>
            <w:rPr>
              <w:bCs/>
            </w:rPr>
            <w:instrText xml:space="preserve"> HYPERLINK \l _Toc21123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_Toc19204 </w:instrText>
          </w:r>
          <w:r>
            <w:rPr>
              <w:bCs/>
            </w:rPr>
            <w:fldChar w:fldCharType="separate"/>
          </w:r>
          <w:r>
            <w:rPr>
              <w:rFonts w:hint="eastAsia" w:ascii="Times New Roman" w:hAnsi="Times New Roman" w:eastAsia="楷体"/>
              <w:szCs w:val="24"/>
            </w:rPr>
            <w:t>乙二醇：终端持续改善 走势偏坚挺</w:t>
          </w:r>
          <w:r>
            <w:rPr>
              <w:bCs/>
            </w:rPr>
            <w:fldChar w:fldCharType="end"/>
          </w:r>
        </w:p>
        <w:p>
          <w:pPr>
            <w:pStyle w:val="6"/>
            <w:tabs>
              <w:tab w:val="right" w:leader="dot" w:pos="8306"/>
            </w:tabs>
          </w:pPr>
          <w:r>
            <w:rPr>
              <w:bCs/>
            </w:rPr>
            <w:fldChar w:fldCharType="begin"/>
          </w:r>
          <w:r>
            <w:rPr>
              <w:bCs/>
            </w:rPr>
            <w:instrText xml:space="preserve"> HYPERLINK \l _Toc3702 </w:instrText>
          </w:r>
          <w:r>
            <w:rPr>
              <w:bCs/>
            </w:rPr>
            <w:fldChar w:fldCharType="separate"/>
          </w:r>
          <w:r>
            <w:rPr>
              <w:rFonts w:ascii="楷体" w:hAnsi="楷体" w:eastAsia="楷体"/>
              <w:szCs w:val="24"/>
            </w:rPr>
            <w:t>PTA</w:t>
          </w:r>
          <w:r>
            <w:rPr>
              <w:rFonts w:hint="eastAsia" w:ascii="楷体" w:hAnsi="楷体" w:eastAsia="楷体"/>
              <w:szCs w:val="24"/>
            </w:rPr>
            <w:t>：终端持续性正反馈VS油价面临下行风险  建议观望</w:t>
          </w:r>
          <w:r>
            <w:rPr>
              <w:bCs/>
            </w:rPr>
            <w:fldChar w:fldCharType="end"/>
          </w:r>
        </w:p>
        <w:p>
          <w:pPr>
            <w:pStyle w:val="6"/>
            <w:tabs>
              <w:tab w:val="right" w:leader="dot" w:pos="8306"/>
            </w:tabs>
          </w:pPr>
          <w:r>
            <w:rPr>
              <w:bCs/>
            </w:rPr>
            <w:fldChar w:fldCharType="begin"/>
          </w:r>
          <w:r>
            <w:rPr>
              <w:bCs/>
            </w:rPr>
            <w:instrText xml:space="preserve"> HYPERLINK \l _Toc18156 </w:instrText>
          </w:r>
          <w:r>
            <w:rPr>
              <w:bCs/>
            </w:rPr>
            <w:fldChar w:fldCharType="separate"/>
          </w:r>
          <w:r>
            <w:rPr>
              <w:rFonts w:hint="eastAsia" w:ascii="楷体" w:hAnsi="楷体" w:eastAsia="楷体"/>
              <w:szCs w:val="24"/>
            </w:rPr>
            <w:t>聚烯烃：供需矛盾改善不佳下，聚烯烃中长期依旧有下跌风险</w:t>
          </w:r>
          <w:r>
            <w:rPr>
              <w:bCs/>
            </w:rPr>
            <w:fldChar w:fldCharType="end"/>
          </w:r>
        </w:p>
        <w:p>
          <w:pPr>
            <w:pStyle w:val="5"/>
            <w:tabs>
              <w:tab w:val="right" w:leader="dot" w:pos="8306"/>
            </w:tabs>
          </w:pPr>
          <w:r>
            <w:rPr>
              <w:bCs/>
            </w:rPr>
            <w:fldChar w:fldCharType="begin"/>
          </w:r>
          <w:r>
            <w:rPr>
              <w:bCs/>
            </w:rPr>
            <w:instrText xml:space="preserve"> HYPERLINK \l _Toc14358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_Toc27686 </w:instrText>
          </w:r>
          <w:r>
            <w:rPr>
              <w:bCs/>
            </w:rPr>
            <w:fldChar w:fldCharType="separate"/>
          </w:r>
          <w:r>
            <w:rPr>
              <w:rFonts w:hint="eastAsia" w:ascii="楷体" w:hAnsi="楷体" w:eastAsia="楷体"/>
              <w:szCs w:val="24"/>
            </w:rPr>
            <w:t>豆粕：短期维持高位震荡</w:t>
          </w:r>
          <w:r>
            <w:rPr>
              <w:bCs/>
            </w:rPr>
            <w:fldChar w:fldCharType="end"/>
          </w:r>
        </w:p>
        <w:p>
          <w:pPr>
            <w:pStyle w:val="6"/>
            <w:tabs>
              <w:tab w:val="right" w:leader="dot" w:pos="8306"/>
            </w:tabs>
          </w:pPr>
          <w:r>
            <w:rPr>
              <w:bCs/>
            </w:rPr>
            <w:fldChar w:fldCharType="begin"/>
          </w:r>
          <w:r>
            <w:rPr>
              <w:bCs/>
            </w:rPr>
            <w:instrText xml:space="preserve"> HYPERLINK \l _Toc29635 </w:instrText>
          </w:r>
          <w:r>
            <w:rPr>
              <w:bCs/>
            </w:rPr>
            <w:fldChar w:fldCharType="separate"/>
          </w:r>
          <w:r>
            <w:rPr>
              <w:rFonts w:hint="eastAsia" w:ascii="楷体" w:hAnsi="楷体" w:eastAsia="楷体"/>
              <w:szCs w:val="24"/>
            </w:rPr>
            <w:t>油脂：多空因素扰动，短期预计维持宽幅震荡</w:t>
          </w:r>
          <w:r>
            <w:rPr>
              <w:bCs/>
            </w:rPr>
            <w:fldChar w:fldCharType="end"/>
          </w:r>
        </w:p>
        <w:p>
          <w:pPr>
            <w:pStyle w:val="6"/>
            <w:tabs>
              <w:tab w:val="right" w:leader="dot" w:pos="8306"/>
            </w:tabs>
          </w:pPr>
          <w:r>
            <w:rPr>
              <w:bCs/>
            </w:rPr>
            <w:fldChar w:fldCharType="begin"/>
          </w:r>
          <w:r>
            <w:rPr>
              <w:bCs/>
            </w:rPr>
            <w:instrText xml:space="preserve"> HYPERLINK \l _Toc566 </w:instrText>
          </w:r>
          <w:r>
            <w:rPr>
              <w:bCs/>
            </w:rPr>
            <w:fldChar w:fldCharType="separate"/>
          </w:r>
          <w:r>
            <w:rPr>
              <w:rFonts w:hint="eastAsia" w:ascii="楷体" w:hAnsi="楷体" w:eastAsia="楷体"/>
              <w:bCs/>
            </w:rPr>
            <w:t>玉米与淀粉：</w:t>
          </w:r>
          <w:r>
            <w:rPr>
              <w:rFonts w:hint="eastAsia" w:ascii="楷体" w:hAnsi="楷体" w:eastAsia="楷体"/>
            </w:rPr>
            <w:t>留意淀粉-玉米价差走势</w:t>
          </w:r>
          <w:r>
            <w:rPr>
              <w:bCs/>
            </w:rPr>
            <w:fldChar w:fldCharType="end"/>
          </w:r>
        </w:p>
        <w:p>
          <w:pPr>
            <w:pStyle w:val="6"/>
            <w:tabs>
              <w:tab w:val="right" w:leader="dot" w:pos="8306"/>
            </w:tabs>
          </w:pPr>
          <w:r>
            <w:rPr>
              <w:bCs/>
            </w:rPr>
            <w:fldChar w:fldCharType="begin"/>
          </w:r>
          <w:r>
            <w:rPr>
              <w:bCs/>
            </w:rPr>
            <w:instrText xml:space="preserve"> HYPERLINK \l _Toc29931 </w:instrText>
          </w:r>
          <w:r>
            <w:rPr>
              <w:bCs/>
            </w:rPr>
            <w:fldChar w:fldCharType="separate"/>
          </w:r>
          <w:r>
            <w:rPr>
              <w:rFonts w:hint="eastAsia" w:ascii="楷体" w:hAnsi="楷体" w:eastAsia="楷体"/>
              <w:bCs/>
            </w:rPr>
            <w:t>畜禽养殖：需求担忧带动近月期价大幅下跌</w:t>
          </w:r>
          <w:r>
            <w:rPr>
              <w:bCs/>
            </w:rPr>
            <w:fldChar w:fldCharType="end"/>
          </w:r>
        </w:p>
        <w:p>
          <w:pPr>
            <w:pStyle w:val="6"/>
            <w:tabs>
              <w:tab w:val="right" w:leader="dot" w:pos="8306"/>
            </w:tabs>
          </w:pPr>
          <w:r>
            <w:rPr>
              <w:bCs/>
            </w:rPr>
            <w:fldChar w:fldCharType="begin"/>
          </w:r>
          <w:r>
            <w:rPr>
              <w:bCs/>
            </w:rPr>
            <w:instrText xml:space="preserve"> HYPERLINK \l _Toc22734 </w:instrText>
          </w:r>
          <w:r>
            <w:rPr>
              <w:bCs/>
            </w:rPr>
            <w:fldChar w:fldCharType="separate"/>
          </w:r>
          <w:r>
            <w:rPr>
              <w:rFonts w:hint="eastAsia" w:ascii="楷体" w:hAnsi="楷体" w:eastAsia="楷体"/>
              <w:szCs w:val="24"/>
            </w:rPr>
            <w:t>郑棉：预期种植面积下降，美棉区间震荡</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16932"/>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452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待震荡消化后，短线低多IH，中线低多IC</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受疫情影响，11月经济数据整体疲弱且从国外经验看，往后两个月在感染人数持续上升背景下，经济活动不可避免将受到一定影响，短期而言市场还需震荡消化羸弱的基本面现实，不建议追高。从中央经济工作会议定调可预见2023年仍是稳增长政策大年，政策驱动特征明显，尽管市场对政策预期最“兴奋”的时期已过，但新的政策组合拳必定将不断加大力度且具有实质作用，对市场的支撑作用仍将持续，后续伴随美国经济回落加速， 海外环境亦将逐步改善。技术上，大盘跌至本轮上升趋势线上，存一定支撑力，可以分批逢低布局思路为主，待震荡消化后，短线低多IH，中线低多IC 。</w:t>
      </w:r>
    </w:p>
    <w:p>
      <w:pPr>
        <w:pBdr>
          <w:top w:val="single" w:color="auto" w:sz="4" w:space="0"/>
        </w:pBdr>
        <w:outlineLvl w:val="0"/>
        <w:rPr>
          <w:rFonts w:ascii="Times New Roman" w:hAnsi="Times New Roman" w:eastAsia="楷体"/>
          <w:b/>
          <w:color w:val="823C0B"/>
          <w:sz w:val="30"/>
          <w:szCs w:val="30"/>
        </w:rPr>
      </w:pPr>
      <w:bookmarkStart w:id="7" w:name="金属"/>
      <w:bookmarkStart w:id="8" w:name="_Toc3096"/>
      <w:bookmarkStart w:id="9" w:name="_Toc20891"/>
      <w:bookmarkStart w:id="10" w:name="_Toc3245"/>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32344"/>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会议未有超预期表述，钢价宽幅震荡，观望为主</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一二线疫情第一轮达峰时间较预期有所提前，有利于明年的经济复苏。会议更多是未有关于地产的超预期表述下，前底过于乐观情绪有所调整。短期现货低库存高成本及宏观偏暖情况下，较难看到大跌的矛盾，预计钢价转为宽幅震荡。。</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1356"/>
      <w:bookmarkStart w:id="16" w:name="_Toc4790"/>
      <w:bookmarkStart w:id="17" w:name="_Toc25313"/>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短期内或面临利多出尽，随钢价波动</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冬储交易或相对充分，短期钢材现实需求较难支撑钢厂复产，市场对利多定价较为充分，建议观望为主。焦炭05或在（2680,2780）震荡运行，但目前仍需等待现实情况。</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1711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短期内或面临利多出尽，随钢价波动    </w:t>
      </w:r>
      <w:bookmarkEnd w:id="18"/>
    </w:p>
    <w:p>
      <w:pPr>
        <w:ind w:left="630" w:leftChars="300"/>
        <w:rPr>
          <w:rFonts w:ascii="楷体" w:hAnsi="楷体" w:eastAsia="楷体"/>
          <w:bCs/>
          <w:sz w:val="24"/>
          <w:szCs w:val="24"/>
        </w:rPr>
      </w:pPr>
      <w:r>
        <w:rPr>
          <w:rFonts w:hint="eastAsia" w:ascii="楷体" w:hAnsi="楷体" w:eastAsia="楷体"/>
          <w:sz w:val="24"/>
          <w:szCs w:val="24"/>
        </w:rPr>
        <w:t>短期钢材现实需求较难支撑钢厂复产，市场对利多定价较为充分，后续随钢价波动建议观望为主。预计短期焦煤05合约在（1850,1950）区间震荡。</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2976"/>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乐观情绪退潮，短期铜价承压运行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(1)库存：12月16日，SHFE周库存64041吨，较上周五减14505吨。LME仓单库存84100吨，较上周五减1325吨。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(2)精废价差：12月16日，Mysteel精废价差1499，收窄79。目前价差在合理价差1358之上。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高通胀高利率环境对整体需求依旧形成冲击，这将继续限制短中期铜价反弹空间。在国内疫情防控政策转向的情况下，疫情的中长期冲击正在迅速转变为短期冲击，铜价承压运行，但短期低库存仍提供底部支撑。预计本周沪铜主力期价波动于64000-66500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6247"/>
      <w:bookmarkStart w:id="23" w:name="_Toc8897"/>
      <w:bookmarkStart w:id="24" w:name="_Toc751"/>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价格仍有支撑，铝价高位震荡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11月CPI增速创年内新低，风险投资市场情绪被点燃，美联储有望放缓加息，有色盘面利好。国内制造业数据落入衰退区间，多项高频数据延续疲软，整体经济压力较大，虽有利好政策频频出台，但实际消费面仍未明显反映出政策利好引导，伴随疫情管控的进一步宽松，内需有较强动力。</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海外铝市延续供需双弱状态，国内电解铝运行产能持续抬升，但近期进入冬季电力再度吃紧，进入消费淡季需求疲弱，但铝库仍维持低位，关注累库拐点，短期铝价仍有支撑，价格维持高位震荡。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7676"/>
      <w:r>
        <w:rPr>
          <w:rFonts w:hint="eastAsia" w:ascii="楷体" w:hAnsi="楷体" w:eastAsia="楷体"/>
          <w:b/>
          <w:color w:val="000000" w:themeColor="text1"/>
          <w:sz w:val="24"/>
          <w:szCs w:val="24"/>
          <w14:textFill>
            <w14:solidFill>
              <w14:schemeClr w14:val="tx1"/>
            </w14:solidFill>
          </w14:textFill>
        </w:rPr>
        <w:t>锌：内外盘同频价格向弱，利好仍存锌价有支撑</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14日沪锌隔夜收盘价格24485元/吨，跌幅1.37%，上海有色网0#锌锭（Zn99.995）现货报价25190元/吨，较上一统计日报价下跌190元/吨。关注周四晚美联储议息决议。国内多项利好政策落地，政府敦促优化防疫政策落地有力提振市场情绪，人民币温和走强，但国内实际消费受到疫情等不可抗力因素影响表现仍缺乏亮点。供需面来看，锌矿供应趋向宽松，矿商、冶炼商综合利润持续走高，锌产略有抬升，下游企业采购情绪平淡，海内外库存量已在底部，LME锌库存和注册仓单降至四十年来最低水平，低库存现状短期难以改变，短期锌价判断偏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8619"/>
      <w:r>
        <w:rPr>
          <w:rFonts w:hint="eastAsia" w:ascii="楷体" w:hAnsi="楷体" w:eastAsia="楷体"/>
          <w:b/>
          <w:color w:val="000000" w:themeColor="text1"/>
          <w:sz w:val="24"/>
          <w:szCs w:val="24"/>
          <w14:textFill>
            <w14:solidFill>
              <w14:schemeClr w14:val="tx1"/>
            </w14:solidFill>
          </w14:textFill>
        </w:rPr>
        <w:t>镍：警惕价格回落风险</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期整体宏观情绪乐观叠加镍板资源偏紧对镍价有所支撑，镍价表现震荡走强，海外经济下行压力逐渐显现，LME镍库存开始稳中回升，现货大幅贴水，供需边际存转弱迹象。短期宏观利多情绪消化后，警惕价格回落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8380"/>
      <w:r>
        <w:rPr>
          <w:rFonts w:hint="eastAsia" w:ascii="楷体" w:hAnsi="楷体" w:eastAsia="楷体"/>
          <w:b/>
          <w:color w:val="000000" w:themeColor="text1"/>
          <w:sz w:val="24"/>
          <w:szCs w:val="24"/>
          <w14:textFill>
            <w14:solidFill>
              <w14:schemeClr w14:val="tx1"/>
            </w14:solidFill>
          </w14:textFill>
        </w:rPr>
        <w:t>不锈钢：短期仍有下行压力</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两日不锈钢期价大幅减仓下行。前期受宏观利好刺激，不锈钢维持震荡偏强走势，钢厂利润修复后产量有所释放，终端消费淡季下社会库存周内再次出现明显累积，“强预期”热情在近期疫情快速扩散压力下有所褪去。短期或仍有下调压力，底部存成本支撑，盘面关注16500一线支撑。</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1153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硅料价格松动对工业硅支撑将弱化</w:t>
      </w:r>
      <w:bookmarkEnd w:id="28"/>
    </w:p>
    <w:p>
      <w:pPr>
        <w:ind w:left="630" w:leftChars="300"/>
        <w:rPr>
          <w:rFonts w:ascii="楷体" w:hAnsi="楷体" w:eastAsia="楷体"/>
          <w:sz w:val="24"/>
          <w:szCs w:val="24"/>
        </w:rPr>
      </w:pPr>
      <w:r>
        <w:rPr>
          <w:rFonts w:hint="eastAsia" w:ascii="楷体" w:hAnsi="楷体" w:eastAsia="楷体"/>
          <w:sz w:val="24"/>
          <w:szCs w:val="24"/>
        </w:rPr>
        <w:t>12月16日，华东地区553（通氧）18950元/吨，较上个统计日持平，当前市场供需矛盾无改观，仍处于高成本低需求矛盾，市场仍旧较弱运行。在疫情防控政策优化下，新疆伊犁、石河子等地硅厂恢复生产，近期已复炉30余台，预计供应也将逐步恢复。下游多晶硅价格开始明显松动，也将弱化对工业硅价格的支撑作用，短期来看市场仍旧维持弱稳运行。</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21123"/>
      <w:r>
        <w:rPr>
          <w:rFonts w:hint="eastAsia" w:ascii="Times New Roman" w:hAnsi="Times New Roman" w:eastAsia="楷体"/>
          <w:b/>
          <w:color w:val="823C0B"/>
          <w:sz w:val="30"/>
          <w:szCs w:val="30"/>
        </w:rPr>
        <w:t>[化工]</w:t>
      </w:r>
      <w:bookmarkEnd w:id="29"/>
      <w:bookmarkEnd w:id="30"/>
    </w:p>
    <w:p>
      <w:pPr>
        <w:ind w:firstLine="482" w:firstLineChars="200"/>
        <w:outlineLvl w:val="1"/>
        <w:rPr>
          <w:rFonts w:hint="eastAsia" w:ascii="Times New Roman" w:hAnsi="Times New Roman" w:eastAsia="楷体"/>
          <w:b/>
          <w:sz w:val="24"/>
          <w:szCs w:val="24"/>
        </w:rPr>
      </w:pPr>
      <w:bookmarkStart w:id="31" w:name="_Toc19204"/>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终端持续改善 走势偏坚挺</w:t>
      </w:r>
      <w:bookmarkEnd w:id="31"/>
    </w:p>
    <w:p>
      <w:pPr>
        <w:ind w:left="630" w:leftChars="300"/>
        <w:rPr>
          <w:rFonts w:ascii="楷体" w:hAnsi="楷体" w:eastAsia="楷体"/>
          <w:sz w:val="24"/>
          <w:szCs w:val="24"/>
        </w:rPr>
      </w:pPr>
      <w:r>
        <w:rPr>
          <w:rFonts w:hint="eastAsia" w:ascii="楷体" w:hAnsi="楷体" w:eastAsia="楷体"/>
          <w:sz w:val="24"/>
          <w:szCs w:val="24"/>
        </w:rPr>
        <w:t>MEG：12.12华东主港地区 MEG港口库存约96.1万吨附近，环比上期增加7.3万吨。12月12日至12月18日，主港计划到货总数为13.7万吨，环比减少9万吨。供需情况，截至12月15日中国大陆地区乙二醇整体开工负荷在56%（-0.12%），其中煤制乙二醇开工负荷在38.56%（-0.77%），乙二醇负荷小幅下滑。新装置方面，海南一套80万吨/年的MEG新装置计划于本月底前后投产。本周期聚酯装置有轮动检修和开启，综合聚酯负荷继续下滑。截至12.15，初步核算国内大陆地区聚酯负荷在68.1%，变化不大。终端开工继续向上修复，江浙终端工厂原料备货追加，坯布库存持续下滑。截至12.15，江浙加弹开工率65%（+13%）、江浙织机开工率58%（+11%）、浙江印染开工率70%（+14%）。综合来看，近期宏观面及基本面稍有改善，随着防疫政策的放开，部分终端企业投机性补货需求显现。外盘进口方面，预估1月份开始美国货到货预计降至3-4万吨/月。近洋方面，前期停车的装置如台湾南亚、韩国乐天、KPIC等均无重启计划，未来几个月进口估计缩量。短期来看，产业链自下而上的情绪好转及正反馈仍在继续，乙二醇短期内价格偏坚挺。</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3702"/>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：终端持续性正反馈VS油价面临下行风险  建议观望</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供需方面，中国大陆装置变动：亚东重启，但独山能源，逸盛海南等PTA装置下调负荷，能投计划外停车，至12.15 PTA负荷降至63.7%（-2.8%）。新装置方面山东威联PTA装置一条线投料，昨晚已出合格品。聚酯方面，本周聚酯装置有轮动检修和开启，综合聚酯负荷继续下滑。截至12.15，初步核算国内大陆地区聚酯负荷在68.1%，涤纶长丝基本面阶段性出现明显改善的情况下，涤纶长丝短期减产动作或会放缓，后续负荷将跟随下游开机率调整。终端方面，随着防疫政策放开及天气转冷，本周期江浙终端开工继续提升，江浙终端工厂原料备货继续追加，终端赶尾单生产集中，坯布库存持续下降。短期来看，PTA存量装置检修增多，增量装置尚未稳定投产，供给端压力不大。近期终端开工率明显改善，聚酯产销阶段性有提升。原计划12月中停车放假的工厂，停车行动多后延至12月下旬或1月初附近。短期来看，在油价企稳及终端持续正反馈带动聚酯负荷明显转好预期下，TA近月合约存短多机会。中长期来看，PX和PTA新产能投放预期下，12月起PX进入到大幅度累库时期，加工费预计将进一步压缩。行业实质性需求恢复仍需要缓冲期，聚酯降负及放假临近，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18156"/>
      <w:r>
        <w:rPr>
          <w:rFonts w:hint="eastAsia" w:ascii="楷体" w:hAnsi="楷体" w:eastAsia="楷体"/>
          <w:b/>
          <w:color w:val="000000" w:themeColor="text1"/>
          <w:sz w:val="24"/>
          <w:szCs w:val="24"/>
          <w14:textFill>
            <w14:solidFill>
              <w14:schemeClr w14:val="tx1"/>
            </w14:solidFill>
          </w14:textFill>
        </w:rPr>
        <w:t>聚烯烃：供需矛盾改善不佳下，聚烯烃中长期依旧有下跌风险</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回落。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欧美央行暗示明年利率将继续上调并保持高位，引发了对全球经济放缓可能导致能源需求下降的担忧，国际油价尾随全球多数股市下跌，目前油制PE利润大约为71.36元/吨，油制PP利润大约为-1138元/吨，相较年度偏低位置已有较大恢复；需求方面，PE下游方面，棚膜需求持续减弱，地膜订单跟进缓慢，农膜厂家仍略显谨慎，坚持刚需采购。PP方面，BOPP整体成交一般，BOPP企业未交付订单多数在5-15天，部分至12月下旬。综合来看，原油成本端价格偏一般，对聚烯烃支撑较俄乌战争初期仍有明显减弱，同时下游需求多以刚性补库为主，需求较弱，难以大幅放量，供需矛盾变化不大下，预计今日聚烯烃窄幅回落。此前关于宏观利好的炒作情绪一定程度上支撑市场价格，但持续性不会过长，短期暂时维持小幅调整，中长期依旧有下行风险。12月PE、PP仍有多套装置等待投产，叠加进口套利窗口打开，供应压力不减。塑料供需趋弱累库下高空思路不变，上行空间有限。预计在成本波动、下游未有改善下聚烯烃将窄幅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14358"/>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27686"/>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w:t>
      </w:r>
      <w:bookmarkEnd w:id="35"/>
    </w:p>
    <w:p>
      <w:pPr>
        <w:ind w:left="630" w:leftChars="300"/>
        <w:rPr>
          <w:rFonts w:ascii="楷体" w:hAnsi="楷体" w:eastAsia="楷体"/>
          <w:sz w:val="24"/>
          <w:szCs w:val="24"/>
        </w:rPr>
      </w:pPr>
      <w:r>
        <w:rPr>
          <w:rFonts w:hint="eastAsia" w:ascii="楷体" w:hAnsi="楷体" w:eastAsia="楷体"/>
          <w:sz w:val="24"/>
          <w:szCs w:val="24"/>
        </w:rPr>
        <w:t>外盘方面，在美联储加息决议公布后，欧央行也继续加息，加剧市场对经济衰退的担忧。在宏观氛围偏空影响下，美豆表现较抗跌，仍有南美天气升水支撑。国内市场，11月进口大豆到港不及预期，港口库存累库速度放缓，预计11月延迟量将陆续在12月到港。大部分油厂恢复开工，开机率大幅回升压榨增加，豆粕库存拐点逐步显现，逐步进入累库阶段。下游养殖利润虽近期有所下滑但整体较好，因冬季腌腊需求生猪集中出栏，饲企和养殖企业等采购需求减弱，但仍保持刚需补库及后续有节前备货需求。短期临近交割月资金移仓换月盘面有所回落，但高基差仍会对近月构成支撑，若未明显利空行情下，预计豆粕仍将维持高位震荡；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2963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多空因素扰动，短期预计维持宽幅震荡</w:t>
      </w:r>
      <w:bookmarkEnd w:id="36"/>
    </w:p>
    <w:p>
      <w:pPr>
        <w:ind w:left="630" w:leftChars="300"/>
        <w:rPr>
          <w:rFonts w:ascii="楷体" w:hAnsi="楷体" w:eastAsia="楷体"/>
          <w:sz w:val="24"/>
          <w:szCs w:val="24"/>
        </w:rPr>
      </w:pPr>
      <w:r>
        <w:rPr>
          <w:rFonts w:hint="eastAsia" w:ascii="楷体" w:hAnsi="楷体" w:eastAsia="楷体"/>
          <w:sz w:val="24"/>
          <w:szCs w:val="24"/>
        </w:rPr>
        <w:t>外盘油脂以及国际原油价格在宏观氛围偏空影响下承压回落。棕榈油支撑主要来自产地减产预期以及印尼生柴政策利好。数据显示12月1-15日马棕单产减少6%，出油率减少0.14%，产量减少6.73%。而国内棕榈油供应较宽松，需求方面在冬季消费淡季下增量有限，在供应压力下棕榈油上方压力仍存。近期豆油下游成交有所回暖，进入传统旺季备货阶段，虽近期防疫政策优化，但下游消费未见明显好转，而棕榈油进入季节性消费淡季提振部分豆油替代消费。近期因11月大豆到港延迟，累库进度放缓。但随着12月到港修复，油厂压榨持续恢复后边际供应预计由紧转松，关注豆油库存修复情况，短期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及下游消费整体呈现旺季不旺的局面，上方空间预计有限，短期油脂单边波动较大，建议波段操作，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56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留意淀粉-玉米价差走势</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关注现货和基差支撑。考虑到国内中下游节前备货需求带来期价阶段性调整的可能性，建议激进投资者前期玉米或淀粉空单继续持有，谨慎投资者可考虑获利离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继续收窄，主要源于副产品端、成本端与供需端的三个方面的原因，其中主导原因或在于供需端，即行业开机率回升，而下游需求引发市场担忧。但值得一提的是，目前价差已经逼近前期低点，而副产品价格逐步回落，带动期现货生产利润下滑，或有利于后期行业供需改善。在这种情况下，淀粉-玉米价差套利暂建议观望，激进投资者可以轻仓布局做多价差。</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9931"/>
      <w:r>
        <w:rPr>
          <w:rFonts w:hint="eastAsia" w:ascii="楷体" w:hAnsi="楷体" w:eastAsia="楷体"/>
          <w:b/>
          <w:bCs/>
          <w:color w:val="000000" w:themeColor="text1"/>
          <w14:textFill>
            <w14:solidFill>
              <w14:schemeClr w14:val="tx1"/>
            </w14:solidFill>
          </w14:textFill>
        </w:rPr>
        <w:t>畜禽养殖：需求担忧带动近月期价大幅下跌</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期价近弱远强带动期价结构持续转变，低点从之前的7月合约前移至3月，之后合约较3月合约均出现小幅升水，主要源于12月以来现货价格的反季节性下跌，使得市场对于防疫政策变动对于需求的影响由正面转向负面，即转而担心春节前后的市场需求。在我们看来，疫情因素对需求的影响意味着“危”与“机”并存，因其短期和中长期影响有所不同，短期利空或有助于供应出清，后期需求改善或将导致供需发生改变，有望带来期价阶段性反弹机会。考虑到当前需求利空或将继续，而期价已经跌至成本端下方，维持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市场对需求端的担忧加剧，受猪价持续反季节性大幅下跌带动，市场对春节前后需求的担忧加剧，近期鸡蛋现货亦转为震荡下行。这使得市场再度回归供需两弱格局，期价更多依赖供应端和基差的支撑。考虑到市场对鸡蛋需求的担忧，短期转为中性，建议投资者暂以观望为宜，等待需求回暖后的做多机会。</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22734"/>
      <w:r>
        <w:rPr>
          <w:rFonts w:hint="eastAsia" w:ascii="楷体" w:hAnsi="楷体" w:eastAsia="楷体"/>
          <w:b/>
          <w:sz w:val="24"/>
          <w:szCs w:val="24"/>
        </w:rPr>
        <w:t>郑棉：预期种植面积下降，美棉区间震荡</w:t>
      </w:r>
      <w:bookmarkEnd w:id="39"/>
    </w:p>
    <w:p>
      <w:pPr>
        <w:ind w:left="630" w:leftChars="300"/>
        <w:rPr>
          <w:rFonts w:hint="eastAsia" w:ascii="楷体" w:hAnsi="楷体" w:eastAsia="楷体"/>
          <w:sz w:val="24"/>
          <w:szCs w:val="24"/>
        </w:rPr>
      </w:pPr>
      <w:r>
        <w:rPr>
          <w:rFonts w:hint="eastAsia" w:ascii="楷体" w:hAnsi="楷体" w:eastAsia="楷体"/>
          <w:sz w:val="24"/>
          <w:szCs w:val="24"/>
        </w:rPr>
        <w:t>强预期逻辑推动郑棉上行，缺乏实质支撑，观望</w:t>
      </w:r>
    </w:p>
    <w:p>
      <w:pPr>
        <w:ind w:left="630" w:leftChars="300"/>
        <w:rPr>
          <w:rFonts w:ascii="楷体" w:hAnsi="楷体" w:eastAsia="楷体"/>
          <w:sz w:val="24"/>
          <w:szCs w:val="24"/>
        </w:rPr>
      </w:pPr>
      <w:r>
        <w:rPr>
          <w:rFonts w:hint="eastAsia" w:ascii="楷体" w:hAnsi="楷体" w:eastAsia="楷体"/>
          <w:sz w:val="24"/>
          <w:szCs w:val="24"/>
        </w:rPr>
        <w:t>在疫情管控措施优化后，各地经济有序恢复中，中大市场恢复运营，对棉纱服装进行补库。但与此同时，新的问题也在显现。随着管控放开，各地阳性人员数量急剧增加。北京、成都、广州等地部分单位阳性人员比例骤升，已影响到企业的正常运行，也有部分生产型企业由于员工阳性过多难以维持正常生产。各地疫情峰值多在12月和1月，新春后可能再度迎来一波疫情。对消费干扰仍在，或需要3-6个月时间方能彻底恢复正常。因此，对棉价不宜过度乐观。</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72481108"/>
      <w:bookmarkStart w:id="41" w:name="_Toc71212556"/>
      <w:bookmarkStart w:id="42" w:name="_Toc98426751"/>
      <w:bookmarkStart w:id="43" w:name="_Toc19667"/>
      <w:bookmarkStart w:id="44" w:name="_Toc12779"/>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2022年12月19日星期一</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0C1F7DEE"/>
    <w:rsid w:val="100732C8"/>
    <w:rsid w:val="10DA6205"/>
    <w:rsid w:val="129B2E20"/>
    <w:rsid w:val="12AA5DF8"/>
    <w:rsid w:val="15D52593"/>
    <w:rsid w:val="197E6634"/>
    <w:rsid w:val="1B8A2034"/>
    <w:rsid w:val="1BC72FF7"/>
    <w:rsid w:val="1D5030CD"/>
    <w:rsid w:val="20AE4DE8"/>
    <w:rsid w:val="21996AC1"/>
    <w:rsid w:val="219F3EE2"/>
    <w:rsid w:val="24321B2E"/>
    <w:rsid w:val="26F95364"/>
    <w:rsid w:val="2DE440F7"/>
    <w:rsid w:val="340E7198"/>
    <w:rsid w:val="373F75CC"/>
    <w:rsid w:val="3B3306F0"/>
    <w:rsid w:val="3B563B4D"/>
    <w:rsid w:val="3C2825B0"/>
    <w:rsid w:val="3C2B26B7"/>
    <w:rsid w:val="3D8B796D"/>
    <w:rsid w:val="3DA80A30"/>
    <w:rsid w:val="3EE0186C"/>
    <w:rsid w:val="441077D2"/>
    <w:rsid w:val="44396064"/>
    <w:rsid w:val="45CF0A85"/>
    <w:rsid w:val="4DB20386"/>
    <w:rsid w:val="5005695E"/>
    <w:rsid w:val="51266B84"/>
    <w:rsid w:val="548642E9"/>
    <w:rsid w:val="56DD4D3A"/>
    <w:rsid w:val="57CB522F"/>
    <w:rsid w:val="59C52328"/>
    <w:rsid w:val="5D5617A6"/>
    <w:rsid w:val="5EA7685B"/>
    <w:rsid w:val="62710E5F"/>
    <w:rsid w:val="64C32497"/>
    <w:rsid w:val="66D04BBC"/>
    <w:rsid w:val="685D4EEE"/>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6921</Words>
  <Characters>7444</Characters>
  <Lines>50</Lines>
  <Paragraphs>14</Paragraphs>
  <TotalTime>0</TotalTime>
  <ScaleCrop>false</ScaleCrop>
  <LinksUpToDate>false</LinksUpToDate>
  <CharactersWithSpaces>7475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2022-12-19T02:21:18Z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