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_Toc1535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_Toc28840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低吸IF或IH为主</w:t>
          </w:r>
          <w:r>
            <w:rPr>
              <w:bCs/>
            </w:rPr>
            <w:fldChar w:fldCharType="end"/>
          </w:r>
        </w:p>
        <w:p>
          <w:pPr>
            <w:pStyle w:val="5"/>
            <w:tabs>
              <w:tab w:val="right" w:leader="dot" w:pos="8306"/>
            </w:tabs>
          </w:pPr>
          <w:r>
            <w:rPr>
              <w:bCs/>
            </w:rPr>
            <w:fldChar w:fldCharType="begin"/>
          </w:r>
          <w:r>
            <w:rPr>
              <w:bCs/>
            </w:rPr>
            <w:instrText xml:space="preserve"> HYPERLINK \l _Toc13012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_Toc22861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消息提振市场情绪，或继续震荡偏强</w:t>
          </w:r>
          <w:r>
            <w:rPr>
              <w:bCs/>
            </w:rPr>
            <w:fldChar w:fldCharType="end"/>
          </w:r>
        </w:p>
        <w:p>
          <w:pPr>
            <w:pStyle w:val="6"/>
            <w:tabs>
              <w:tab w:val="right" w:leader="dot" w:pos="8306"/>
            </w:tabs>
          </w:pPr>
          <w:r>
            <w:rPr>
              <w:bCs/>
            </w:rPr>
            <w:fldChar w:fldCharType="begin"/>
          </w:r>
          <w:r>
            <w:rPr>
              <w:bCs/>
            </w:rPr>
            <w:instrText xml:space="preserve"> HYPERLINK \l _Toc1175 </w:instrText>
          </w:r>
          <w:r>
            <w:rPr>
              <w:bCs/>
            </w:rPr>
            <w:fldChar w:fldCharType="separate"/>
          </w:r>
          <w:r>
            <w:rPr>
              <w:rFonts w:hint="eastAsia" w:ascii="楷体" w:hAnsi="楷体" w:eastAsia="楷体"/>
              <w:szCs w:val="24"/>
            </w:rPr>
            <w:t>焦炭：震荡上行，逢回调后可试多</w:t>
          </w:r>
          <w:r>
            <w:rPr>
              <w:bCs/>
            </w:rPr>
            <w:fldChar w:fldCharType="end"/>
          </w:r>
          <w:bookmarkStart w:id="45" w:name="_GoBack"/>
          <w:bookmarkEnd w:id="45"/>
        </w:p>
        <w:p>
          <w:pPr>
            <w:pStyle w:val="6"/>
            <w:tabs>
              <w:tab w:val="right" w:leader="dot" w:pos="8306"/>
            </w:tabs>
          </w:pPr>
          <w:r>
            <w:rPr>
              <w:bCs/>
            </w:rPr>
            <w:fldChar w:fldCharType="begin"/>
          </w:r>
          <w:r>
            <w:rPr>
              <w:bCs/>
            </w:rPr>
            <w:instrText xml:space="preserve"> HYPERLINK \l _Toc13702 </w:instrText>
          </w:r>
          <w:r>
            <w:rPr>
              <w:bCs/>
            </w:rPr>
            <w:fldChar w:fldCharType="separate"/>
          </w:r>
          <w:r>
            <w:rPr>
              <w:rFonts w:hint="eastAsia" w:ascii="楷体" w:hAnsi="楷体" w:eastAsia="楷体"/>
              <w:szCs w:val="24"/>
            </w:rPr>
            <w:t>焦煤：短期现货压制高度，突破仍需钢价上行   </w:t>
          </w:r>
          <w:r>
            <w:rPr>
              <w:bCs/>
            </w:rPr>
            <w:fldChar w:fldCharType="end"/>
          </w:r>
        </w:p>
        <w:p>
          <w:pPr>
            <w:pStyle w:val="6"/>
            <w:tabs>
              <w:tab w:val="right" w:leader="dot" w:pos="8306"/>
            </w:tabs>
          </w:pPr>
          <w:r>
            <w:rPr>
              <w:bCs/>
            </w:rPr>
            <w:fldChar w:fldCharType="begin"/>
          </w:r>
          <w:r>
            <w:rPr>
              <w:bCs/>
            </w:rPr>
            <w:instrText xml:space="preserve"> HYPERLINK \l _Toc7559 </w:instrText>
          </w:r>
          <w:r>
            <w:rPr>
              <w:bCs/>
            </w:rPr>
            <w:fldChar w:fldCharType="separate"/>
          </w:r>
          <w:r>
            <w:rPr>
              <w:rFonts w:hint="eastAsia" w:ascii="楷体" w:hAnsi="楷体" w:eastAsia="楷体"/>
              <w:szCs w:val="24"/>
            </w:rPr>
            <w:t>铜：短期价格仍有韧性，关注联储利率决议</w:t>
          </w:r>
          <w:r>
            <w:rPr>
              <w:bCs/>
            </w:rPr>
            <w:fldChar w:fldCharType="end"/>
          </w:r>
        </w:p>
        <w:p>
          <w:pPr>
            <w:pStyle w:val="6"/>
            <w:tabs>
              <w:tab w:val="right" w:leader="dot" w:pos="8306"/>
            </w:tabs>
          </w:pPr>
          <w:r>
            <w:rPr>
              <w:bCs/>
            </w:rPr>
            <w:fldChar w:fldCharType="begin"/>
          </w:r>
          <w:r>
            <w:rPr>
              <w:bCs/>
            </w:rPr>
            <w:instrText xml:space="preserve"> HYPERLINK \l _Toc31624 </w:instrText>
          </w:r>
          <w:r>
            <w:rPr>
              <w:bCs/>
            </w:rPr>
            <w:fldChar w:fldCharType="separate"/>
          </w:r>
          <w:r>
            <w:rPr>
              <w:rFonts w:hint="eastAsia" w:ascii="楷体" w:hAnsi="楷体" w:eastAsia="楷体"/>
              <w:szCs w:val="24"/>
            </w:rPr>
            <w:t>铝：宏观利好持续释放，基本面低库存支撑</w:t>
          </w:r>
          <w:r>
            <w:rPr>
              <w:bCs/>
            </w:rPr>
            <w:fldChar w:fldCharType="end"/>
          </w:r>
        </w:p>
        <w:p>
          <w:pPr>
            <w:pStyle w:val="6"/>
            <w:tabs>
              <w:tab w:val="right" w:leader="dot" w:pos="8306"/>
            </w:tabs>
          </w:pPr>
          <w:r>
            <w:rPr>
              <w:bCs/>
            </w:rPr>
            <w:fldChar w:fldCharType="begin"/>
          </w:r>
          <w:r>
            <w:rPr>
              <w:bCs/>
            </w:rPr>
            <w:instrText xml:space="preserve"> HYPERLINK \l _Toc19500 </w:instrText>
          </w:r>
          <w:r>
            <w:rPr>
              <w:bCs/>
            </w:rPr>
            <w:fldChar w:fldCharType="separate"/>
          </w:r>
          <w:r>
            <w:rPr>
              <w:rFonts w:hint="eastAsia" w:ascii="楷体" w:hAnsi="楷体" w:eastAsia="楷体"/>
              <w:szCs w:val="24"/>
            </w:rPr>
            <w:t>锌：宏观利多叠加库存低位，锌价走势偏强</w:t>
          </w:r>
          <w:r>
            <w:rPr>
              <w:bCs/>
            </w:rPr>
            <w:fldChar w:fldCharType="end"/>
          </w:r>
        </w:p>
        <w:p>
          <w:pPr>
            <w:pStyle w:val="6"/>
            <w:tabs>
              <w:tab w:val="right" w:leader="dot" w:pos="8306"/>
            </w:tabs>
          </w:pPr>
          <w:r>
            <w:rPr>
              <w:bCs/>
            </w:rPr>
            <w:fldChar w:fldCharType="begin"/>
          </w:r>
          <w:r>
            <w:rPr>
              <w:bCs/>
            </w:rPr>
            <w:instrText xml:space="preserve"> HYPERLINK \l _Toc21566 </w:instrText>
          </w:r>
          <w:r>
            <w:rPr>
              <w:bCs/>
            </w:rPr>
            <w:fldChar w:fldCharType="separate"/>
          </w:r>
          <w:r>
            <w:rPr>
              <w:rFonts w:hint="eastAsia" w:ascii="楷体" w:hAnsi="楷体" w:eastAsia="楷体"/>
              <w:szCs w:val="24"/>
            </w:rPr>
            <w:t>镍：低库存低流动性下价格波动剧烈，离场观望</w:t>
          </w:r>
          <w:r>
            <w:rPr>
              <w:bCs/>
            </w:rPr>
            <w:fldChar w:fldCharType="end"/>
          </w:r>
        </w:p>
        <w:p>
          <w:pPr>
            <w:pStyle w:val="6"/>
            <w:tabs>
              <w:tab w:val="right" w:leader="dot" w:pos="8306"/>
            </w:tabs>
          </w:pPr>
          <w:r>
            <w:rPr>
              <w:bCs/>
            </w:rPr>
            <w:fldChar w:fldCharType="begin"/>
          </w:r>
          <w:r>
            <w:rPr>
              <w:bCs/>
            </w:rPr>
            <w:instrText xml:space="preserve"> HYPERLINK \l _Toc24633 </w:instrText>
          </w:r>
          <w:r>
            <w:rPr>
              <w:bCs/>
            </w:rPr>
            <w:fldChar w:fldCharType="separate"/>
          </w:r>
          <w:r>
            <w:rPr>
              <w:rFonts w:hint="eastAsia" w:ascii="楷体" w:hAnsi="楷体" w:eastAsia="楷体"/>
              <w:szCs w:val="24"/>
            </w:rPr>
            <w:t>不锈钢：短期无明显利空，价格或延续震荡偏强</w:t>
          </w:r>
          <w:r>
            <w:rPr>
              <w:bCs/>
            </w:rPr>
            <w:fldChar w:fldCharType="end"/>
          </w:r>
        </w:p>
        <w:p>
          <w:pPr>
            <w:pStyle w:val="6"/>
            <w:tabs>
              <w:tab w:val="right" w:leader="dot" w:pos="8306"/>
            </w:tabs>
          </w:pPr>
          <w:r>
            <w:rPr>
              <w:bCs/>
            </w:rPr>
            <w:fldChar w:fldCharType="begin"/>
          </w:r>
          <w:r>
            <w:rPr>
              <w:bCs/>
            </w:rPr>
            <w:instrText xml:space="preserve"> HYPERLINK \l _Toc22814 </w:instrText>
          </w:r>
          <w:r>
            <w:rPr>
              <w:bCs/>
            </w:rPr>
            <w:fldChar w:fldCharType="separate"/>
          </w:r>
          <w:r>
            <w:rPr>
              <w:rFonts w:hint="eastAsia" w:ascii="楷体" w:hAnsi="楷体" w:eastAsia="楷体"/>
              <w:szCs w:val="24"/>
            </w:rPr>
            <w:t>工业硅：新疆供应逐步恢复，短期市场偏弱运行</w:t>
          </w:r>
          <w:r>
            <w:rPr>
              <w:bCs/>
            </w:rPr>
            <w:fldChar w:fldCharType="end"/>
          </w:r>
        </w:p>
        <w:p>
          <w:pPr>
            <w:pStyle w:val="5"/>
            <w:tabs>
              <w:tab w:val="right" w:leader="dot" w:pos="8306"/>
            </w:tabs>
          </w:pPr>
          <w:r>
            <w:rPr>
              <w:bCs/>
            </w:rPr>
            <w:fldChar w:fldCharType="begin"/>
          </w:r>
          <w:r>
            <w:rPr>
              <w:bCs/>
            </w:rPr>
            <w:instrText xml:space="preserve"> HYPERLINK \l _Toc15265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_Toc373 </w:instrText>
          </w:r>
          <w:r>
            <w:rPr>
              <w:bCs/>
            </w:rPr>
            <w:fldChar w:fldCharType="separate"/>
          </w:r>
          <w:r>
            <w:rPr>
              <w:rFonts w:hint="eastAsia" w:ascii="Times New Roman" w:hAnsi="Times New Roman" w:eastAsia="楷体"/>
              <w:szCs w:val="24"/>
            </w:rPr>
            <w:t>乙二醇：供应累库预期  走势承压</w:t>
          </w:r>
          <w:r>
            <w:rPr>
              <w:bCs/>
            </w:rPr>
            <w:fldChar w:fldCharType="end"/>
          </w:r>
        </w:p>
        <w:p>
          <w:pPr>
            <w:pStyle w:val="6"/>
            <w:tabs>
              <w:tab w:val="right" w:leader="dot" w:pos="8306"/>
            </w:tabs>
          </w:pPr>
          <w:r>
            <w:rPr>
              <w:bCs/>
            </w:rPr>
            <w:fldChar w:fldCharType="begin"/>
          </w:r>
          <w:r>
            <w:rPr>
              <w:bCs/>
            </w:rPr>
            <w:instrText xml:space="preserve"> HYPERLINK \l _Toc10511 </w:instrText>
          </w:r>
          <w:r>
            <w:rPr>
              <w:bCs/>
            </w:rPr>
            <w:fldChar w:fldCharType="separate"/>
          </w:r>
          <w:r>
            <w:rPr>
              <w:rFonts w:ascii="楷体" w:hAnsi="楷体" w:eastAsia="楷体"/>
              <w:szCs w:val="24"/>
            </w:rPr>
            <w:t>PTA</w:t>
          </w:r>
          <w:r>
            <w:rPr>
              <w:rFonts w:hint="eastAsia" w:ascii="楷体" w:hAnsi="楷体" w:eastAsia="楷体"/>
              <w:szCs w:val="24"/>
            </w:rPr>
            <w:t>：油价企稳反弹及供需阶段性改善  留意短多机会</w:t>
          </w:r>
          <w:r>
            <w:rPr>
              <w:bCs/>
            </w:rPr>
            <w:fldChar w:fldCharType="end"/>
          </w:r>
        </w:p>
        <w:p>
          <w:pPr>
            <w:pStyle w:val="6"/>
            <w:tabs>
              <w:tab w:val="right" w:leader="dot" w:pos="8306"/>
            </w:tabs>
          </w:pPr>
          <w:r>
            <w:rPr>
              <w:bCs/>
            </w:rPr>
            <w:fldChar w:fldCharType="begin"/>
          </w:r>
          <w:r>
            <w:rPr>
              <w:bCs/>
            </w:rPr>
            <w:instrText xml:space="preserve"> HYPERLINK \l _Toc17266 </w:instrText>
          </w:r>
          <w:r>
            <w:rPr>
              <w:bCs/>
            </w:rPr>
            <w:fldChar w:fldCharType="separate"/>
          </w:r>
          <w:r>
            <w:rPr>
              <w:rFonts w:hint="eastAsia" w:ascii="楷体" w:hAnsi="楷体" w:eastAsia="楷体"/>
              <w:szCs w:val="24"/>
            </w:rPr>
            <w:t>聚烯烃：供需矛盾改善不大下，聚烯烃或延续窄幅调整</w:t>
          </w:r>
          <w:r>
            <w:rPr>
              <w:bCs/>
            </w:rPr>
            <w:fldChar w:fldCharType="end"/>
          </w:r>
        </w:p>
        <w:p>
          <w:pPr>
            <w:pStyle w:val="5"/>
            <w:tabs>
              <w:tab w:val="right" w:leader="dot" w:pos="8306"/>
            </w:tabs>
          </w:pPr>
          <w:r>
            <w:rPr>
              <w:bCs/>
            </w:rPr>
            <w:fldChar w:fldCharType="begin"/>
          </w:r>
          <w:r>
            <w:rPr>
              <w:bCs/>
            </w:rPr>
            <w:instrText xml:space="preserve"> HYPERLINK \l _Toc2915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_Toc20025 </w:instrText>
          </w:r>
          <w:r>
            <w:rPr>
              <w:bCs/>
            </w:rPr>
            <w:fldChar w:fldCharType="separate"/>
          </w:r>
          <w:r>
            <w:rPr>
              <w:rFonts w:hint="eastAsia" w:ascii="楷体" w:hAnsi="楷体" w:eastAsia="楷体"/>
              <w:szCs w:val="24"/>
            </w:rPr>
            <w:t>豆粕：期现回归，期价仍有支撑</w:t>
          </w:r>
          <w:r>
            <w:rPr>
              <w:bCs/>
            </w:rPr>
            <w:fldChar w:fldCharType="end"/>
          </w:r>
        </w:p>
        <w:p>
          <w:pPr>
            <w:pStyle w:val="6"/>
            <w:tabs>
              <w:tab w:val="right" w:leader="dot" w:pos="8306"/>
            </w:tabs>
          </w:pPr>
          <w:r>
            <w:rPr>
              <w:bCs/>
            </w:rPr>
            <w:fldChar w:fldCharType="begin"/>
          </w:r>
          <w:r>
            <w:rPr>
              <w:bCs/>
            </w:rPr>
            <w:instrText xml:space="preserve"> HYPERLINK \l _Toc21990 </w:instrText>
          </w:r>
          <w:r>
            <w:rPr>
              <w:bCs/>
            </w:rPr>
            <w:fldChar w:fldCharType="separate"/>
          </w:r>
          <w:r>
            <w:rPr>
              <w:rFonts w:hint="eastAsia" w:ascii="楷体" w:hAnsi="楷体" w:eastAsia="楷体"/>
              <w:szCs w:val="24"/>
            </w:rPr>
            <w:t>油脂：超跌反弹，短线操作</w:t>
          </w:r>
          <w:r>
            <w:rPr>
              <w:bCs/>
            </w:rPr>
            <w:fldChar w:fldCharType="end"/>
          </w:r>
        </w:p>
        <w:p>
          <w:pPr>
            <w:pStyle w:val="6"/>
            <w:tabs>
              <w:tab w:val="right" w:leader="dot" w:pos="8306"/>
            </w:tabs>
          </w:pPr>
          <w:r>
            <w:rPr>
              <w:bCs/>
            </w:rPr>
            <w:fldChar w:fldCharType="begin"/>
          </w:r>
          <w:r>
            <w:rPr>
              <w:bCs/>
            </w:rPr>
            <w:instrText xml:space="preserve"> HYPERLINK \l _Toc11708 </w:instrText>
          </w:r>
          <w:r>
            <w:rPr>
              <w:bCs/>
            </w:rPr>
            <w:fldChar w:fldCharType="separate"/>
          </w:r>
          <w:r>
            <w:rPr>
              <w:rFonts w:hint="eastAsia" w:ascii="楷体" w:hAnsi="楷体" w:eastAsia="楷体"/>
              <w:bCs/>
            </w:rPr>
            <w:t>玉米与淀粉：</w:t>
          </w:r>
          <w:r>
            <w:rPr>
              <w:rFonts w:hint="eastAsia" w:ascii="楷体" w:hAnsi="楷体" w:eastAsia="楷体"/>
            </w:rPr>
            <w:t>淀粉-玉米价差继续收窄</w:t>
          </w:r>
          <w:r>
            <w:rPr>
              <w:bCs/>
            </w:rPr>
            <w:fldChar w:fldCharType="end"/>
          </w:r>
        </w:p>
        <w:p>
          <w:pPr>
            <w:pStyle w:val="6"/>
            <w:tabs>
              <w:tab w:val="right" w:leader="dot" w:pos="8306"/>
            </w:tabs>
          </w:pPr>
          <w:r>
            <w:rPr>
              <w:bCs/>
            </w:rPr>
            <w:fldChar w:fldCharType="begin"/>
          </w:r>
          <w:r>
            <w:rPr>
              <w:bCs/>
            </w:rPr>
            <w:instrText xml:space="preserve"> HYPERLINK \l _Toc31572 </w:instrText>
          </w:r>
          <w:r>
            <w:rPr>
              <w:bCs/>
            </w:rPr>
            <w:fldChar w:fldCharType="separate"/>
          </w:r>
          <w:r>
            <w:rPr>
              <w:rFonts w:hint="eastAsia" w:ascii="楷体" w:hAnsi="楷体" w:eastAsia="楷体"/>
              <w:bCs/>
            </w:rPr>
            <w:t>畜禽养殖：移仓带动5月期价相对更为弱势</w:t>
          </w:r>
          <w:r>
            <w:rPr>
              <w:bCs/>
            </w:rPr>
            <w:fldChar w:fldCharType="end"/>
          </w:r>
        </w:p>
        <w:p>
          <w:pPr>
            <w:pStyle w:val="6"/>
            <w:tabs>
              <w:tab w:val="right" w:leader="dot" w:pos="8306"/>
            </w:tabs>
          </w:pPr>
          <w:r>
            <w:rPr>
              <w:bCs/>
            </w:rPr>
            <w:fldChar w:fldCharType="begin"/>
          </w:r>
          <w:r>
            <w:rPr>
              <w:bCs/>
            </w:rPr>
            <w:instrText xml:space="preserve"> HYPERLINK \l _Toc28207 </w:instrText>
          </w:r>
          <w:r>
            <w:rPr>
              <w:bCs/>
            </w:rPr>
            <w:fldChar w:fldCharType="separate"/>
          </w:r>
          <w:r>
            <w:rPr>
              <w:rFonts w:hint="eastAsia" w:ascii="楷体" w:hAnsi="楷体" w:eastAsia="楷体"/>
              <w:szCs w:val="24"/>
            </w:rPr>
            <w:t>郑棉：美国11月通胀数据降低，美元大跌，美棉涨停</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1535"/>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28840"/>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低吸IF或IH为主</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近期疫后修复及地产链是市场交易主线，市场定价逻辑以预期差博弈为主，预期打满后，验证期重要性随之提升， 而在市场整体信心仍不足的情况下，市场围绕着政策催化方向做结构性机会，但基本面修复存在不确定性，尚未形成有效的全局推演，市场存在减速休整可能。整体来说，地产链信心筑底+防疫优化提振需求托底市场，没有大的下行风险，意味着投资者在操作上“低吸”比“追高”更合适。本周即将迎来中央经济工作会议，围绕明年实现5%经济增长为抓手，关注转型发展政策及刺激型政策方向，此外，由于12月政治局会议对地产政策只字未提，也要提防地产乐观不及预期。</w:t>
      </w:r>
    </w:p>
    <w:p>
      <w:pPr>
        <w:pBdr>
          <w:top w:val="single" w:color="auto" w:sz="4" w:space="0"/>
        </w:pBdr>
        <w:outlineLvl w:val="0"/>
        <w:rPr>
          <w:rFonts w:ascii="Times New Roman" w:hAnsi="Times New Roman" w:eastAsia="楷体"/>
          <w:b/>
          <w:color w:val="823C0B"/>
          <w:sz w:val="30"/>
          <w:szCs w:val="30"/>
        </w:rPr>
      </w:pPr>
      <w:bookmarkStart w:id="7" w:name="金属"/>
      <w:bookmarkStart w:id="8" w:name="_Toc20891"/>
      <w:bookmarkStart w:id="9" w:name="_Toc3096"/>
      <w:bookmarkStart w:id="10" w:name="_Toc13012"/>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22861"/>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highlight w:val="none"/>
          <w14:textFill>
            <w14:solidFill>
              <w14:schemeClr w14:val="tx1"/>
            </w14:solidFill>
          </w14:textFill>
        </w:rPr>
        <w:t>消息提振市场情绪，或继续震荡偏强</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自储消息及cpi不及预期下，情绪偏强，但近期涨幅过快下或仍需震荡调整，维持震荡上行，建议逢回调继续做多，不建议追涨。预计RB01、RB05合约价格中枢在（3870,4100）区间震荡。强预期仍在持续，现实验证或在节后。调整酝酿后或仍有新的加速窗口。会议后冬储落地情况或更加清晰，目前向下驱动不明显。</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1356"/>
      <w:bookmarkStart w:id="16" w:name="_Toc4790"/>
      <w:bookmarkStart w:id="17" w:name="_Toc1175"/>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震荡上行，逢回调后可试多</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期焦化厂利润亏损88元/吨，焦炭日耗尚有缺口，或需继续提涨刺激产量以达到冬储效果。第五轮或需看焦煤的驱动。短期偏强运行。焦碳01合约短期依旧在（2880，2980）波动。长期看，若出现乐观产业重建库存，焦炭05合约或走向升水01合约，焦炭05高度或在（3200,3300），但目前仍需等待现实情况。</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18" w:name="_Toc13702"/>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短期现货压制高度，突破仍需钢价上行   </w:t>
      </w:r>
      <w:bookmarkEnd w:id="18"/>
    </w:p>
    <w:p>
      <w:pPr>
        <w:ind w:left="630" w:leftChars="300"/>
        <w:rPr>
          <w:rFonts w:ascii="楷体" w:hAnsi="楷体" w:eastAsia="楷体"/>
          <w:bCs/>
          <w:sz w:val="24"/>
          <w:szCs w:val="24"/>
        </w:rPr>
      </w:pPr>
      <w:r>
        <w:rPr>
          <w:rFonts w:hint="eastAsia" w:ascii="楷体" w:hAnsi="楷体" w:eastAsia="楷体"/>
          <w:sz w:val="24"/>
          <w:szCs w:val="24"/>
        </w:rPr>
        <w:t>从日耗角度看看，碳元素在日耗上相对平衡，总库存小幅度累积，短期焦煤05合约或在（1850,2000）波动。若长期看钢价继续上行，产业有望重建库存，焦煤或在日耗角度出现缺口，焦煤05合约的高度或达（2200,2300）区间，但目前仍需等待现实情况。</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9719"/>
      <w:bookmarkStart w:id="20" w:name="_Toc25617"/>
      <w:bookmarkStart w:id="21" w:name="_Toc7559"/>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短期价格仍有韧性，关注联储利率决议</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(1)宏观：美国11月未季调CPI同比升7.1%，预期升7.3%，前值升7.7%。美国11月未季调核心CPI年率录得6%，为2022年7月以来新低。这些核心数据都要低于市场预期，美国通胀压力进一步放缓。</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(2)库存：12月13日，SHFE仓单库存24100吨，增325吨。LME仓单库存81875吨，减2425吨。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(3)精废价差：12月13日，Mysteel精废价差1524，扩大26。目前价差在合理价差1372之上。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国内各地疫情防控优化逐步落地，市场对消费复苏预期改善，淡季维持偏低库存，铜价仍有韧性。美国11月通胀数据低于预期，加强市场对于美联储放缓加息的理由，美元指数回落，继续提振铜价，短期价格仍有走强可能。关注联储利率决议及官员表态。</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6247"/>
      <w:bookmarkStart w:id="23" w:name="_Toc8897"/>
      <w:bookmarkStart w:id="24" w:name="_Toc31624"/>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宏观利好持续释放，基本面低库存支撑</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11月CPI增速创年内新低，风险投资市场情绪被点燃，美联储有望放缓加息，有色盘面利好。国内制造业数据落入衰退区间，多项高频数据延续疲软，整体经济压力较大，虽有利好政策频频出台，但实际消费面仍未明显反映出政策利好引导，伴随疫情管控的进一步宽松，内需有较强动力。</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海外铝市延续供需双弱状态，国内电解铝运行产能持续抬升，但近期进入冬季电力再度吃紧，进入消费淡季需求疲弱，但铝库仍维持低位，关注累库拐点，短期铝价仍有支撑，价格维持高位震荡。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9500"/>
      <w:r>
        <w:rPr>
          <w:rFonts w:hint="eastAsia" w:ascii="楷体" w:hAnsi="楷体" w:eastAsia="楷体"/>
          <w:b/>
          <w:color w:val="000000" w:themeColor="text1"/>
          <w:sz w:val="24"/>
          <w:szCs w:val="24"/>
          <w14:textFill>
            <w14:solidFill>
              <w14:schemeClr w14:val="tx1"/>
            </w14:solidFill>
          </w14:textFill>
        </w:rPr>
        <w:t>锌：宏观利多叠加库存低位，锌价走势偏强</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13日沪锌隔夜收盘价格24880元/吨，跌幅0.02%，上海有色网0#锌锭（Zn99.995）现货报价25380元/吨，较上一统计日报价上涨130元/吨。联储11月CPI数据创年内新低，市场交投情绪走强，美联储放缓加息可能性加大，利好有色。国内多重政策利好出台，政府敦促优化防疫政策落地有力提振市场情绪，人民币温和走强，但国内实际消费受到疫情等不可抗力因素影响表现仍缺乏亮点。供需面来看，锌矿供应趋向宽松，矿商、冶炼商综合利润持续走高，锌产略有抬升，下游企业采购情绪平淡，海内外库存量已在底部，LME锌库存和注册仓单降至四十年来最低水平，低库存现状短期难以改变，短期锌价判断偏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1566"/>
      <w:r>
        <w:rPr>
          <w:rFonts w:hint="eastAsia" w:ascii="楷体" w:hAnsi="楷体" w:eastAsia="楷体"/>
          <w:b/>
          <w:color w:val="000000" w:themeColor="text1"/>
          <w:sz w:val="24"/>
          <w:szCs w:val="24"/>
          <w14:textFill>
            <w14:solidFill>
              <w14:schemeClr w14:val="tx1"/>
            </w14:solidFill>
          </w14:textFill>
        </w:rPr>
        <w:t>镍：低库存低流动性下价格波动剧烈，离场观望</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整体宏观情绪乐观叠加镍板资源偏紧对镍价有所支撑，镍价表现震荡走强，海外经济下行压力逐渐显现，LME镍库存开始稳中回升，贴水持续走扩至近300美元，供需边际存转弱迹象。交易上不建议追多，考虑短期绝对低库存和低流动性背景下，镍价波动仍将较大，建议投资者观望为宜。</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24633"/>
      <w:r>
        <w:rPr>
          <w:rFonts w:hint="eastAsia" w:ascii="楷体" w:hAnsi="楷体" w:eastAsia="楷体"/>
          <w:b/>
          <w:color w:val="000000" w:themeColor="text1"/>
          <w:sz w:val="24"/>
          <w:szCs w:val="24"/>
          <w14:textFill>
            <w14:solidFill>
              <w14:schemeClr w14:val="tx1"/>
            </w14:solidFill>
          </w14:textFill>
        </w:rPr>
        <w:t>不锈钢：短期无明显利空，价格或延续震荡偏强</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不锈钢社会库存累积幅度不及预期及原料端镍铁价格坚挺，为价格提供支撑。国内疫情逐步放开后，市场对消费预期有所改观，节前补库使得期现共振，短期价格或延续震荡偏强运行，但钢厂利润修复后供应或存快速释放压力，上方阻力位17800-18000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8" w:name="_Toc2281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新疆供应逐步恢复，短期市场偏弱运行</w:t>
      </w:r>
      <w:bookmarkEnd w:id="28"/>
    </w:p>
    <w:p>
      <w:pPr>
        <w:ind w:left="630" w:leftChars="300"/>
        <w:rPr>
          <w:rFonts w:ascii="楷体" w:hAnsi="楷体" w:eastAsia="楷体"/>
          <w:sz w:val="24"/>
          <w:szCs w:val="24"/>
        </w:rPr>
      </w:pPr>
      <w:r>
        <w:rPr>
          <w:rFonts w:hint="eastAsia" w:ascii="楷体" w:hAnsi="楷体" w:eastAsia="楷体"/>
          <w:sz w:val="24"/>
          <w:szCs w:val="24"/>
        </w:rPr>
        <w:t>12月13日，华东地区553（通氧）19050元/吨，较上个统计日下降50元/吨，今日现货市场成交清单，多以观察心态为主，硅价弱势盘整。从基本面来看，当前全国疫情防控不断优化，此前新疆受疫情管控停炉的硅厂正逐步恢复生产，以及当地年底新增产能或同步释放，预计产量将弥补枯水期减少产量。整体供应仍旧充足。此外工业硅期货、期权临近上市，有望带动市场热度。总体而言，新疆供应逐步恢复，下游需求无明显改善，短期或将延续偏弱行情，但枯水期成本以及政策利好预期有所支撑，预计市场下跌空间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5265"/>
      <w:r>
        <w:rPr>
          <w:rFonts w:hint="eastAsia" w:ascii="Times New Roman" w:hAnsi="Times New Roman" w:eastAsia="楷体"/>
          <w:b/>
          <w:color w:val="823C0B"/>
          <w:sz w:val="30"/>
          <w:szCs w:val="30"/>
        </w:rPr>
        <w:t>[化工]</w:t>
      </w:r>
      <w:bookmarkEnd w:id="29"/>
      <w:bookmarkEnd w:id="30"/>
    </w:p>
    <w:p>
      <w:pPr>
        <w:ind w:firstLine="482" w:firstLineChars="200"/>
        <w:outlineLvl w:val="1"/>
        <w:rPr>
          <w:rFonts w:hint="eastAsia" w:ascii="Times New Roman" w:hAnsi="Times New Roman" w:eastAsia="楷体"/>
          <w:b/>
          <w:sz w:val="24"/>
          <w:szCs w:val="24"/>
        </w:rPr>
      </w:pPr>
      <w:bookmarkStart w:id="31" w:name="_Toc373"/>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供应累库预期  走势承压</w:t>
      </w:r>
      <w:bookmarkEnd w:id="31"/>
    </w:p>
    <w:p>
      <w:pPr>
        <w:ind w:left="630" w:leftChars="300"/>
        <w:rPr>
          <w:rFonts w:ascii="楷体" w:hAnsi="楷体" w:eastAsia="楷体"/>
          <w:sz w:val="24"/>
          <w:szCs w:val="24"/>
        </w:rPr>
      </w:pPr>
      <w:r>
        <w:rPr>
          <w:rFonts w:hint="eastAsia" w:ascii="楷体" w:hAnsi="楷体" w:eastAsia="楷体"/>
          <w:sz w:val="24"/>
          <w:szCs w:val="24"/>
        </w:rPr>
        <w:t>库存方面，12.12华东主港地区MEG港口库存约96.1万吨附近，环比上期累库7.3万吨。供需情况，截至12月8日，中国大陆地区乙二醇整体开工负荷在56.12%（-1.03%），其中煤制乙二醇开工负荷在39.33%（-1.82%），乙二醇负荷小幅下滑。新装置方面，海南一套80万吨/年的MEG新装置计划于本月底前后投产。从聚酯需求端来看，截至12.08，初步核算国内大陆地区聚酯负荷在69.5%，环比小降。终端开工向上修复，江浙终端工厂原料备货追加，各地放开管控，尾单有新增。截至12.8，江浙加弹开工率52%（+4%）、江浙织机开工率47%（+12%）、浙江印染开工率56%（+11%）。综合来看，近期宏观面及基本面稍有改善，随着防疫政策的放开，部分终端企业投机性补货需求显现。但假期临近终端降负及放假预期较为确定，近期港口到港量较大，聚酯工厂备货量累库压力加大。短期终端有所改善，但直接需求聚酯端走弱明显，供需过剩问题仍存，中长线市场依旧承压为主。</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10511"/>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：油价企稳反弹及供需阶段性改善  留意短多机会</w:t>
      </w:r>
      <w:bookmarkEnd w:id="32"/>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本周期扬子60万吨停车，仪征35万吨重启，个别装置负荷小幅调整，至12.08 PTA负荷降至66.3%（-2.2%）。市场关注的新装置方面，山东威联PTA装置一条线计划近期投料中，但尚未产出合格品。聚酯方面，本周聚酯装置延续检修，长丝短纤均有涉及，且瓶片装置轮修中，负荷也有下调，综合聚酯负荷继续下滑。截至12.08初步核算国内大陆地区聚酯负荷在69.5%。聚酯长丝大厂联合检查，维持前期减产比例不变。后续负荷将跟随下游开机率调整。终端方面，随着防疫政策放开及天气转冷，近期终端部分工厂订单情况有所改善，江浙终端工厂原料备货追加。涤纶长丝连续试探性小幅涨价，产销阶段性良好，行业库存正在逐步去化，高库存压力缓解。局部经编和圆机企业坯布出货有少许转好。短期来看，PTA存量装置检修增多，增量装置尚未稳定投产，且库存尚在低位，供给端压力不大。近期终端投机性需求的确有所改善，聚酯产销阶段性有提升。随着油价企稳反弹，TA近月合约存短多机会。中长期来看，PX和PTA新产能投放预期下，12月起PX进入到大幅度累库时期，加工费预计将进一步压缩。行业实质性需求恢复仍需要缓冲期，聚酯降负及放假预期，PTA供需累库预期仍存。仅供参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17266"/>
      <w:r>
        <w:rPr>
          <w:rFonts w:hint="eastAsia" w:ascii="楷体" w:hAnsi="楷体" w:eastAsia="楷体"/>
          <w:b/>
          <w:color w:val="000000" w:themeColor="text1"/>
          <w:sz w:val="24"/>
          <w:szCs w:val="24"/>
          <w14:textFill>
            <w14:solidFill>
              <w14:schemeClr w14:val="tx1"/>
            </w14:solidFill>
          </w14:textFill>
        </w:rPr>
        <w:t>聚烯烃：供需矛盾改善不大下，聚烯烃或延续窄幅调整</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昨日夜盘窄幅回暖。库存方面，本周国内PE库存环比下滑3.58%，其中样本主要生产环节PE库存环比下降10.21%，PE样本港口库存环比增加1.45%，样本贸易企业库存环比下降0.64%。本周PP库存环比下降12.58%。其中主要生产环节PP库存下降、贸易商库存、港口库存上升。供应方面，聚乙烯本周暂无新增检修计划，中沙石化和茂名石化等多套装置（共计78万吨产能）将于本周开机重启；PP本周新增延长中煤和浙江石化共计85万吨装置停车检修，东莞石化60万吨装置将于本周开车重启。本周荆门石化一12万吨产能装置将开车重启。成本端方面，投资者继续评估Keystone管道关闭以及需求前景的影响，同时美国寒冷天气预报提振能源需求，低于预期的国内通胀数据令美元承压，欧美 原油期货收盘涨至一周多以来高位，目前油制PE利润大约为57元/吨，油制PP利润大约为-1052元/吨，相较年度偏低位置已有较大恢复；需求方面，PE下游方面，棚膜需求持续减弱，地膜订单跟进缓慢，农膜厂家仍略显谨慎，坚持刚需采购。PP方面，BOPP整体成交一般，BOPP企业未交付订单多数在5-15天，部分至12月下旬。综合来看，聚烯烃市场虽然受宏观消息偏暖影响，价格小幅上涨，但原油成本端价格偏一般，对聚烯烃支撑较俄乌战争初期已有明显减弱，下游需求多以刚性补库为主，需求较弱，难以大幅放量，供需矛盾变化不大下，预计今日聚烯烃窄幅波动。12月PE、PP仍有多套装置等待投产，叠加进口套利窗口打开，供应压力不减。塑料供需趋弱累库下高空思路不变，上行空间有限。聚烯烃今日预计在成本下滑、下游未有改善下窄幅整理，短期PP 7800左右支撑较强和PE 8150压力位左右支撑较强。仅供参考。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4" w:name="_Toc2915"/>
      <w:r>
        <w:rPr>
          <w:rFonts w:hint="eastAsia" w:ascii="Times New Roman" w:hAnsi="Times New Roman" w:eastAsia="楷体"/>
          <w:b/>
          <w:color w:val="823C0B"/>
          <w:sz w:val="30"/>
          <w:szCs w:val="30"/>
        </w:rPr>
        <w:t>[农产品]</w:t>
      </w:r>
      <w:bookmarkEnd w:id="11"/>
      <w:bookmarkEnd w:id="34"/>
    </w:p>
    <w:p>
      <w:pPr>
        <w:ind w:left="420" w:leftChars="200"/>
        <w:outlineLvl w:val="1"/>
        <w:rPr>
          <w:rFonts w:hint="eastAsia" w:ascii="楷体" w:hAnsi="楷体" w:eastAsia="楷体"/>
          <w:b/>
          <w:sz w:val="24"/>
          <w:szCs w:val="24"/>
        </w:rPr>
      </w:pPr>
      <w:bookmarkStart w:id="35" w:name="_Toc20025"/>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期现回归，期价仍有支撑</w:t>
      </w:r>
      <w:bookmarkEnd w:id="35"/>
    </w:p>
    <w:p>
      <w:pPr>
        <w:ind w:left="630" w:leftChars="300"/>
        <w:rPr>
          <w:rFonts w:ascii="楷体" w:hAnsi="楷体" w:eastAsia="楷体"/>
          <w:sz w:val="24"/>
          <w:szCs w:val="24"/>
        </w:rPr>
      </w:pPr>
      <w:r>
        <w:rPr>
          <w:rFonts w:hint="eastAsia" w:ascii="楷体" w:hAnsi="楷体" w:eastAsia="楷体"/>
          <w:sz w:val="24"/>
          <w:szCs w:val="24"/>
        </w:rPr>
        <w:t>外盘方面，CBOT大豆有所回落，因此次12月美农报告并未对数据做过多的调整，且南美出现降水。但南美天气仍需持续观望，阿根廷种植进度较慢，在南美天气升水下，成本端短期也难以回落。国内市场，11月进口大豆到港不及预期，港口库存累库速度放缓，预计11月延迟量将陆续在12月到港。大部分油厂恢复开工，开机率大幅回升压榨增加，豆粕库存拐点逐步显现，但累库较慢。下游养殖利润虽近期有所下滑但整体较好，因冬季腌腊需求生猪集中出栏，饲企和养殖企业等采购需求减弱，但仍保持刚需补库及后续有节前备货需求。由于近期豆粕库存修复缓慢现货价有所企稳，短期临近交割月期现回归，仍会对盘面构成支撑，若未明显利空行情下，豆粕预计维持偏强震荡，建议短多操作；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6" w:name="_Toc21990"/>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超跌反弹，短线操作</w:t>
      </w:r>
      <w:bookmarkEnd w:id="36"/>
    </w:p>
    <w:p>
      <w:pPr>
        <w:ind w:left="630" w:leftChars="300"/>
        <w:rPr>
          <w:rFonts w:ascii="楷体" w:hAnsi="楷体" w:eastAsia="楷体"/>
          <w:sz w:val="24"/>
          <w:szCs w:val="24"/>
        </w:rPr>
      </w:pPr>
      <w:r>
        <w:rPr>
          <w:rFonts w:hint="eastAsia" w:ascii="楷体" w:hAnsi="楷体" w:eastAsia="楷体"/>
          <w:sz w:val="24"/>
          <w:szCs w:val="24"/>
        </w:rPr>
        <w:t>外盘国际原油及油脂价格反弹带动，内盘油脂超跌后回升，持续性仍待观望。棕榈油支撑主要因11月MPOB报告公布，数据偏利多，产量及库存数据在产地天气影响和出口环比增加下，降幅超市场预估，对盘面构成支撑，但当前豆棕价差收敛，后期或不利于棕榈油出口需求。而国内棕榈油供应较宽松，需求方面在冬季消费淡季下增量有限，短期仍使棕榈油上方承压。近期豆油下游成交有所回暖，表观消费增加，因棕榈油进入季节性消费淡季提振豆油替代消费，且各地防疫政策放宽或刺激餐饮消费，春节前仍有集中备货需求，关注备货情况。随着11月进口大豆到港陆续增加，港口大豆库存开始累库。油厂压榨持续恢复后边际供应预计由紧转松，关注豆油库存修复情况，短期延续近强远弱格局。菜油在供应边际预期改善下，现货价继续回落，基差松动。随着加籽大量上市，国内第四季进口度预估到港为180万吨。菜籽库存随着11月到港增加而回升，但由于部分船期延迟等到港不及预期。同时在刚需以及临近春节前备货下，菜油库存修复仍需时间。预计油脂在四季度供应边际增加及下游消费疲软下，上方空间有限，短期油脂单边波动较大，建议波段操作，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7" w:name="_Toc1170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淀粉-玉米价差继续收窄</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整体市场逻辑未变，即供需阶段性紧张得到缓解之后市场转向新作上市压力，而期价呈现远月贴水结构，抑制中下游补库积极性，玉米有望逐步回归销区定价，而由于CBOT期价弱势、FOB升贴水下滑及其人民币升值带动进口谷物性价比提升，后期国产玉米或逐步滑向进口到港成本，短期则需要现货和基差支撑。维持谨慎看空观点，建议谨慎投资者观望，激进投资者可以考虑继续持有前期空单。</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大幅收窄，除去我们提及的成本端即玉米期现货下跌的因素外，另外两个方面即副产品端和供需端亦有较大影响，前者因为阿根廷天气担忧，带动国内豆粕期价上涨，1月合约再创新高，这会抑制淀粉副产品价格下跌空间，继而使得淀粉期现货生产利润带动行业开机率维持较高水平；后者则源于当前表观需求量（行业出库量）处于历史同期低位，导致行业库存逐步回升。在这种情况下，我们建议投资者前期淀粉-玉米价差离场后暂以观望为宜，等待后期入场做扩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31572"/>
      <w:r>
        <w:rPr>
          <w:rFonts w:hint="eastAsia" w:ascii="楷体" w:hAnsi="楷体" w:eastAsia="楷体"/>
          <w:b/>
          <w:bCs/>
          <w:color w:val="000000" w:themeColor="text1"/>
          <w14:textFill>
            <w14:solidFill>
              <w14:schemeClr w14:val="tx1"/>
            </w14:solidFill>
          </w14:textFill>
        </w:rPr>
        <w:t>畜禽养殖：移仓带动5月期价相对更为弱势</w:t>
      </w:r>
      <w:bookmarkEnd w:id="38"/>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目前期价总体呈现先抑后扬结构，7月及其之前合约贴水，9月和11月合约小幅升水，这主要源于能繁母猪存栏的变动，即今年5月以来能繁母猪存栏环比增长，随着11月猪价的持续下跌，有机构预计11月能繁母猪存栏环比出现小幅下降。由于猪价于10月下旬见到目前已知高点，随后持续大幅回落，走势与2019年颇为相似，猪价拐点应该已经出现。且与2019年同期猪价震荡运行相比，今年现货表现更为弱势，在需求旺季来临前短暂反弹后大幅下跌并再度跌破前低。在这种情况下，市场需要分析判断供需两端的原因，从供应端来看，央储、进口和冷冻库存均较低，主要增量来自于二次育肥和规模场，因近期屠宰量持续增加，而出栏体重出现回落；从需求端看，则主要源于宏观经济环境和疫情因素带来的冲击。考虑到供需两端不确定性加大，维持中性观点。</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各机构蛋鸡存补栏数据和现货表现符合之前预期，供应端未有明显改善，11月在产蛋鸡存栏虽有环比和同比再度小幅回落，总体维持历史同期低位运行，表明供应端依然偏紧。但需求端存在较大变数，猪价消费旺季来临之时大幅下跌，已经带动肉鸡价格对应到养殖利润出现较大幅度亏损，对鸡蛋的替代需求拉动作用或趋弱，所幸鸡蛋基差依然处于历史同期高位，显著高于往年同期，在一定程度上支撑鸡蛋期价。基于鸡蛋基差和自身供需格局，继续持谨慎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9" w:name="_Toc28207"/>
      <w:r>
        <w:rPr>
          <w:rFonts w:hint="eastAsia" w:ascii="楷体" w:hAnsi="楷体" w:eastAsia="楷体"/>
          <w:b/>
          <w:sz w:val="24"/>
          <w:szCs w:val="24"/>
        </w:rPr>
        <w:t>郑棉：美国11月通胀数据降低，美元大跌，美棉涨停</w:t>
      </w:r>
      <w:bookmarkEnd w:id="39"/>
    </w:p>
    <w:p>
      <w:pPr>
        <w:ind w:left="630" w:leftChars="300"/>
        <w:rPr>
          <w:rFonts w:hint="eastAsia" w:ascii="楷体" w:hAnsi="楷体" w:eastAsia="楷体"/>
          <w:sz w:val="24"/>
          <w:szCs w:val="24"/>
        </w:rPr>
      </w:pPr>
      <w:r>
        <w:rPr>
          <w:rFonts w:hint="eastAsia" w:ascii="楷体" w:hAnsi="楷体" w:eastAsia="楷体"/>
          <w:sz w:val="24"/>
          <w:szCs w:val="24"/>
        </w:rPr>
        <w:t>国内疫情蔓延速度极快，郑棉区间震荡，逢高布局空单</w:t>
      </w:r>
    </w:p>
    <w:p>
      <w:pPr>
        <w:ind w:left="630" w:leftChars="300"/>
        <w:rPr>
          <w:rFonts w:ascii="楷体" w:hAnsi="楷体" w:eastAsia="楷体"/>
          <w:sz w:val="24"/>
          <w:szCs w:val="24"/>
        </w:rPr>
      </w:pPr>
      <w:r>
        <w:rPr>
          <w:rFonts w:hint="eastAsia" w:ascii="楷体" w:hAnsi="楷体" w:eastAsia="楷体"/>
          <w:sz w:val="24"/>
          <w:szCs w:val="24"/>
        </w:rPr>
        <w:t>在疫情管控措施优化后，各地经济有序恢复中，中大市场恢复运营，对棉纱服装进行补库。但与此同时，新的问题也在显现。随着管控放开，各地阳性人员数量急剧增加。北京、成都、广州等地部分单位阳性人员比例骤升，已影响到企业的正常运行，也有部分生产型企业由于员工阳性过多难以维持正常生产。因此，对棉价不宜过度乐观。郑棉1.4万关口表现出较强压制，1-5价差再度反转。</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0" w:name="_Toc98426751"/>
      <w:bookmarkStart w:id="41" w:name="_Toc71212556"/>
      <w:bookmarkStart w:id="42" w:name="_Toc19667"/>
      <w:bookmarkStart w:id="43" w:name="_Toc72481108"/>
      <w:bookmarkStart w:id="44" w:name="_Toc12779"/>
      <w:r>
        <w:rPr>
          <w:rFonts w:ascii="Times New Roman" w:hAnsi="Times New Roman" w:eastAsia="楷体"/>
          <w:b/>
          <w:color w:val="411D05"/>
          <w:sz w:val="30"/>
          <w:szCs w:val="30"/>
        </w:rPr>
        <w:t>免责声明</w:t>
      </w:r>
      <w:bookmarkEnd w:id="40"/>
      <w:bookmarkEnd w:id="41"/>
      <w:bookmarkEnd w:id="42"/>
      <w:bookmarkEnd w:id="43"/>
      <w:bookmarkEnd w:id="44"/>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2022年12月14日星期三</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29B2E20"/>
    <w:rsid w:val="12AA5DF8"/>
    <w:rsid w:val="15D52593"/>
    <w:rsid w:val="1B8A2034"/>
    <w:rsid w:val="1BC72FF7"/>
    <w:rsid w:val="1D5030CD"/>
    <w:rsid w:val="20AE4DE8"/>
    <w:rsid w:val="21996AC1"/>
    <w:rsid w:val="219F3EE2"/>
    <w:rsid w:val="26F95364"/>
    <w:rsid w:val="2DE440F7"/>
    <w:rsid w:val="340E7198"/>
    <w:rsid w:val="373F75CC"/>
    <w:rsid w:val="3B3306F0"/>
    <w:rsid w:val="3B563B4D"/>
    <w:rsid w:val="3C2825B0"/>
    <w:rsid w:val="3C2B26B7"/>
    <w:rsid w:val="3D8B796D"/>
    <w:rsid w:val="3DA80A30"/>
    <w:rsid w:val="3EE0186C"/>
    <w:rsid w:val="441077D2"/>
    <w:rsid w:val="44396064"/>
    <w:rsid w:val="5005695E"/>
    <w:rsid w:val="51266B84"/>
    <w:rsid w:val="548642E9"/>
    <w:rsid w:val="56DD4D3A"/>
    <w:rsid w:val="57CB522F"/>
    <w:rsid w:val="59C52328"/>
    <w:rsid w:val="5D5617A6"/>
    <w:rsid w:val="5EA7685B"/>
    <w:rsid w:val="62710E5F"/>
    <w:rsid w:val="64C32497"/>
    <w:rsid w:val="66D04BBC"/>
    <w:rsid w:val="713E0334"/>
    <w:rsid w:val="729B5F03"/>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5659</Words>
  <Characters>6151</Characters>
  <Lines>50</Lines>
  <Paragraphs>14</Paragraphs>
  <TotalTime>0</TotalTime>
  <ScaleCrop>false</ScaleCrop>
  <LinksUpToDate>false</LinksUpToDate>
  <CharactersWithSpaces>6173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2022-12-14T02:42:41Z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