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bookmarkStart w:id="45" w:name="_GoBack"/>
      <w:bookmarkEnd w:id="45"/>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_Toc32125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_Toc19495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谨慎追高，低吸为主</w:t>
          </w:r>
          <w:r>
            <w:rPr>
              <w:bCs/>
            </w:rPr>
            <w:fldChar w:fldCharType="end"/>
          </w:r>
        </w:p>
        <w:p>
          <w:pPr>
            <w:pStyle w:val="5"/>
            <w:tabs>
              <w:tab w:val="right" w:leader="dot" w:pos="8306"/>
            </w:tabs>
          </w:pPr>
          <w:r>
            <w:rPr>
              <w:bCs/>
            </w:rPr>
            <w:fldChar w:fldCharType="begin"/>
          </w:r>
          <w:r>
            <w:rPr>
              <w:bCs/>
            </w:rPr>
            <w:instrText xml:space="preserve"> HYPERLINK \l _Toc10970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_Toc8286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成本及现货推动盘面价格继续上行</w:t>
          </w:r>
          <w:r>
            <w:rPr>
              <w:bCs/>
            </w:rPr>
            <w:fldChar w:fldCharType="end"/>
          </w:r>
        </w:p>
        <w:p>
          <w:pPr>
            <w:pStyle w:val="6"/>
            <w:tabs>
              <w:tab w:val="right" w:leader="dot" w:pos="8306"/>
            </w:tabs>
          </w:pPr>
          <w:r>
            <w:rPr>
              <w:bCs/>
            </w:rPr>
            <w:fldChar w:fldCharType="begin"/>
          </w:r>
          <w:r>
            <w:rPr>
              <w:bCs/>
            </w:rPr>
            <w:instrText xml:space="preserve"> HYPERLINK \l _Toc30185 </w:instrText>
          </w:r>
          <w:r>
            <w:rPr>
              <w:bCs/>
            </w:rPr>
            <w:fldChar w:fldCharType="separate"/>
          </w:r>
          <w:r>
            <w:rPr>
              <w:rFonts w:hint="eastAsia" w:ascii="楷体" w:hAnsi="楷体" w:eastAsia="楷体"/>
              <w:szCs w:val="24"/>
            </w:rPr>
            <w:t>焦炭：第三轮提涨落地，盘面或继续震荡上行</w:t>
          </w:r>
          <w:r>
            <w:rPr>
              <w:bCs/>
            </w:rPr>
            <w:fldChar w:fldCharType="end"/>
          </w:r>
        </w:p>
        <w:p>
          <w:pPr>
            <w:pStyle w:val="6"/>
            <w:tabs>
              <w:tab w:val="right" w:leader="dot" w:pos="8306"/>
            </w:tabs>
          </w:pPr>
          <w:r>
            <w:rPr>
              <w:bCs/>
            </w:rPr>
            <w:fldChar w:fldCharType="begin"/>
          </w:r>
          <w:r>
            <w:rPr>
              <w:bCs/>
            </w:rPr>
            <w:instrText xml:space="preserve"> HYPERLINK \l _Toc21045 </w:instrText>
          </w:r>
          <w:r>
            <w:rPr>
              <w:bCs/>
            </w:rPr>
            <w:fldChar w:fldCharType="separate"/>
          </w:r>
          <w:r>
            <w:rPr>
              <w:rFonts w:hint="eastAsia" w:ascii="楷体" w:hAnsi="楷体" w:eastAsia="楷体"/>
              <w:szCs w:val="24"/>
            </w:rPr>
            <w:t>焦煤：蒙煤现货开始涨价，现货驱动下继续震荡上行</w:t>
          </w:r>
          <w:r>
            <w:rPr>
              <w:bCs/>
            </w:rPr>
            <w:fldChar w:fldCharType="end"/>
          </w:r>
        </w:p>
        <w:p>
          <w:pPr>
            <w:pStyle w:val="6"/>
            <w:tabs>
              <w:tab w:val="right" w:leader="dot" w:pos="8306"/>
            </w:tabs>
          </w:pPr>
          <w:r>
            <w:rPr>
              <w:bCs/>
            </w:rPr>
            <w:fldChar w:fldCharType="begin"/>
          </w:r>
          <w:r>
            <w:rPr>
              <w:bCs/>
            </w:rPr>
            <w:instrText xml:space="preserve"> HYPERLINK \l _Toc26871 </w:instrText>
          </w:r>
          <w:r>
            <w:rPr>
              <w:bCs/>
            </w:rPr>
            <w:fldChar w:fldCharType="separate"/>
          </w:r>
          <w:r>
            <w:rPr>
              <w:rFonts w:hint="eastAsia" w:ascii="楷体" w:hAnsi="楷体" w:eastAsia="楷体"/>
              <w:szCs w:val="24"/>
            </w:rPr>
            <w:t>铜：延续区间震荡运行</w:t>
          </w:r>
          <w:r>
            <w:rPr>
              <w:bCs/>
            </w:rPr>
            <w:fldChar w:fldCharType="end"/>
          </w:r>
        </w:p>
        <w:p>
          <w:pPr>
            <w:pStyle w:val="6"/>
            <w:tabs>
              <w:tab w:val="right" w:leader="dot" w:pos="8306"/>
            </w:tabs>
          </w:pPr>
          <w:r>
            <w:rPr>
              <w:bCs/>
            </w:rPr>
            <w:fldChar w:fldCharType="begin"/>
          </w:r>
          <w:r>
            <w:rPr>
              <w:bCs/>
            </w:rPr>
            <w:instrText xml:space="preserve"> HYPERLINK \l _Toc6765 </w:instrText>
          </w:r>
          <w:r>
            <w:rPr>
              <w:bCs/>
            </w:rPr>
            <w:fldChar w:fldCharType="separate"/>
          </w:r>
          <w:r>
            <w:rPr>
              <w:rFonts w:hint="eastAsia" w:ascii="楷体" w:hAnsi="楷体" w:eastAsia="楷体"/>
              <w:szCs w:val="24"/>
            </w:rPr>
            <w:t>铝： 供应修复库存拐点或现，短期价格高位震荡</w:t>
          </w:r>
          <w:r>
            <w:rPr>
              <w:bCs/>
            </w:rPr>
            <w:fldChar w:fldCharType="end"/>
          </w:r>
        </w:p>
        <w:p>
          <w:pPr>
            <w:pStyle w:val="6"/>
            <w:tabs>
              <w:tab w:val="right" w:leader="dot" w:pos="8306"/>
            </w:tabs>
          </w:pPr>
          <w:r>
            <w:rPr>
              <w:bCs/>
            </w:rPr>
            <w:fldChar w:fldCharType="begin"/>
          </w:r>
          <w:r>
            <w:rPr>
              <w:bCs/>
            </w:rPr>
            <w:instrText xml:space="preserve"> HYPERLINK \l _Toc31430 </w:instrText>
          </w:r>
          <w:r>
            <w:rPr>
              <w:bCs/>
            </w:rPr>
            <w:fldChar w:fldCharType="separate"/>
          </w:r>
          <w:r>
            <w:rPr>
              <w:rFonts w:hint="eastAsia" w:ascii="楷体" w:hAnsi="楷体" w:eastAsia="楷体"/>
              <w:szCs w:val="24"/>
            </w:rPr>
            <w:t>锌：多空博弈沪锌高位震荡</w:t>
          </w:r>
          <w:r>
            <w:rPr>
              <w:bCs/>
            </w:rPr>
            <w:fldChar w:fldCharType="end"/>
          </w:r>
        </w:p>
        <w:p>
          <w:pPr>
            <w:pStyle w:val="6"/>
            <w:tabs>
              <w:tab w:val="right" w:leader="dot" w:pos="8306"/>
            </w:tabs>
          </w:pPr>
          <w:r>
            <w:rPr>
              <w:bCs/>
            </w:rPr>
            <w:fldChar w:fldCharType="begin"/>
          </w:r>
          <w:r>
            <w:rPr>
              <w:bCs/>
            </w:rPr>
            <w:instrText xml:space="preserve"> HYPERLINK \l _Toc14780 </w:instrText>
          </w:r>
          <w:r>
            <w:rPr>
              <w:bCs/>
            </w:rPr>
            <w:fldChar w:fldCharType="separate"/>
          </w:r>
          <w:r>
            <w:rPr>
              <w:rFonts w:hint="eastAsia" w:ascii="楷体" w:hAnsi="楷体" w:eastAsia="楷体"/>
              <w:szCs w:val="24"/>
            </w:rPr>
            <w:t>镍：低库存低流动性下价格波动剧烈，离场观望</w:t>
          </w:r>
          <w:r>
            <w:rPr>
              <w:bCs/>
            </w:rPr>
            <w:fldChar w:fldCharType="end"/>
          </w:r>
        </w:p>
        <w:p>
          <w:pPr>
            <w:pStyle w:val="6"/>
            <w:tabs>
              <w:tab w:val="right" w:leader="dot" w:pos="8306"/>
            </w:tabs>
          </w:pPr>
          <w:r>
            <w:rPr>
              <w:bCs/>
            </w:rPr>
            <w:fldChar w:fldCharType="begin"/>
          </w:r>
          <w:r>
            <w:rPr>
              <w:bCs/>
            </w:rPr>
            <w:instrText xml:space="preserve"> HYPERLINK \l _Toc25155 </w:instrText>
          </w:r>
          <w:r>
            <w:rPr>
              <w:bCs/>
            </w:rPr>
            <w:fldChar w:fldCharType="separate"/>
          </w:r>
          <w:r>
            <w:rPr>
              <w:rFonts w:hint="eastAsia" w:ascii="楷体" w:hAnsi="楷体" w:eastAsia="楷体"/>
              <w:szCs w:val="24"/>
            </w:rPr>
            <w:t>不锈钢：成本支撑松动，价格反弹力度有限</w:t>
          </w:r>
          <w:r>
            <w:rPr>
              <w:bCs/>
            </w:rPr>
            <w:fldChar w:fldCharType="end"/>
          </w:r>
        </w:p>
        <w:p>
          <w:pPr>
            <w:pStyle w:val="6"/>
            <w:tabs>
              <w:tab w:val="right" w:leader="dot" w:pos="8306"/>
            </w:tabs>
          </w:pPr>
          <w:r>
            <w:rPr>
              <w:bCs/>
            </w:rPr>
            <w:fldChar w:fldCharType="begin"/>
          </w:r>
          <w:r>
            <w:rPr>
              <w:bCs/>
            </w:rPr>
            <w:instrText xml:space="preserve"> HYPERLINK \l _Toc26664 </w:instrText>
          </w:r>
          <w:r>
            <w:rPr>
              <w:bCs/>
            </w:rPr>
            <w:fldChar w:fldCharType="separate"/>
          </w:r>
          <w:r>
            <w:rPr>
              <w:rFonts w:hint="eastAsia" w:ascii="楷体" w:hAnsi="楷体" w:eastAsia="楷体"/>
              <w:szCs w:val="24"/>
            </w:rPr>
            <w:t>工业硅：行情延续弱势，硅价跌幅收窄</w:t>
          </w:r>
          <w:r>
            <w:rPr>
              <w:bCs/>
            </w:rPr>
            <w:fldChar w:fldCharType="end"/>
          </w:r>
        </w:p>
        <w:p>
          <w:pPr>
            <w:pStyle w:val="5"/>
            <w:tabs>
              <w:tab w:val="right" w:leader="dot" w:pos="8306"/>
            </w:tabs>
          </w:pPr>
          <w:r>
            <w:rPr>
              <w:bCs/>
            </w:rPr>
            <w:fldChar w:fldCharType="begin"/>
          </w:r>
          <w:r>
            <w:rPr>
              <w:bCs/>
            </w:rPr>
            <w:instrText xml:space="preserve"> HYPERLINK \l _Toc2306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_Toc15367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_Toc6830 </w:instrText>
          </w:r>
          <w:r>
            <w:rPr>
              <w:bCs/>
            </w:rPr>
            <w:fldChar w:fldCharType="separate"/>
          </w:r>
          <w:r>
            <w:rPr>
              <w:rFonts w:ascii="楷体" w:hAnsi="楷体" w:eastAsia="楷体"/>
              <w:szCs w:val="24"/>
            </w:rPr>
            <w:t>PTA</w:t>
          </w:r>
          <w:r>
            <w:rPr>
              <w:rFonts w:hint="eastAsia" w:ascii="楷体" w:hAnsi="楷体" w:eastAsia="楷体"/>
              <w:szCs w:val="24"/>
            </w:rPr>
            <w:t>：供需阶段性改善 留意短多机会</w:t>
          </w:r>
          <w:r>
            <w:rPr>
              <w:bCs/>
            </w:rPr>
            <w:fldChar w:fldCharType="end"/>
          </w:r>
        </w:p>
        <w:p>
          <w:pPr>
            <w:pStyle w:val="6"/>
            <w:tabs>
              <w:tab w:val="right" w:leader="dot" w:pos="8306"/>
            </w:tabs>
          </w:pPr>
          <w:r>
            <w:rPr>
              <w:bCs/>
            </w:rPr>
            <w:fldChar w:fldCharType="begin"/>
          </w:r>
          <w:r>
            <w:rPr>
              <w:bCs/>
            </w:rPr>
            <w:instrText xml:space="preserve"> HYPERLINK \l _Toc11845 </w:instrText>
          </w:r>
          <w:r>
            <w:rPr>
              <w:bCs/>
            </w:rPr>
            <w:fldChar w:fldCharType="separate"/>
          </w:r>
          <w:r>
            <w:rPr>
              <w:rFonts w:hint="eastAsia" w:ascii="楷体" w:hAnsi="楷体" w:eastAsia="楷体"/>
              <w:szCs w:val="24"/>
            </w:rPr>
            <w:t>聚烯烃：基本面无利好提振，聚烯烃或延续窄幅偏弱调整</w:t>
          </w:r>
          <w:r>
            <w:rPr>
              <w:bCs/>
            </w:rPr>
            <w:fldChar w:fldCharType="end"/>
          </w:r>
        </w:p>
        <w:p>
          <w:pPr>
            <w:pStyle w:val="5"/>
            <w:tabs>
              <w:tab w:val="right" w:leader="dot" w:pos="8306"/>
            </w:tabs>
          </w:pPr>
          <w:r>
            <w:rPr>
              <w:bCs/>
            </w:rPr>
            <w:fldChar w:fldCharType="begin"/>
          </w:r>
          <w:r>
            <w:rPr>
              <w:bCs/>
            </w:rPr>
            <w:instrText xml:space="preserve"> HYPERLINK \l _Toc24773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_Toc19878 </w:instrText>
          </w:r>
          <w:r>
            <w:rPr>
              <w:bCs/>
            </w:rPr>
            <w:fldChar w:fldCharType="separate"/>
          </w:r>
          <w:r>
            <w:rPr>
              <w:rFonts w:hint="eastAsia" w:ascii="楷体" w:hAnsi="楷体" w:eastAsia="楷体"/>
              <w:szCs w:val="24"/>
            </w:rPr>
            <w:t>豆粕：期现回归，走势偏强</w:t>
          </w:r>
          <w:r>
            <w:rPr>
              <w:bCs/>
            </w:rPr>
            <w:fldChar w:fldCharType="end"/>
          </w:r>
        </w:p>
        <w:p>
          <w:pPr>
            <w:pStyle w:val="6"/>
            <w:tabs>
              <w:tab w:val="right" w:leader="dot" w:pos="8306"/>
            </w:tabs>
          </w:pPr>
          <w:r>
            <w:rPr>
              <w:bCs/>
            </w:rPr>
            <w:fldChar w:fldCharType="begin"/>
          </w:r>
          <w:r>
            <w:rPr>
              <w:bCs/>
            </w:rPr>
            <w:instrText xml:space="preserve"> HYPERLINK \l _Toc21845 </w:instrText>
          </w:r>
          <w:r>
            <w:rPr>
              <w:bCs/>
            </w:rPr>
            <w:fldChar w:fldCharType="separate"/>
          </w:r>
          <w:r>
            <w:rPr>
              <w:rFonts w:hint="eastAsia" w:ascii="楷体" w:hAnsi="楷体" w:eastAsia="楷体"/>
              <w:szCs w:val="24"/>
            </w:rPr>
            <w:t>油脂：短期维持宽幅震荡，走势偏弱</w:t>
          </w:r>
          <w:r>
            <w:rPr>
              <w:bCs/>
            </w:rPr>
            <w:fldChar w:fldCharType="end"/>
          </w:r>
        </w:p>
        <w:p>
          <w:pPr>
            <w:pStyle w:val="6"/>
            <w:tabs>
              <w:tab w:val="right" w:leader="dot" w:pos="8306"/>
            </w:tabs>
          </w:pPr>
          <w:r>
            <w:rPr>
              <w:bCs/>
            </w:rPr>
            <w:fldChar w:fldCharType="begin"/>
          </w:r>
          <w:r>
            <w:rPr>
              <w:bCs/>
            </w:rPr>
            <w:instrText xml:space="preserve"> HYPERLINK \l _Toc264 </w:instrText>
          </w:r>
          <w:r>
            <w:rPr>
              <w:bCs/>
            </w:rPr>
            <w:fldChar w:fldCharType="separate"/>
          </w:r>
          <w:r>
            <w:rPr>
              <w:rFonts w:hint="eastAsia" w:ascii="楷体" w:hAnsi="楷体" w:eastAsia="楷体"/>
              <w:bCs/>
            </w:rPr>
            <w:t>玉米与淀粉：</w:t>
          </w:r>
          <w:r>
            <w:rPr>
              <w:rFonts w:hint="eastAsia" w:ascii="楷体" w:hAnsi="楷体" w:eastAsia="楷体"/>
            </w:rPr>
            <w:t>玉米市场逻辑未变</w:t>
          </w:r>
          <w:r>
            <w:rPr>
              <w:bCs/>
            </w:rPr>
            <w:fldChar w:fldCharType="end"/>
          </w:r>
        </w:p>
        <w:p>
          <w:pPr>
            <w:pStyle w:val="6"/>
            <w:tabs>
              <w:tab w:val="right" w:leader="dot" w:pos="8306"/>
            </w:tabs>
          </w:pPr>
          <w:r>
            <w:rPr>
              <w:bCs/>
            </w:rPr>
            <w:fldChar w:fldCharType="begin"/>
          </w:r>
          <w:r>
            <w:rPr>
              <w:bCs/>
            </w:rPr>
            <w:instrText xml:space="preserve"> HYPERLINK \l _Toc27804 </w:instrText>
          </w:r>
          <w:r>
            <w:rPr>
              <w:bCs/>
            </w:rPr>
            <w:fldChar w:fldCharType="separate"/>
          </w:r>
          <w:r>
            <w:rPr>
              <w:rFonts w:hint="eastAsia" w:ascii="楷体" w:hAnsi="楷体" w:eastAsia="楷体"/>
              <w:bCs/>
            </w:rPr>
            <w:t>畜禽养殖：生猪现货带动主力期价再创新低</w:t>
          </w:r>
          <w:r>
            <w:rPr>
              <w:bCs/>
            </w:rPr>
            <w:fldChar w:fldCharType="end"/>
          </w:r>
        </w:p>
        <w:p>
          <w:pPr>
            <w:pStyle w:val="6"/>
            <w:tabs>
              <w:tab w:val="right" w:leader="dot" w:pos="8306"/>
            </w:tabs>
          </w:pPr>
          <w:r>
            <w:rPr>
              <w:bCs/>
            </w:rPr>
            <w:fldChar w:fldCharType="begin"/>
          </w:r>
          <w:r>
            <w:rPr>
              <w:bCs/>
            </w:rPr>
            <w:instrText xml:space="preserve"> HYPERLINK \l _Toc30983 </w:instrText>
          </w:r>
          <w:r>
            <w:rPr>
              <w:bCs/>
            </w:rPr>
            <w:fldChar w:fldCharType="separate"/>
          </w:r>
          <w:r>
            <w:rPr>
              <w:rFonts w:hint="eastAsia" w:ascii="楷体" w:hAnsi="楷体" w:eastAsia="楷体"/>
              <w:szCs w:val="24"/>
            </w:rPr>
            <w:t>郑棉：原油暴跌，大宗商品整体承压，美棉继续走弱</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3212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949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谨慎追高，低吸为主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政策预期驱动市场的逻辑计价后，市场暂无形成新主线，后续盘面驱动或将聚焦政策发力方向及其成效，同时还需关注资金面以及外部因素的变化情况。短线大盘前期平台的压力较为明显，量能难以释放，加之此前跳空缺口仍有向下引力，短线大盘还将蓄势整理运行，操作上谨慎追高， 低吸为主。</w:t>
      </w:r>
    </w:p>
    <w:p>
      <w:pPr>
        <w:pBdr>
          <w:top w:val="single" w:color="auto" w:sz="4" w:space="0"/>
        </w:pBdr>
        <w:outlineLvl w:val="0"/>
        <w:rPr>
          <w:rFonts w:ascii="Times New Roman" w:hAnsi="Times New Roman" w:eastAsia="楷体"/>
          <w:b/>
          <w:color w:val="823C0B"/>
          <w:sz w:val="30"/>
          <w:szCs w:val="30"/>
        </w:rPr>
      </w:pPr>
      <w:bookmarkStart w:id="7" w:name="_Toc20891"/>
      <w:bookmarkStart w:id="8" w:name="_Toc3096"/>
      <w:bookmarkStart w:id="9" w:name="金属"/>
      <w:bookmarkStart w:id="10" w:name="_Toc10970"/>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8286"/>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成本及现货推动盘面价格继续上行</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表需数据中性偏乐观，钢厂未有厂库累库压力，个别钢厂复产。前期近期利多出尽，对未来经济的乐观预期走弱，但仍处于强预期中，05合约估值或进行调整后，原料提涨计补库推动市场情绪走向乐观，建议低位多单继续持有，短期或在（3800,3900）偏强震荡，短期注意上方压力。</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30185"/>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第三轮提涨落地，盘面或继续震荡上行</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第三轮提降全面提出，个别钢厂同意提涨，但预计落地概率较大，钢厂尚未冬储下，按需补库，随冬储时间更加紧迫，盘面情绪或持续偏乐观。短期盘面或在（2880,2980）震荡。05合（2730,2830）的震荡。</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2104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蒙煤现货开始涨价，现货驱动下继续震荡上行</w:t>
      </w:r>
      <w:bookmarkEnd w:id="18"/>
    </w:p>
    <w:p>
      <w:pPr>
        <w:ind w:left="630" w:leftChars="300"/>
        <w:rPr>
          <w:rFonts w:ascii="楷体" w:hAnsi="楷体" w:eastAsia="楷体"/>
          <w:bCs/>
          <w:sz w:val="24"/>
          <w:szCs w:val="24"/>
        </w:rPr>
      </w:pPr>
      <w:r>
        <w:rPr>
          <w:rFonts w:hint="eastAsia" w:ascii="楷体" w:hAnsi="楷体" w:eastAsia="楷体"/>
          <w:sz w:val="24"/>
          <w:szCs w:val="24"/>
        </w:rPr>
        <w:t>第三轮提涨落地概率大之下刺激市场情绪，口岸蒙煤报价上涨50元/吨。焦煤价格震荡中枢上移，01合约或在（2200,2350）、05或在（1800,1900）震荡。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6871"/>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延续区间震荡运行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(2)库存：12月08日，SHFE仓单库存19753吨，减6614吨。LME仓单库存87375吨，减1100吨。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(3)精废价差：12月08日，Mysteel精废价差1452，收窄76。目前价差在合理价差1363之上。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持续走弱，表征制造业数据继续下探压力，仍将压制铜价上方空间。国内防疫政策调控继续优化，稳增长政策持续推进，市场对国内消费复苏存较大预期，股期联动。现货方面，精铜产量增量不及预期，库存仍保持在较低水平，废铜维持偏紧，精废价差持续收窄，对精铜替代弱化。整体铜价或仍将表现为区间震荡运行。关注上方压力位67500-68000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6765"/>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供应修复库存拐点或现，短期价格高位震荡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美元延续弱势，海外市场资金情绪转好，美国非农数据超出预期，宏观利多大于利空影响。国内疫情管控风向转变，人民币温和走强，叠加国内利好政策频出，覆盖地产、新能源消费、绿色建材等领域，央行降准释放流动性，“保交楼”叠加基建专项债投放，向市场释放利多情绪。铝产产能缓慢恢复，产量逐步走升，需求进入消费淡季，下游企业刚需为主，铝库存维持低位去库，关注库存垒库拐点，短期铝价仍有支撑，短期价格偏强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1430"/>
      <w:r>
        <w:rPr>
          <w:rFonts w:hint="eastAsia" w:ascii="楷体" w:hAnsi="楷体" w:eastAsia="楷体"/>
          <w:b/>
          <w:color w:val="000000" w:themeColor="text1"/>
          <w:sz w:val="24"/>
          <w:szCs w:val="24"/>
          <w14:textFill>
            <w14:solidFill>
              <w14:schemeClr w14:val="tx1"/>
            </w14:solidFill>
          </w14:textFill>
        </w:rPr>
        <w:t>锌：多空博弈沪锌高位震荡</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8日沪锌隔夜收盘价格24735元/吨，跌幅0.22%，上海有色网0#锌锭（Zn99.995）现货报价25410元/吨，较上一统计日报价上涨50元/吨。美国11月非农数据超过预期引起鹰派注意，海外通胀略有降温，整体宏观情绪虽有扰动仍偏向利多。 国内疫情防控走向开放，市场投资情绪转向，多项市场利好政策出台刺激消费，国内延续内需强韧态势。锌矿原料供应趋宽松，中游冶炼利润持续向上，多地减停产产能逐步恢复，锌锭产量将缓慢抬升，但受疫情影响整体现货市场供应偏紧，贸易商惜售，下游消费进入淡季，库存维持低位，短期大量补库可能性较小，短期价格仍有较强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4780"/>
      <w:r>
        <w:rPr>
          <w:rFonts w:hint="eastAsia" w:ascii="楷体" w:hAnsi="楷体" w:eastAsia="楷体"/>
          <w:b/>
          <w:color w:val="000000" w:themeColor="text1"/>
          <w:sz w:val="24"/>
          <w:szCs w:val="24"/>
          <w14:textFill>
            <w14:solidFill>
              <w14:schemeClr w14:val="tx1"/>
            </w14:solidFill>
          </w14:textFill>
        </w:rPr>
        <w:t>镍：低库存低流动性下价格波动剧烈，离场观望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供需边际存转弱迹象。交易上不建议追多，考虑短期绝对低库存和低流动性背景下，镍价波动仍将较大，建议投资者观望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5155"/>
      <w:r>
        <w:rPr>
          <w:rFonts w:hint="eastAsia" w:ascii="楷体" w:hAnsi="楷体" w:eastAsia="楷体"/>
          <w:b/>
          <w:color w:val="000000" w:themeColor="text1"/>
          <w:sz w:val="24"/>
          <w:szCs w:val="24"/>
          <w14:textFill>
            <w14:solidFill>
              <w14:schemeClr w14:val="tx1"/>
            </w14:solidFill>
          </w14:textFill>
        </w:rPr>
        <w:t>不锈钢：成本支撑松动，价格反弹力度有限</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近期防疫优化+地产悲观情绪修复，工业品整体表现偏强，提振不锈钢价，但现实需求疲弱库存累增，且镍铁价格再次下调，成本松动，或限制向上弹性。左侧交易者17400附近轻仓试空。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666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行情延续弱势，硅价跌幅收窄</w:t>
      </w:r>
      <w:bookmarkEnd w:id="28"/>
    </w:p>
    <w:p>
      <w:pPr>
        <w:ind w:left="630" w:leftChars="300"/>
        <w:rPr>
          <w:rFonts w:ascii="楷体" w:hAnsi="楷体" w:eastAsia="楷体"/>
          <w:sz w:val="24"/>
          <w:szCs w:val="24"/>
        </w:rPr>
      </w:pPr>
      <w:r>
        <w:rPr>
          <w:rFonts w:hint="eastAsia" w:ascii="楷体" w:hAnsi="楷体" w:eastAsia="楷体"/>
          <w:sz w:val="24"/>
          <w:szCs w:val="24"/>
        </w:rPr>
        <w:t>12月8日，华东地区553（通氧）19100元/吨，较上个统计日下降50元/吨，下游采购延续冷清状态，市场继续回调，但跌幅收窄。从基本面来看，新疆、宁夏硅煤、台塑焦均有所上涨，以及西南地区枯水期电价上调，行业平均成本上升对硅价有一定支撑。从政策面来看，政策重启房企股权融资，有机硅、铝合金需求预期有所好转;以及工业硅期货、期权获批，有望带动市场热度，预计更多期现商将参与现货市场。综合来看，短期需求难有明显改善，或将延续偏弱行情，但成本支撑，以及政策端发力改善需求预期，预计市场进一步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306"/>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15367"/>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库存方面，12.5 华东主港地区MEG港口库存约88.8万吨附近，环比上期减少3.2万吨。12月5日至12月11日，主港计划到货总数为22万吨，环比增加5.4万吨。供需情况，截至12月8日，中国大陆地区乙二醇整体开工负荷在56.12%（-1.03%），其中煤制乙二醇开工负荷在39.33%（-1.82%），乙二醇负荷小幅下滑。新装置方面，海南一套80万吨/年的MEG新装置计划于本月底前后投产。从聚酯需求端来看，截至本周四，初步核算国内大陆地区聚酯负荷在69.5%，环比小降。终端开工向上修复，江浙终端工厂原料备货追加，各地放开管控，尾单有新增。截至12.8，江浙加弹开工率52%（+4%）、江浙织机开工率47%（+12%）、浙江印染开工率56%（+11%）。综合来看，近期宏观面及基本面稍有改善，但随着假期临近，终端降负及放假预期较为确定。近期港口到港量较大，聚酯工厂备货量累库压力加大。短期终端有所改善，但直接需求聚酯端走弱明显，供需过剩问题仍存，中长线市场依旧承压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6830"/>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：供需阶段性改善 留意短多机会</w:t>
      </w:r>
      <w:bookmarkEnd w:id="32"/>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扬子60万吨停车，仪征35万吨重启，个别装置负荷小幅调整，至周四PTA负荷降至66.3%（-2.2%）。市场关注的新装置方面，山东威联PTA装置一条线计划近期投料中，但尚未产出合格品。聚酯方面，本周聚酯装置延续检修，长丝短纤均有涉及，且瓶片装置轮修中，负荷也有下调，综合聚酯负荷继续下滑。截至本周四，初步核算国内大陆地区聚酯负荷在69.5%。聚酯长丝大厂联合检查，维持前期减产比例不变。后续负荷将跟随下游开机率调整。终端方面，随着防疫政策放开及天气转冷，近期终端部分工厂订单情况有所改善，江浙终端工厂原料备货追加。涤纶长丝连续试探性小幅涨价，产销阶段性良好，行业库存正在逐步去化，高库存压力缓解。局部经编和圆机企业坯布出货有少许转好，下游信心有所修复，囤货意愿增强。短期来看，PTA存量装置检修增多，增量装置尚未稳定投产，且库存尚在低位，供给端压力不大。近期终端投机性需求的确有所改善，聚酯产销阶段性有提升。随着油价企稳反弹，TA近月合约存短多机会。中长期来看，PX和PTA新产能投放预期下，12月起PX进入到大幅度累库时期，加工费预计将进一步压缩。行业实质性需求恢复仍需要缓冲期，聚酯降负及放假预期，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1845"/>
      <w:r>
        <w:rPr>
          <w:rFonts w:hint="eastAsia" w:ascii="楷体" w:hAnsi="楷体" w:eastAsia="楷体"/>
          <w:b/>
          <w:color w:val="000000" w:themeColor="text1"/>
          <w:sz w:val="24"/>
          <w:szCs w:val="24"/>
          <w14:textFill>
            <w14:solidFill>
              <w14:schemeClr w14:val="tx1"/>
            </w14:solidFill>
          </w14:textFill>
        </w:rPr>
        <w:t>聚烯烃：基本面无利好提振，聚烯烃或延续窄幅偏弱调整</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期窄幅回落。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尽管美国原油库存持续下降，但美国汽油和成品油库存大幅度增长，且对美联储更激进的货币紧缩政策担忧加剧， 布伦特原油期货五个交易日连跌，欧美原油期货创近一年以来新低，目前油制PE利润大约为-37元/吨，油制PP利润大约为-1229元/吨，相较年度偏低位置已有较大恢复；需求方面，PE下游方面，棚膜需求持续减弱，地膜订单跟进缓慢，农膜厂家仍略显谨慎，坚持刚需采购。PP方面，BOPP整体成交一般，BOPP企业未交付订单多数在5-15天，部分至12月下旬。综合来看，原油成本端价格偏一般，对聚烯烃支撑减弱，盘面交易弱预期的逻辑依旧存在。12月PE、PP仍有多套装置等待投产，叠加进口套利窗口打开，供应压力不减。下游需求多以刚性补库为主，需求较弱，塑料供需趋弱累库下高空思路不变，上行空间有限。聚烯烃今日预计在成本下滑、下游未有改善下窄幅偏弱整理，短期PP 7700左右支撑较强和PE 8100压力位左右支撑较强。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24773"/>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19878"/>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期现回归，走势偏强</w:t>
      </w:r>
      <w:bookmarkEnd w:id="35"/>
    </w:p>
    <w:p>
      <w:pPr>
        <w:ind w:left="630" w:leftChars="300"/>
        <w:rPr>
          <w:rFonts w:ascii="楷体" w:hAnsi="楷体" w:eastAsia="楷体"/>
          <w:sz w:val="24"/>
          <w:szCs w:val="24"/>
        </w:rPr>
      </w:pPr>
      <w:r>
        <w:rPr>
          <w:rFonts w:hint="eastAsia" w:ascii="楷体" w:hAnsi="楷体" w:eastAsia="楷体"/>
          <w:sz w:val="24"/>
          <w:szCs w:val="24"/>
        </w:rPr>
        <w:t>外盘方面，CBOT大豆维持偏强震荡，因自身压榨需求强劲，南美天气炒作及中国防疫政策优化需求或改善。当前进入12月份南美关键种植阶段，市场重心转向南美，阿根廷因天气干燥种植进度偏慢，形成天气升水。国内市场，随着进口大豆陆续到港，大豆港口库存低点已现，库存回升。大部分油厂恢复开工，开机率大幅回升压榨增加，豆粕库存拐点逐步显现。下游近期猪价有所回升，但二次育肥临近尾声，生猪临近集中出栏阶段，饲企和养殖企业等采购需求减弱，但仍保持刚需补库及后续有节前备货需求。随着供应有所改善豆粕现货价格回落但11月大豆到港仍不及预期，短期临近交割月呈现期货向现货靠近实现基差回归的情况，若未明显利空行情下，豆粕01预计维持偏强震荡，建议短线低多操作；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2184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短期维持宽幅震荡，走势偏弱</w:t>
      </w:r>
      <w:bookmarkEnd w:id="36"/>
    </w:p>
    <w:p>
      <w:pPr>
        <w:ind w:left="630" w:leftChars="300"/>
        <w:rPr>
          <w:rFonts w:ascii="楷体" w:hAnsi="楷体" w:eastAsia="楷体"/>
          <w:sz w:val="24"/>
          <w:szCs w:val="24"/>
        </w:rPr>
      </w:pPr>
      <w:r>
        <w:rPr>
          <w:rFonts w:hint="eastAsia" w:ascii="楷体" w:hAnsi="楷体" w:eastAsia="楷体"/>
          <w:sz w:val="24"/>
          <w:szCs w:val="24"/>
        </w:rPr>
        <w:t>虽印尼B35生柴政策带来利好提振，但在出口环比下滑、国际原油及外盘走势持续偏弱下拖累油脂走势。棕榈油后续基本面支撑主要来自产地减产担忧及印尼出口预期收紧，但有预期马棕11月库存减幅或不及预期，关注之后MPOB数据公布及天气对产量的影响；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各地防疫政策放宽或刺激餐饮消费，春节前仍有集中备货需求。随着11月进口大豆到港陆续增加，港口大豆库存开始累库。油厂压榨持续恢复后供应预计由紧转宽，豆油预计进入累库阶段，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及宏观扰动带来宽幅波动，建议波段操作，中长期关注供给格局转变带来的菜油空配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26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玉米市场逻辑未变</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由于国内现货价格持续飙升，加上国内疫情防控政策发生一些变化，带动前期供需阶段性紧张局面有所缓解。而外盘CBOT玉米期价持续弱势，美湾FOB升贴水大幅回落，加上人民币升值因素，进口到港成本大幅回落，已经较国产玉米具备性价比优势。在这种情况下，可以合理预期市场或逐步转向新作上市压力。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出现显著分化，近月收窄而远月继续走扩，表现分化的主要原因有二，其一是疫情对需求的抑制导致供需改善后移，其二是副产品价格下跌的节奏影响行业期现货生产利润以及行业开率乃至行业供需的传导。但需要留意的是，接下来淀粉-玉米价差同样面临原料端即玉米期现货回落的风险，我们建议投资者前期淀粉-玉米价差离场后观望为宜。</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7804"/>
      <w:r>
        <w:rPr>
          <w:rFonts w:hint="eastAsia" w:ascii="楷体" w:hAnsi="楷体" w:eastAsia="楷体"/>
          <w:b/>
          <w:bCs/>
          <w:color w:val="000000" w:themeColor="text1"/>
          <w14:textFill>
            <w14:solidFill>
              <w14:schemeClr w14:val="tx1"/>
            </w14:solidFill>
          </w14:textFill>
        </w:rPr>
        <w:t>畜禽养殖：生猪现货带动主力期价再创新低</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由于猪价于10月下旬见到目前已知高点，随后持续大幅回落，市场多拿今年与2019年进行对比，继而预计生猪周期拐点或已经出现。但需要留意的是今年供应包括进口、储备和冷冻库存均相对低于2019年。考虑到随着气温下降，市场熏腊需求逐步启动，接下来市场将根据现货走势来判断供需状况。而近期猪价持续弱势，甚至跌破前期低点，表明需求表现弱于之前预期，转为中性观点，建议观望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30983"/>
      <w:r>
        <w:rPr>
          <w:rFonts w:hint="eastAsia" w:ascii="楷体" w:hAnsi="楷体" w:eastAsia="楷体"/>
          <w:b/>
          <w:sz w:val="24"/>
          <w:szCs w:val="24"/>
        </w:rPr>
        <w:t>郑棉：原油暴跌，大宗商品整体承压，美棉继续走弱</w:t>
      </w:r>
      <w:bookmarkEnd w:id="39"/>
    </w:p>
    <w:p>
      <w:pPr>
        <w:ind w:left="630" w:leftChars="300"/>
        <w:rPr>
          <w:rFonts w:hint="eastAsia" w:ascii="楷体" w:hAnsi="楷体" w:eastAsia="楷体"/>
          <w:sz w:val="24"/>
          <w:szCs w:val="24"/>
        </w:rPr>
      </w:pPr>
      <w:r>
        <w:rPr>
          <w:rFonts w:hint="eastAsia" w:ascii="楷体" w:hAnsi="楷体" w:eastAsia="楷体"/>
          <w:sz w:val="24"/>
          <w:szCs w:val="24"/>
        </w:rPr>
        <w:t>郑棉偏强震荡，观望</w:t>
      </w:r>
    </w:p>
    <w:p>
      <w:pPr>
        <w:ind w:left="630" w:leftChars="300"/>
        <w:rPr>
          <w:rFonts w:ascii="楷体" w:hAnsi="楷体" w:eastAsia="楷体"/>
          <w:sz w:val="24"/>
          <w:szCs w:val="24"/>
        </w:rPr>
      </w:pPr>
      <w:r>
        <w:rPr>
          <w:rFonts w:hint="eastAsia" w:ascii="楷体" w:hAnsi="楷体" w:eastAsia="楷体"/>
          <w:sz w:val="24"/>
          <w:szCs w:val="24"/>
        </w:rPr>
        <w:t>据美国农业部（USDA），11.25-12.1日一周美国2022/23年度陆地棉净签约7416吨（含签约8618吨，取消前期签约1202吨），较前一周骤增98%，但整体依然处于历史偏低水平；装运陆地棉32001吨，较前一周略增加1%。净签约本年度皮马棉340吨，较前一周减少17%；装运皮马棉1565吨，较前一周大幅增加432%。新年度陆地棉签约5987吨，新年度皮马棉签约45吨。出口数据依然疲弱，美棉等待供需平衡表的指引。</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12779"/>
      <w:bookmarkStart w:id="41" w:name="_Toc71212556"/>
      <w:bookmarkStart w:id="42" w:name="_Toc19667"/>
      <w:bookmarkStart w:id="43" w:name="_Toc72481108"/>
      <w:bookmarkStart w:id="44" w:name="_Toc98426751"/>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2022年12月9日星期五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2AA5DF8"/>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DA80A30"/>
    <w:rsid w:val="3EE0186C"/>
    <w:rsid w:val="441077D2"/>
    <w:rsid w:val="44396064"/>
    <w:rsid w:val="51266B84"/>
    <w:rsid w:val="548642E9"/>
    <w:rsid w:val="56DD4D3A"/>
    <w:rsid w:val="59C52328"/>
    <w:rsid w:val="5D5617A6"/>
    <w:rsid w:val="5EA7685B"/>
    <w:rsid w:val="62710E5F"/>
    <w:rsid w:val="64C32497"/>
    <w:rsid w:val="66D04BBC"/>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2022-12-09T02:04:56Z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