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color w:val="823C0B"/>
          <w:sz w:val="30"/>
          <w:szCs w:val="30"/>
        </w:rPr>
      </w:pP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17"/>
            <w:rPr>
              <w:b/>
              <w:bCs/>
            </w:rPr>
          </w:pPr>
          <w:bookmarkStart w:id="44" w:name="_GoBack"/>
          <w:bookmarkEnd w:id="44"/>
        </w:p>
        <w:p>
          <w:pPr>
            <w:pStyle w:val="5"/>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_Toc24682 </w:instrText>
          </w:r>
          <w:r>
            <w:rPr>
              <w:bCs/>
            </w:rPr>
            <w:fldChar w:fldCharType="separate"/>
          </w:r>
          <w:r>
            <w:rPr>
              <w:rFonts w:hint="eastAsia" w:ascii="Times New Roman" w:hAnsi="Times New Roman" w:eastAsia="楷体"/>
              <w:szCs w:val="30"/>
            </w:rPr>
            <w:t>[金融]</w:t>
          </w:r>
          <w:r>
            <w:rPr>
              <w:bCs/>
            </w:rPr>
            <w:fldChar w:fldCharType="end"/>
          </w:r>
        </w:p>
        <w:p>
          <w:pPr>
            <w:pStyle w:val="6"/>
            <w:tabs>
              <w:tab w:val="right" w:leader="dot" w:pos="8306"/>
            </w:tabs>
          </w:pPr>
          <w:r>
            <w:rPr>
              <w:bCs/>
            </w:rPr>
            <w:fldChar w:fldCharType="begin"/>
          </w:r>
          <w:r>
            <w:rPr>
              <w:bCs/>
            </w:rPr>
            <w:instrText xml:space="preserve"> HYPERLINK \l _Toc18166 </w:instrText>
          </w:r>
          <w:r>
            <w:rPr>
              <w:bCs/>
            </w:rPr>
            <w:fldChar w:fldCharType="separate"/>
          </w:r>
          <w:r>
            <w:rPr>
              <w:rFonts w:hint="eastAsia" w:ascii="Times New Roman" w:hAnsi="Times New Roman" w:eastAsia="楷体"/>
              <w:szCs w:val="24"/>
            </w:rPr>
            <w:t>股指：</w:t>
          </w:r>
          <w:r>
            <w:rPr>
              <w:rFonts w:hint="eastAsia" w:ascii="Times New Roman" w:hAnsi="Times New Roman" w:eastAsia="楷体"/>
              <w:szCs w:val="24"/>
              <w:highlight w:val="none"/>
            </w:rPr>
            <w:t>谨慎追高，低吸为主</w:t>
          </w:r>
          <w:r>
            <w:rPr>
              <w:bCs/>
            </w:rPr>
            <w:fldChar w:fldCharType="end"/>
          </w:r>
        </w:p>
        <w:p>
          <w:pPr>
            <w:pStyle w:val="5"/>
            <w:tabs>
              <w:tab w:val="right" w:leader="dot" w:pos="8306"/>
            </w:tabs>
          </w:pPr>
          <w:r>
            <w:rPr>
              <w:bCs/>
            </w:rPr>
            <w:fldChar w:fldCharType="begin"/>
          </w:r>
          <w:r>
            <w:rPr>
              <w:bCs/>
            </w:rPr>
            <w:instrText xml:space="preserve"> HYPERLINK \l _Toc32245 </w:instrText>
          </w:r>
          <w:r>
            <w:rPr>
              <w:bCs/>
            </w:rPr>
            <w:fldChar w:fldCharType="separate"/>
          </w:r>
          <w:r>
            <w:rPr>
              <w:rFonts w:hint="eastAsia" w:ascii="Times New Roman" w:hAnsi="Times New Roman" w:eastAsia="楷体"/>
              <w:szCs w:val="30"/>
            </w:rPr>
            <w:t>[金属]</w:t>
          </w:r>
          <w:r>
            <w:rPr>
              <w:bCs/>
            </w:rPr>
            <w:fldChar w:fldCharType="end"/>
          </w:r>
        </w:p>
        <w:p>
          <w:pPr>
            <w:pStyle w:val="6"/>
            <w:tabs>
              <w:tab w:val="right" w:leader="dot" w:pos="8306"/>
            </w:tabs>
          </w:pPr>
          <w:r>
            <w:rPr>
              <w:bCs/>
            </w:rPr>
            <w:fldChar w:fldCharType="begin"/>
          </w:r>
          <w:r>
            <w:rPr>
              <w:bCs/>
            </w:rPr>
            <w:instrText xml:space="preserve"> HYPERLINK \l _Toc4479 </w:instrText>
          </w:r>
          <w:r>
            <w:rPr>
              <w:bCs/>
            </w:rPr>
            <w:fldChar w:fldCharType="separate"/>
          </w:r>
          <w:r>
            <w:rPr>
              <w:rFonts w:hint="eastAsia" w:ascii="楷体" w:hAnsi="楷体" w:eastAsia="楷体"/>
              <w:szCs w:val="24"/>
            </w:rPr>
            <w:t>螺纹钢：</w:t>
          </w:r>
          <w:r>
            <w:rPr>
              <w:rFonts w:hint="eastAsia" w:ascii="楷体" w:hAnsi="楷体" w:eastAsia="楷体"/>
              <w:szCs w:val="24"/>
              <w:highlight w:val="none"/>
            </w:rPr>
            <w:t>震荡上行，低位多单继续持有</w:t>
          </w:r>
          <w:r>
            <w:rPr>
              <w:bCs/>
            </w:rPr>
            <w:fldChar w:fldCharType="end"/>
          </w:r>
        </w:p>
        <w:p>
          <w:pPr>
            <w:pStyle w:val="6"/>
            <w:tabs>
              <w:tab w:val="right" w:leader="dot" w:pos="8306"/>
            </w:tabs>
          </w:pPr>
          <w:r>
            <w:rPr>
              <w:bCs/>
            </w:rPr>
            <w:fldChar w:fldCharType="begin"/>
          </w:r>
          <w:r>
            <w:rPr>
              <w:bCs/>
            </w:rPr>
            <w:instrText xml:space="preserve"> HYPERLINK \l _Toc1024 </w:instrText>
          </w:r>
          <w:r>
            <w:rPr>
              <w:bCs/>
            </w:rPr>
            <w:fldChar w:fldCharType="separate"/>
          </w:r>
          <w:r>
            <w:rPr>
              <w:rFonts w:hint="eastAsia" w:ascii="楷体" w:hAnsi="楷体" w:eastAsia="楷体"/>
              <w:szCs w:val="24"/>
            </w:rPr>
            <w:t>焦炭：第三轮提涨博弈中，偏强运行</w:t>
          </w:r>
          <w:r>
            <w:rPr>
              <w:bCs/>
            </w:rPr>
            <w:fldChar w:fldCharType="end"/>
          </w:r>
        </w:p>
        <w:p>
          <w:pPr>
            <w:pStyle w:val="6"/>
            <w:tabs>
              <w:tab w:val="right" w:leader="dot" w:pos="8306"/>
            </w:tabs>
          </w:pPr>
          <w:r>
            <w:rPr>
              <w:bCs/>
            </w:rPr>
            <w:fldChar w:fldCharType="begin"/>
          </w:r>
          <w:r>
            <w:rPr>
              <w:bCs/>
            </w:rPr>
            <w:instrText xml:space="preserve"> HYPERLINK \l _Toc24851 </w:instrText>
          </w:r>
          <w:r>
            <w:rPr>
              <w:bCs/>
            </w:rPr>
            <w:fldChar w:fldCharType="separate"/>
          </w:r>
          <w:r>
            <w:rPr>
              <w:rFonts w:hint="eastAsia" w:ascii="楷体" w:hAnsi="楷体" w:eastAsia="楷体"/>
              <w:szCs w:val="24"/>
            </w:rPr>
            <w:t>焦煤：焦炭提涨或大概上涨空间，偏强运行</w:t>
          </w:r>
          <w:r>
            <w:rPr>
              <w:bCs/>
            </w:rPr>
            <w:fldChar w:fldCharType="end"/>
          </w:r>
        </w:p>
        <w:p>
          <w:pPr>
            <w:pStyle w:val="6"/>
            <w:tabs>
              <w:tab w:val="right" w:leader="dot" w:pos="8306"/>
            </w:tabs>
          </w:pPr>
          <w:r>
            <w:rPr>
              <w:bCs/>
            </w:rPr>
            <w:fldChar w:fldCharType="begin"/>
          </w:r>
          <w:r>
            <w:rPr>
              <w:bCs/>
            </w:rPr>
            <w:instrText xml:space="preserve"> HYPERLINK \l _Toc14409 </w:instrText>
          </w:r>
          <w:r>
            <w:rPr>
              <w:bCs/>
            </w:rPr>
            <w:fldChar w:fldCharType="separate"/>
          </w:r>
          <w:r>
            <w:rPr>
              <w:rFonts w:hint="eastAsia" w:ascii="楷体" w:hAnsi="楷体" w:eastAsia="楷体"/>
              <w:szCs w:val="24"/>
            </w:rPr>
            <w:t>铜：延续区间震荡运行</w:t>
          </w:r>
          <w:r>
            <w:rPr>
              <w:bCs/>
            </w:rPr>
            <w:fldChar w:fldCharType="end"/>
          </w:r>
        </w:p>
        <w:p>
          <w:pPr>
            <w:pStyle w:val="6"/>
            <w:tabs>
              <w:tab w:val="right" w:leader="dot" w:pos="8306"/>
            </w:tabs>
          </w:pPr>
          <w:r>
            <w:rPr>
              <w:bCs/>
            </w:rPr>
            <w:fldChar w:fldCharType="begin"/>
          </w:r>
          <w:r>
            <w:rPr>
              <w:bCs/>
            </w:rPr>
            <w:instrText xml:space="preserve"> HYPERLINK \l _Toc710 </w:instrText>
          </w:r>
          <w:r>
            <w:rPr>
              <w:bCs/>
            </w:rPr>
            <w:fldChar w:fldCharType="separate"/>
          </w:r>
          <w:r>
            <w:rPr>
              <w:rFonts w:hint="eastAsia" w:ascii="楷体" w:hAnsi="楷体" w:eastAsia="楷体"/>
              <w:szCs w:val="24"/>
            </w:rPr>
            <w:t>铝： 供修需疲，宏观利多支撑铝价偏强</w:t>
          </w:r>
          <w:r>
            <w:rPr>
              <w:bCs/>
            </w:rPr>
            <w:fldChar w:fldCharType="end"/>
          </w:r>
        </w:p>
        <w:p>
          <w:pPr>
            <w:pStyle w:val="6"/>
            <w:tabs>
              <w:tab w:val="right" w:leader="dot" w:pos="8306"/>
            </w:tabs>
          </w:pPr>
          <w:r>
            <w:rPr>
              <w:bCs/>
            </w:rPr>
            <w:fldChar w:fldCharType="begin"/>
          </w:r>
          <w:r>
            <w:rPr>
              <w:bCs/>
            </w:rPr>
            <w:instrText xml:space="preserve"> HYPERLINK \l _Toc8353 </w:instrText>
          </w:r>
          <w:r>
            <w:rPr>
              <w:bCs/>
            </w:rPr>
            <w:fldChar w:fldCharType="separate"/>
          </w:r>
          <w:r>
            <w:rPr>
              <w:rFonts w:hint="eastAsia" w:ascii="楷体" w:hAnsi="楷体" w:eastAsia="楷体"/>
              <w:szCs w:val="24"/>
            </w:rPr>
            <w:t>锌：供应有恢复预期， 低库存短期仍支撑价格</w:t>
          </w:r>
          <w:r>
            <w:rPr>
              <w:bCs/>
            </w:rPr>
            <w:fldChar w:fldCharType="end"/>
          </w:r>
        </w:p>
        <w:p>
          <w:pPr>
            <w:pStyle w:val="6"/>
            <w:tabs>
              <w:tab w:val="right" w:leader="dot" w:pos="8306"/>
            </w:tabs>
          </w:pPr>
          <w:r>
            <w:rPr>
              <w:bCs/>
            </w:rPr>
            <w:fldChar w:fldCharType="begin"/>
          </w:r>
          <w:r>
            <w:rPr>
              <w:bCs/>
            </w:rPr>
            <w:instrText xml:space="preserve"> HYPERLINK \l _Toc17934 </w:instrText>
          </w:r>
          <w:r>
            <w:rPr>
              <w:bCs/>
            </w:rPr>
            <w:fldChar w:fldCharType="separate"/>
          </w:r>
          <w:r>
            <w:rPr>
              <w:rFonts w:hint="eastAsia" w:ascii="楷体" w:hAnsi="楷体" w:eastAsia="楷体"/>
              <w:szCs w:val="24"/>
            </w:rPr>
            <w:t>镍：阶段性反弹趋势并未被打破，交易上先观望</w:t>
          </w:r>
          <w:r>
            <w:rPr>
              <w:bCs/>
            </w:rPr>
            <w:fldChar w:fldCharType="end"/>
          </w:r>
        </w:p>
        <w:p>
          <w:pPr>
            <w:pStyle w:val="6"/>
            <w:tabs>
              <w:tab w:val="right" w:leader="dot" w:pos="8306"/>
            </w:tabs>
          </w:pPr>
          <w:r>
            <w:rPr>
              <w:bCs/>
            </w:rPr>
            <w:fldChar w:fldCharType="begin"/>
          </w:r>
          <w:r>
            <w:rPr>
              <w:bCs/>
            </w:rPr>
            <w:instrText xml:space="preserve"> HYPERLINK \l _Toc13311 </w:instrText>
          </w:r>
          <w:r>
            <w:rPr>
              <w:bCs/>
            </w:rPr>
            <w:fldChar w:fldCharType="separate"/>
          </w:r>
          <w:r>
            <w:rPr>
              <w:rFonts w:hint="eastAsia" w:ascii="楷体" w:hAnsi="楷体" w:eastAsia="楷体"/>
              <w:szCs w:val="24"/>
            </w:rPr>
            <w:t>不锈钢：宏观预期好转提振价格大涨，疲弱需求或限制涨幅</w:t>
          </w:r>
          <w:r>
            <w:rPr>
              <w:bCs/>
            </w:rPr>
            <w:fldChar w:fldCharType="end"/>
          </w:r>
        </w:p>
        <w:p>
          <w:pPr>
            <w:pStyle w:val="6"/>
            <w:tabs>
              <w:tab w:val="right" w:leader="dot" w:pos="8306"/>
            </w:tabs>
          </w:pPr>
          <w:r>
            <w:rPr>
              <w:bCs/>
            </w:rPr>
            <w:fldChar w:fldCharType="begin"/>
          </w:r>
          <w:r>
            <w:rPr>
              <w:bCs/>
            </w:rPr>
            <w:instrText xml:space="preserve"> HYPERLINK \l _Toc32240 </w:instrText>
          </w:r>
          <w:r>
            <w:rPr>
              <w:bCs/>
            </w:rPr>
            <w:fldChar w:fldCharType="separate"/>
          </w:r>
          <w:r>
            <w:rPr>
              <w:rFonts w:hint="eastAsia" w:ascii="楷体" w:hAnsi="楷体" w:eastAsia="楷体"/>
              <w:szCs w:val="24"/>
            </w:rPr>
            <w:t>工业硅：上下游博弈，市场整体趋稳运行</w:t>
          </w:r>
          <w:r>
            <w:rPr>
              <w:bCs/>
            </w:rPr>
            <w:fldChar w:fldCharType="end"/>
          </w:r>
        </w:p>
        <w:p>
          <w:pPr>
            <w:pStyle w:val="5"/>
            <w:tabs>
              <w:tab w:val="right" w:leader="dot" w:pos="8306"/>
            </w:tabs>
          </w:pPr>
          <w:r>
            <w:rPr>
              <w:bCs/>
            </w:rPr>
            <w:fldChar w:fldCharType="begin"/>
          </w:r>
          <w:r>
            <w:rPr>
              <w:bCs/>
            </w:rPr>
            <w:instrText xml:space="preserve"> HYPERLINK \l _Toc6525 </w:instrText>
          </w:r>
          <w:r>
            <w:rPr>
              <w:bCs/>
            </w:rPr>
            <w:fldChar w:fldCharType="separate"/>
          </w:r>
          <w:r>
            <w:rPr>
              <w:rFonts w:hint="eastAsia" w:ascii="Times New Roman" w:hAnsi="Times New Roman" w:eastAsia="楷体"/>
              <w:szCs w:val="30"/>
            </w:rPr>
            <w:t>[化工]</w:t>
          </w:r>
          <w:r>
            <w:rPr>
              <w:bCs/>
            </w:rPr>
            <w:fldChar w:fldCharType="end"/>
          </w:r>
        </w:p>
        <w:p>
          <w:pPr>
            <w:pStyle w:val="6"/>
            <w:tabs>
              <w:tab w:val="right" w:leader="dot" w:pos="8306"/>
            </w:tabs>
          </w:pPr>
          <w:r>
            <w:rPr>
              <w:bCs/>
            </w:rPr>
            <w:fldChar w:fldCharType="begin"/>
          </w:r>
          <w:r>
            <w:rPr>
              <w:bCs/>
            </w:rPr>
            <w:instrText xml:space="preserve"> HYPERLINK \l _Toc31911 </w:instrText>
          </w:r>
          <w:r>
            <w:rPr>
              <w:bCs/>
            </w:rPr>
            <w:fldChar w:fldCharType="separate"/>
          </w:r>
          <w:r>
            <w:rPr>
              <w:rFonts w:hint="eastAsia" w:ascii="Times New Roman" w:hAnsi="Times New Roman" w:eastAsia="楷体"/>
              <w:szCs w:val="24"/>
            </w:rPr>
            <w:t>乙二醇：供应累库预期  走势承压</w:t>
          </w:r>
          <w:r>
            <w:rPr>
              <w:bCs/>
            </w:rPr>
            <w:fldChar w:fldCharType="end"/>
          </w:r>
        </w:p>
        <w:p>
          <w:pPr>
            <w:pStyle w:val="6"/>
            <w:tabs>
              <w:tab w:val="right" w:leader="dot" w:pos="8306"/>
            </w:tabs>
          </w:pPr>
          <w:r>
            <w:rPr>
              <w:bCs/>
            </w:rPr>
            <w:fldChar w:fldCharType="begin"/>
          </w:r>
          <w:r>
            <w:rPr>
              <w:bCs/>
            </w:rPr>
            <w:instrText xml:space="preserve"> HYPERLINK \l _Toc3046 </w:instrText>
          </w:r>
          <w:r>
            <w:rPr>
              <w:bCs/>
            </w:rPr>
            <w:fldChar w:fldCharType="separate"/>
          </w:r>
          <w:r>
            <w:rPr>
              <w:rFonts w:ascii="楷体" w:hAnsi="楷体" w:eastAsia="楷体"/>
              <w:szCs w:val="24"/>
            </w:rPr>
            <w:t>PTA</w:t>
          </w:r>
          <w:r>
            <w:rPr>
              <w:rFonts w:hint="eastAsia" w:ascii="楷体" w:hAnsi="楷体" w:eastAsia="楷体"/>
              <w:szCs w:val="24"/>
            </w:rPr>
            <w:t>：成本端走势偏弱带动TA下行</w:t>
          </w:r>
          <w:r>
            <w:rPr>
              <w:bCs/>
            </w:rPr>
            <w:fldChar w:fldCharType="end"/>
          </w:r>
        </w:p>
        <w:p>
          <w:pPr>
            <w:pStyle w:val="5"/>
            <w:tabs>
              <w:tab w:val="right" w:leader="dot" w:pos="8306"/>
            </w:tabs>
          </w:pPr>
          <w:r>
            <w:rPr>
              <w:bCs/>
            </w:rPr>
            <w:fldChar w:fldCharType="begin"/>
          </w:r>
          <w:r>
            <w:rPr>
              <w:bCs/>
            </w:rPr>
            <w:instrText xml:space="preserve"> HYPERLINK \l _Toc25954 </w:instrText>
          </w:r>
          <w:r>
            <w:rPr>
              <w:bCs/>
            </w:rPr>
            <w:fldChar w:fldCharType="separate"/>
          </w:r>
          <w:r>
            <w:rPr>
              <w:rFonts w:hint="eastAsia" w:ascii="Times New Roman" w:hAnsi="Times New Roman" w:eastAsia="楷体"/>
              <w:szCs w:val="30"/>
            </w:rPr>
            <w:t>[农产品]</w:t>
          </w:r>
          <w:r>
            <w:rPr>
              <w:bCs/>
            </w:rPr>
            <w:fldChar w:fldCharType="end"/>
          </w:r>
        </w:p>
        <w:p>
          <w:pPr>
            <w:pStyle w:val="6"/>
            <w:tabs>
              <w:tab w:val="right" w:leader="dot" w:pos="8306"/>
            </w:tabs>
          </w:pPr>
          <w:r>
            <w:rPr>
              <w:bCs/>
            </w:rPr>
            <w:fldChar w:fldCharType="begin"/>
          </w:r>
          <w:r>
            <w:rPr>
              <w:bCs/>
            </w:rPr>
            <w:instrText xml:space="preserve"> HYPERLINK \l _Toc28407 </w:instrText>
          </w:r>
          <w:r>
            <w:rPr>
              <w:bCs/>
            </w:rPr>
            <w:fldChar w:fldCharType="separate"/>
          </w:r>
          <w:r>
            <w:rPr>
              <w:rFonts w:hint="eastAsia" w:ascii="楷体" w:hAnsi="楷体" w:eastAsia="楷体"/>
              <w:szCs w:val="24"/>
            </w:rPr>
            <w:t>豆粕：期现回归，01支撑仍强</w:t>
          </w:r>
          <w:r>
            <w:rPr>
              <w:bCs/>
            </w:rPr>
            <w:fldChar w:fldCharType="end"/>
          </w:r>
        </w:p>
        <w:p>
          <w:pPr>
            <w:pStyle w:val="6"/>
            <w:tabs>
              <w:tab w:val="right" w:leader="dot" w:pos="8306"/>
            </w:tabs>
          </w:pPr>
          <w:r>
            <w:rPr>
              <w:bCs/>
            </w:rPr>
            <w:fldChar w:fldCharType="begin"/>
          </w:r>
          <w:r>
            <w:rPr>
              <w:bCs/>
            </w:rPr>
            <w:instrText xml:space="preserve"> HYPERLINK \l _Toc19722 </w:instrText>
          </w:r>
          <w:r>
            <w:rPr>
              <w:bCs/>
            </w:rPr>
            <w:fldChar w:fldCharType="separate"/>
          </w:r>
          <w:r>
            <w:rPr>
              <w:rFonts w:hint="eastAsia" w:ascii="楷体" w:hAnsi="楷体" w:eastAsia="楷体"/>
              <w:szCs w:val="24"/>
            </w:rPr>
            <w:t>油脂：短期维持宽幅震荡，走势偏弱</w:t>
          </w:r>
          <w:r>
            <w:rPr>
              <w:bCs/>
            </w:rPr>
            <w:fldChar w:fldCharType="end"/>
          </w:r>
        </w:p>
        <w:p>
          <w:pPr>
            <w:pStyle w:val="6"/>
            <w:tabs>
              <w:tab w:val="right" w:leader="dot" w:pos="8306"/>
            </w:tabs>
          </w:pPr>
          <w:r>
            <w:rPr>
              <w:bCs/>
            </w:rPr>
            <w:fldChar w:fldCharType="begin"/>
          </w:r>
          <w:r>
            <w:rPr>
              <w:bCs/>
            </w:rPr>
            <w:instrText xml:space="preserve"> HYPERLINK \l _Toc19343 </w:instrText>
          </w:r>
          <w:r>
            <w:rPr>
              <w:bCs/>
            </w:rPr>
            <w:fldChar w:fldCharType="separate"/>
          </w:r>
          <w:r>
            <w:rPr>
              <w:rFonts w:hint="eastAsia" w:ascii="楷体" w:hAnsi="楷体" w:eastAsia="楷体"/>
              <w:bCs/>
            </w:rPr>
            <w:t>玉米与淀粉：</w:t>
          </w:r>
          <w:r>
            <w:rPr>
              <w:rFonts w:hint="eastAsia" w:ascii="楷体" w:hAnsi="楷体" w:eastAsia="楷体"/>
            </w:rPr>
            <w:t>现货带动期价弱势未改</w:t>
          </w:r>
          <w:r>
            <w:rPr>
              <w:bCs/>
            </w:rPr>
            <w:fldChar w:fldCharType="end"/>
          </w:r>
        </w:p>
        <w:p>
          <w:pPr>
            <w:pStyle w:val="6"/>
            <w:tabs>
              <w:tab w:val="right" w:leader="dot" w:pos="8306"/>
            </w:tabs>
          </w:pPr>
          <w:r>
            <w:rPr>
              <w:bCs/>
            </w:rPr>
            <w:fldChar w:fldCharType="begin"/>
          </w:r>
          <w:r>
            <w:rPr>
              <w:bCs/>
            </w:rPr>
            <w:instrText xml:space="preserve"> HYPERLINK \l _Toc10804 </w:instrText>
          </w:r>
          <w:r>
            <w:rPr>
              <w:bCs/>
            </w:rPr>
            <w:fldChar w:fldCharType="separate"/>
          </w:r>
          <w:r>
            <w:rPr>
              <w:rFonts w:hint="eastAsia" w:ascii="楷体" w:hAnsi="楷体" w:eastAsia="楷体"/>
              <w:bCs/>
            </w:rPr>
            <w:t>畜禽养殖：现货再度上涨</w:t>
          </w:r>
          <w:r>
            <w:rPr>
              <w:bCs/>
            </w:rPr>
            <w:fldChar w:fldCharType="end"/>
          </w:r>
        </w:p>
        <w:p>
          <w:pPr>
            <w:pStyle w:val="6"/>
            <w:tabs>
              <w:tab w:val="right" w:leader="dot" w:pos="8306"/>
            </w:tabs>
          </w:pPr>
          <w:r>
            <w:rPr>
              <w:bCs/>
            </w:rPr>
            <w:fldChar w:fldCharType="begin"/>
          </w:r>
          <w:r>
            <w:rPr>
              <w:bCs/>
            </w:rPr>
            <w:instrText xml:space="preserve"> HYPERLINK \l _Toc21078 </w:instrText>
          </w:r>
          <w:r>
            <w:rPr>
              <w:bCs/>
            </w:rPr>
            <w:fldChar w:fldCharType="separate"/>
          </w:r>
          <w:r>
            <w:rPr>
              <w:rFonts w:hint="eastAsia" w:ascii="楷体" w:hAnsi="楷体" w:eastAsia="楷体"/>
              <w:szCs w:val="24"/>
            </w:rPr>
            <w:t>郑棉：预期中国需求好转，内外棉价偏强震荡</w:t>
          </w:r>
          <w:r>
            <w:rPr>
              <w:bCs/>
            </w:rPr>
            <w:fldChar w:fldCharType="end"/>
          </w:r>
        </w:p>
        <w:p>
          <w:r>
            <w:rPr>
              <w:bCs/>
            </w:rPr>
            <w:fldChar w:fldCharType="end"/>
          </w:r>
        </w:p>
      </w:sdtContent>
    </w:sdt>
    <w:p>
      <w:pPr>
        <w:rPr>
          <w:rFonts w:ascii="Times New Roman" w:hAnsi="Times New Roman" w:eastAsia="楷体"/>
          <w:b/>
        </w:rPr>
      </w:pPr>
    </w:p>
    <w:p>
      <w:pPr>
        <w:rPr>
          <w:rFonts w:ascii="Times New Roman" w:hAnsi="Times New Roman" w:eastAsia="楷体"/>
          <w:b/>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lang w:val="en-US" w:eastAsia="zh-CN"/>
        </w:rPr>
      </w:pPr>
    </w:p>
    <w:p>
      <w:pPr>
        <w:rPr>
          <w:rFonts w:hint="eastAsia" w:ascii="Times New Roman" w:hAnsi="Times New Roman" w:eastAsia="楷体" w:cs="Times New Roman"/>
          <w:b/>
          <w:color w:val="823C0B"/>
          <w:sz w:val="24"/>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b/>
          <w:color w:val="823C0B"/>
          <w:sz w:val="24"/>
          <w:lang w:val="en-US" w:eastAsia="zh-CN"/>
        </w:rPr>
        <w:t>本文</w:t>
      </w:r>
      <w:r>
        <w:rPr>
          <w:rFonts w:hint="eastAsia" w:ascii="Times New Roman" w:hAnsi="Times New Roman" w:eastAsia="楷体" w:cs="Times New Roman"/>
          <w:b/>
          <w:color w:val="823C0B"/>
          <w:sz w:val="24"/>
        </w:rPr>
        <w:t>观点</w:t>
      </w:r>
      <w:r>
        <w:rPr>
          <w:rFonts w:hint="eastAsia" w:ascii="Times New Roman" w:hAnsi="Times New Roman" w:eastAsia="楷体" w:cs="Times New Roman"/>
          <w:b/>
          <w:color w:val="823C0B"/>
          <w:sz w:val="24"/>
          <w:lang w:eastAsia="zh-CN"/>
        </w:rPr>
        <w:t>、</w:t>
      </w:r>
      <w:r>
        <w:rPr>
          <w:rFonts w:hint="eastAsia" w:ascii="Times New Roman" w:hAnsi="Times New Roman" w:eastAsia="楷体" w:cs="Times New Roman"/>
          <w:b/>
          <w:color w:val="823C0B"/>
          <w:sz w:val="24"/>
          <w:lang w:val="en-US" w:eastAsia="zh-CN"/>
        </w:rPr>
        <w:t>结论和</w:t>
      </w:r>
      <w:r>
        <w:rPr>
          <w:rFonts w:hint="eastAsia" w:ascii="Times New Roman" w:hAnsi="Times New Roman" w:eastAsia="楷体" w:cs="Times New Roman"/>
          <w:b/>
          <w:color w:val="823C0B"/>
          <w:sz w:val="24"/>
        </w:rPr>
        <w:t>建议</w:t>
      </w:r>
      <w:r>
        <w:rPr>
          <w:rFonts w:hint="eastAsia" w:ascii="Times New Roman" w:hAnsi="Times New Roman" w:eastAsia="楷体" w:cs="Times New Roman"/>
          <w:b/>
          <w:color w:val="823C0B"/>
          <w:sz w:val="24"/>
          <w:lang w:val="en-US" w:eastAsia="zh-CN"/>
        </w:rPr>
        <w:t>等</w:t>
      </w:r>
      <w:r>
        <w:rPr>
          <w:rFonts w:hint="eastAsia" w:ascii="Times New Roman" w:hAnsi="Times New Roman" w:eastAsia="楷体" w:cs="Times New Roman"/>
          <w:b/>
          <w:color w:val="823C0B"/>
          <w:sz w:val="24"/>
        </w:rPr>
        <w:t>仅供参考，并不构成操作依据！请阅读文末免责声明。</w:t>
      </w:r>
    </w:p>
    <w:p>
      <w:pPr>
        <w:rPr>
          <w:rFonts w:hint="eastAsia"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0" w:name="_Toc18033"/>
      <w:bookmarkStart w:id="1" w:name="_Toc19317"/>
      <w:bookmarkStart w:id="2" w:name="_Toc24682"/>
      <w:bookmarkStart w:id="3" w:name="金融"/>
      <w:r>
        <w:rPr>
          <w:rFonts w:hint="eastAsia" w:ascii="Times New Roman" w:hAnsi="Times New Roman" w:eastAsia="楷体"/>
          <w:b/>
          <w:color w:val="823C0B"/>
          <w:sz w:val="30"/>
          <w:szCs w:val="30"/>
        </w:rPr>
        <w:t>[金融]</w:t>
      </w:r>
      <w:bookmarkEnd w:id="0"/>
      <w:bookmarkEnd w:id="1"/>
      <w:bookmarkEnd w:id="2"/>
    </w:p>
    <w:bookmarkEnd w:id="3"/>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 w:name="_Toc16295"/>
      <w:bookmarkStart w:id="5" w:name="_Toc965"/>
      <w:bookmarkStart w:id="6" w:name="_Toc18166"/>
      <w:r>
        <w:rPr>
          <w:rFonts w:hint="eastAsia" w:ascii="Times New Roman" w:hAnsi="Times New Roman" w:eastAsia="楷体"/>
          <w:b/>
          <w:color w:val="000000" w:themeColor="text1"/>
          <w:sz w:val="24"/>
          <w:szCs w:val="24"/>
          <w14:textFill>
            <w14:solidFill>
              <w14:schemeClr w14:val="tx1"/>
            </w14:solidFill>
          </w14:textFill>
        </w:rPr>
        <w:t>股指：</w:t>
      </w:r>
      <w:bookmarkEnd w:id="4"/>
      <w:bookmarkEnd w:id="5"/>
      <w:r>
        <w:rPr>
          <w:rFonts w:hint="eastAsia" w:ascii="Times New Roman" w:hAnsi="Times New Roman" w:eastAsia="楷体"/>
          <w:b/>
          <w:color w:val="000000" w:themeColor="text1"/>
          <w:sz w:val="24"/>
          <w:szCs w:val="24"/>
          <w:highlight w:val="none"/>
          <w14:textFill>
            <w14:solidFill>
              <w14:schemeClr w14:val="tx1"/>
            </w14:solidFill>
          </w14:textFill>
        </w:rPr>
        <w:t>谨慎追高，低吸为主</w:t>
      </w:r>
      <w:bookmarkEnd w:id="6"/>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强预期政策计价后需谨防弱现实扰动可能，预计后市或仍以震荡攀升为主，短期提防整固风险，后续市场围绕着政策催化选结构的主线未变，对反弹行情提供支撑。操作方面，谨慎追高，低吸为主。</w:t>
      </w:r>
    </w:p>
    <w:p>
      <w:pPr>
        <w:pBdr>
          <w:top w:val="single" w:color="auto" w:sz="4" w:space="0"/>
        </w:pBdr>
        <w:outlineLvl w:val="0"/>
        <w:rPr>
          <w:rFonts w:ascii="Times New Roman" w:hAnsi="Times New Roman" w:eastAsia="楷体"/>
          <w:b/>
          <w:color w:val="823C0B"/>
          <w:sz w:val="30"/>
          <w:szCs w:val="30"/>
        </w:rPr>
      </w:pPr>
      <w:bookmarkStart w:id="7" w:name="_Toc20891"/>
      <w:bookmarkStart w:id="8" w:name="金属"/>
      <w:bookmarkStart w:id="9" w:name="_Toc3096"/>
      <w:bookmarkStart w:id="10" w:name="_Toc32245"/>
      <w:bookmarkStart w:id="11" w:name="农产品"/>
      <w:r>
        <w:rPr>
          <w:rFonts w:hint="eastAsia" w:ascii="Times New Roman" w:hAnsi="Times New Roman" w:eastAsia="楷体"/>
          <w:b/>
          <w:color w:val="823C0B"/>
          <w:sz w:val="30"/>
          <w:szCs w:val="30"/>
        </w:rPr>
        <w:t>[金属]</w:t>
      </w:r>
      <w:bookmarkEnd w:id="7"/>
      <w:bookmarkEnd w:id="8"/>
      <w:bookmarkEnd w:id="9"/>
      <w:bookmarkEnd w:id="10"/>
    </w:p>
    <w:p>
      <w:pPr>
        <w:ind w:left="420" w:leftChars="200"/>
        <w:outlineLvl w:val="1"/>
        <w:rPr>
          <w:rFonts w:ascii="楷体" w:hAnsi="楷体" w:eastAsia="楷体"/>
          <w:b/>
          <w:color w:val="000000" w:themeColor="text1"/>
          <w:sz w:val="24"/>
          <w:szCs w:val="24"/>
          <w14:textFill>
            <w14:solidFill>
              <w14:schemeClr w14:val="tx1"/>
            </w14:solidFill>
          </w14:textFill>
        </w:rPr>
      </w:pPr>
      <w:bookmarkStart w:id="12" w:name="_Toc5371"/>
      <w:bookmarkStart w:id="13" w:name="_Toc27831"/>
      <w:bookmarkStart w:id="14" w:name="_Toc4479"/>
      <w:r>
        <w:rPr>
          <w:rFonts w:hint="eastAsia" w:ascii="楷体" w:hAnsi="楷体" w:eastAsia="楷体"/>
          <w:b/>
          <w:color w:val="000000" w:themeColor="text1"/>
          <w:sz w:val="24"/>
          <w:szCs w:val="24"/>
          <w14:textFill>
            <w14:solidFill>
              <w14:schemeClr w14:val="tx1"/>
            </w14:solidFill>
          </w14:textFill>
        </w:rPr>
        <w:t>螺纹钢：</w:t>
      </w:r>
      <w:bookmarkEnd w:id="12"/>
      <w:bookmarkEnd w:id="13"/>
      <w:r>
        <w:rPr>
          <w:rFonts w:hint="eastAsia" w:ascii="楷体" w:hAnsi="楷体" w:eastAsia="楷体"/>
          <w:b/>
          <w:color w:val="000000" w:themeColor="text1"/>
          <w:sz w:val="24"/>
          <w:szCs w:val="24"/>
          <w:highlight w:val="none"/>
          <w14:textFill>
            <w14:solidFill>
              <w14:schemeClr w14:val="tx1"/>
            </w14:solidFill>
          </w14:textFill>
        </w:rPr>
        <w:t>震荡上行，低位多单继续持有</w:t>
      </w:r>
      <w:bookmarkEnd w:id="1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前期利多消息推动05合约升水，盘面出现分歧下，短期利多资金止盈。短期仍处于强预期中，焦炭第三轮提涨或继续推动钢价偏强运行，预计01、05合约在（3780,3900）震荡运行，建议低位多单继续持有。</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4790"/>
      <w:bookmarkStart w:id="16" w:name="_Toc11356"/>
      <w:bookmarkStart w:id="17" w:name="_Toc1024"/>
      <w:r>
        <w:rPr>
          <w:rFonts w:hint="eastAsia" w:ascii="楷体" w:hAnsi="楷体" w:eastAsia="楷体"/>
          <w:b/>
          <w:color w:val="000000" w:themeColor="text1"/>
          <w:sz w:val="24"/>
          <w:szCs w:val="24"/>
          <w14:textFill>
            <w14:solidFill>
              <w14:schemeClr w14:val="tx1"/>
            </w14:solidFill>
          </w14:textFill>
        </w:rPr>
        <w:t>焦炭：</w:t>
      </w:r>
      <w:bookmarkEnd w:id="15"/>
      <w:bookmarkEnd w:id="16"/>
      <w:r>
        <w:rPr>
          <w:rFonts w:hint="eastAsia" w:ascii="楷体" w:hAnsi="楷体" w:eastAsia="楷体"/>
          <w:b/>
          <w:color w:val="000000" w:themeColor="text1"/>
          <w:sz w:val="24"/>
          <w:szCs w:val="24"/>
          <w14:textFill>
            <w14:solidFill>
              <w14:schemeClr w14:val="tx1"/>
            </w14:solidFill>
          </w14:textFill>
        </w:rPr>
        <w:t>第三轮提涨博弈中，偏强运行</w:t>
      </w:r>
      <w:bookmarkEnd w:id="17"/>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第三轮提涨提出，焦炭震荡中枢或上移（2850,2930）震荡。若冬储后，视交割情况而定，仓单定价锚点转移至港口，预计焦炭01上方压力在（2900,2950）。</w:t>
      </w:r>
    </w:p>
    <w:p>
      <w:pPr>
        <w:ind w:left="210" w:leftChars="100"/>
        <w:rPr>
          <w:rFonts w:ascii="楷体" w:hAnsi="楷体" w:eastAsia="楷体"/>
          <w:bCs/>
          <w:sz w:val="24"/>
          <w:szCs w:val="24"/>
        </w:rPr>
      </w:pPr>
    </w:p>
    <w:p>
      <w:pPr>
        <w:ind w:left="420" w:leftChars="200"/>
        <w:outlineLvl w:val="1"/>
        <w:rPr>
          <w:rFonts w:hint="eastAsia" w:ascii="楷体" w:hAnsi="楷体" w:eastAsia="楷体"/>
          <w:b/>
          <w:sz w:val="24"/>
          <w:szCs w:val="24"/>
        </w:rPr>
      </w:pPr>
      <w:bookmarkStart w:id="18" w:name="_Toc24851"/>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焦炭提涨或大概上涨空间，偏强运行</w:t>
      </w:r>
      <w:bookmarkEnd w:id="18"/>
    </w:p>
    <w:p>
      <w:pPr>
        <w:ind w:left="630" w:leftChars="300"/>
        <w:rPr>
          <w:rFonts w:ascii="楷体" w:hAnsi="楷体" w:eastAsia="楷体"/>
          <w:bCs/>
          <w:sz w:val="24"/>
          <w:szCs w:val="24"/>
        </w:rPr>
      </w:pPr>
      <w:r>
        <w:rPr>
          <w:rFonts w:hint="eastAsia" w:ascii="楷体" w:hAnsi="楷体" w:eastAsia="楷体"/>
          <w:sz w:val="24"/>
          <w:szCs w:val="24"/>
        </w:rPr>
        <w:t>情绪或偏乐观，但并未进入大幅度补库阶段，疫情转好或改善钢厂到货压力，预计短期继续上涨驱动不强。预计短期01焦煤或在（2200，2300）震荡，关注支撑情况。视到期交割情况，仓单定价锚点转移至港口山西煤，预计焦煤01压力或在（2300,2350），焦煤05压力或在（1900,2000）。</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9719"/>
      <w:bookmarkStart w:id="20" w:name="_Toc25617"/>
      <w:bookmarkStart w:id="21" w:name="_Toc14409"/>
      <w:r>
        <w:rPr>
          <w:rFonts w:hint="eastAsia" w:ascii="楷体" w:hAnsi="楷体" w:eastAsia="楷体"/>
          <w:b/>
          <w:color w:val="000000" w:themeColor="text1"/>
          <w:sz w:val="24"/>
          <w:szCs w:val="24"/>
          <w14:textFill>
            <w14:solidFill>
              <w14:schemeClr w14:val="tx1"/>
            </w14:solidFill>
          </w14:textFill>
        </w:rPr>
        <w:t>铜：</w:t>
      </w:r>
      <w:bookmarkEnd w:id="19"/>
      <w:bookmarkEnd w:id="20"/>
      <w:r>
        <w:rPr>
          <w:rFonts w:hint="eastAsia" w:ascii="楷体" w:hAnsi="楷体" w:eastAsia="楷体"/>
          <w:b/>
          <w:color w:val="000000" w:themeColor="text1"/>
          <w:sz w:val="24"/>
          <w:szCs w:val="24"/>
          <w14:textFill>
            <w14:solidFill>
              <w14:schemeClr w14:val="tx1"/>
            </w14:solidFill>
          </w14:textFill>
        </w:rPr>
        <w:t>延续区间震荡运行</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(1)宏观：12月6日中国物流与采购联合会公布，11月全球制造业采购经理指数（PMI）为48.7%，较上月下降0.7个百分点，连续6个月环比下降，连续2个月低于50%。</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(2)库存：12月06日，SHFE仓单库存26392吨，持平。LME仓单库存86375吨，减350吨。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(3)精废价差：12月06日，Mysteel精废价差1402，收窄331。目前价差在合理价差1363之上。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全球经济持续走弱，表征制造业数据继续下探压力，仍将压制铜价上方空间。国内防疫政策调控继续优化，稳增长政策持续推进，市场对国内消费复苏存较大预期，股期联动。现货方面，库存仍保持在较低水平，废铜维持偏紧，精废价差持续收窄，对精铜替代弱化。整体铜价或仍将表现为区间震荡运行。</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8897"/>
      <w:bookmarkStart w:id="23" w:name="_Toc6247"/>
      <w:bookmarkStart w:id="24" w:name="_Toc710"/>
      <w:r>
        <w:rPr>
          <w:rFonts w:hint="eastAsia" w:ascii="楷体" w:hAnsi="楷体" w:eastAsia="楷体"/>
          <w:b/>
          <w:color w:val="000000" w:themeColor="text1"/>
          <w:sz w:val="24"/>
          <w:szCs w:val="24"/>
          <w14:textFill>
            <w14:solidFill>
              <w14:schemeClr w14:val="tx1"/>
            </w14:solidFill>
          </w14:textFill>
        </w:rPr>
        <w:t>铝：</w:t>
      </w:r>
      <w:bookmarkEnd w:id="22"/>
      <w:bookmarkEnd w:id="23"/>
      <w:r>
        <w:rPr>
          <w:rFonts w:hint="eastAsia" w:ascii="楷体" w:hAnsi="楷体" w:eastAsia="楷体"/>
          <w:b/>
          <w:color w:val="000000" w:themeColor="text1"/>
          <w:sz w:val="24"/>
          <w:szCs w:val="24"/>
          <w14:textFill>
            <w14:solidFill>
              <w14:schemeClr w14:val="tx1"/>
            </w14:solidFill>
          </w14:textFill>
        </w:rPr>
        <w:t xml:space="preserve"> 供修需疲，宏观利多支撑铝价偏强</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鲍威尔表示将放缓加息，欧洲通胀数据环比下降，美元延续弱势，海外市场资金情绪转好，美国非农数据超出预期，宏观利多大于利空影响。国内疫情管控风向转变，人民币温和走强，叠加国内利好政策频出，覆盖地产、新能源消费、绿色建材等领域，央行降准释放流动性，“保交楼”叠加基建专项债投放，向市场释放利多情绪。铝市供应缓慢修复，需求进入消费淡季，下游企业刚需为主，铝库存维持低位去库，整体现货市场货源偏紧，短期铝价仍有支撑，建议谨慎看多。</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8353"/>
      <w:r>
        <w:rPr>
          <w:rFonts w:hint="eastAsia" w:ascii="楷体" w:hAnsi="楷体" w:eastAsia="楷体"/>
          <w:b/>
          <w:color w:val="000000" w:themeColor="text1"/>
          <w:sz w:val="24"/>
          <w:szCs w:val="24"/>
          <w14:textFill>
            <w14:solidFill>
              <w14:schemeClr w14:val="tx1"/>
            </w14:solidFill>
          </w14:textFill>
        </w:rPr>
        <w:t>锌：供应有恢复预期， 低库存短期仍支撑价格</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6日沪锌隔夜收盘价格24755元/吨，涨幅0.96%，上海有色网0#锌锭（Zn99.995）现货报价25230元/吨，较上一统计日报价下跌60元/吨。美国11月非农数据超过预期引起鹰派注意，海外通胀略有降温，整体宏观情绪虽有扰动仍偏向利多。 国内疫情防控走向开放，市场投资情绪转向，多项市场利好政策出台刺激消费，国内延续内需强韧态势。锌矿原料供应趋宽松，中游冶炼利润持续向上，多地减停产产能逐步恢复，锌锭产量将缓慢抬升，但受疫情影响整体现货市场供应偏紧，贸易商惜售，下游消费进入淡季，库存维持低位，短期大量补库可能性较小，短期价格仍有较强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17934"/>
      <w:r>
        <w:rPr>
          <w:rFonts w:hint="eastAsia" w:ascii="楷体" w:hAnsi="楷体" w:eastAsia="楷体"/>
          <w:b/>
          <w:color w:val="000000" w:themeColor="text1"/>
          <w:sz w:val="24"/>
          <w:szCs w:val="24"/>
          <w14:textFill>
            <w14:solidFill>
              <w14:schemeClr w14:val="tx1"/>
            </w14:solidFill>
          </w14:textFill>
        </w:rPr>
        <w:t>镍：阶段性反弹趋势并未被打破，交易上先观望</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美元指数延续下挫，提振整体有色金属。国内防疫政策边际变化，稳增长政策持续推进，市场对国内消费复苏存较大预期。当下镍价更多跟随宏观情绪在波动，阶段性反弹趋势并未被打破，支撑镍价的主要利多因素仍是低库存，交割品矛盾缓解前，价格亦难有明显下跌，建议先观望。</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7" w:name="_Toc13311"/>
      <w:r>
        <w:rPr>
          <w:rFonts w:hint="eastAsia" w:ascii="楷体" w:hAnsi="楷体" w:eastAsia="楷体"/>
          <w:b/>
          <w:color w:val="000000" w:themeColor="text1"/>
          <w:sz w:val="24"/>
          <w:szCs w:val="24"/>
          <w14:textFill>
            <w14:solidFill>
              <w14:schemeClr w14:val="tx1"/>
            </w14:solidFill>
          </w14:textFill>
        </w:rPr>
        <w:t>不锈钢：宏观预期好转提振价格大涨，疲弱需求或限制涨幅</w:t>
      </w:r>
      <w:bookmarkEnd w:id="27"/>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 防疫优化+地产悲观情绪修复，工业品整体表现偏强，提振不锈钢价，但现实需求疲弱库存累增或限制涨幅，短期关注17200一线压力，如突破，上看17800在逢高试空。</w:t>
      </w:r>
    </w:p>
    <w:p>
      <w:pPr>
        <w:rPr>
          <w:rFonts w:ascii="楷体" w:hAnsi="楷体" w:eastAsia="楷体"/>
          <w:bCs/>
          <w:sz w:val="24"/>
          <w:szCs w:val="24"/>
        </w:rPr>
      </w:pPr>
    </w:p>
    <w:p>
      <w:pPr>
        <w:ind w:left="420" w:leftChars="200"/>
        <w:outlineLvl w:val="1"/>
        <w:rPr>
          <w:rFonts w:ascii="楷体" w:hAnsi="楷体" w:eastAsia="楷体"/>
          <w:b/>
          <w:sz w:val="24"/>
          <w:szCs w:val="24"/>
        </w:rPr>
      </w:pPr>
      <w:bookmarkStart w:id="28" w:name="_Toc3224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上下游博弈，市场整体趋稳运行</w:t>
      </w:r>
      <w:bookmarkEnd w:id="28"/>
    </w:p>
    <w:p>
      <w:pPr>
        <w:ind w:left="630" w:leftChars="300"/>
        <w:rPr>
          <w:rFonts w:ascii="楷体" w:hAnsi="楷体" w:eastAsia="楷体"/>
          <w:sz w:val="24"/>
          <w:szCs w:val="24"/>
        </w:rPr>
      </w:pPr>
      <w:r>
        <w:rPr>
          <w:rFonts w:hint="eastAsia" w:ascii="楷体" w:hAnsi="楷体" w:eastAsia="楷体"/>
          <w:sz w:val="24"/>
          <w:szCs w:val="24"/>
        </w:rPr>
        <w:t>12月6日，华东地区553（通氧）19300元/吨，较上个统计日下降200元/吨，少量冶金级到港价下降，市场整体较稳定。从基本面来看，西南地区步入枯水期电价上调，成本上升对硅价有一定支撑。从政策面来看，政策重启房企股权融资，有机硅、铝合金需求预期有所好转;以及工业硅期货、期权获批，有望带动市场热度，预计更多期现商将参与现货市场。综合来看，短期成本支撑下，政策端发力改善需求预期，预计市场将止跌企稳。</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6525"/>
      <w:r>
        <w:rPr>
          <w:rFonts w:hint="eastAsia" w:ascii="Times New Roman" w:hAnsi="Times New Roman" w:eastAsia="楷体"/>
          <w:b/>
          <w:color w:val="823C0B"/>
          <w:sz w:val="30"/>
          <w:szCs w:val="30"/>
        </w:rPr>
        <w:t>[化工]</w:t>
      </w:r>
      <w:bookmarkEnd w:id="29"/>
      <w:bookmarkEnd w:id="30"/>
    </w:p>
    <w:p>
      <w:pPr>
        <w:ind w:firstLine="482" w:firstLineChars="200"/>
        <w:outlineLvl w:val="1"/>
        <w:rPr>
          <w:rFonts w:ascii="Times New Roman" w:hAnsi="Times New Roman" w:eastAsia="楷体"/>
          <w:b/>
          <w:sz w:val="24"/>
          <w:szCs w:val="24"/>
        </w:rPr>
      </w:pPr>
      <w:bookmarkStart w:id="31" w:name="_Toc31911"/>
      <w:r>
        <w:rPr>
          <w:rFonts w:hint="eastAsia" w:ascii="Times New Roman" w:hAnsi="Times New Roman" w:eastAsia="楷体"/>
          <w:b/>
          <w:color w:val="000000" w:themeColor="text1"/>
          <w:sz w:val="24"/>
          <w:szCs w:val="24"/>
          <w14:textFill>
            <w14:solidFill>
              <w14:schemeClr w14:val="tx1"/>
            </w14:solidFill>
          </w14:textFill>
        </w:rPr>
        <w:t>乙二醇：</w:t>
      </w:r>
      <w:r>
        <w:rPr>
          <w:rFonts w:hint="eastAsia" w:ascii="Times New Roman" w:hAnsi="Times New Roman" w:eastAsia="楷体"/>
          <w:b/>
          <w:sz w:val="24"/>
          <w:szCs w:val="24"/>
        </w:rPr>
        <w:t>供应累库预期  走势承压</w:t>
      </w:r>
      <w:bookmarkEnd w:id="31"/>
    </w:p>
    <w:p>
      <w:pPr>
        <w:ind w:left="630" w:leftChars="300"/>
        <w:rPr>
          <w:rFonts w:ascii="楷体" w:hAnsi="楷体" w:eastAsia="楷体"/>
          <w:sz w:val="24"/>
          <w:szCs w:val="24"/>
        </w:rPr>
      </w:pPr>
      <w:r>
        <w:rPr>
          <w:rFonts w:hint="eastAsia" w:ascii="楷体" w:hAnsi="楷体" w:eastAsia="楷体"/>
          <w:sz w:val="24"/>
          <w:szCs w:val="24"/>
        </w:rPr>
        <w:t>供需情况，截止12.5华东主港地区MEG港口库存约88.8万吨附近，环比上期增加3.2万吨，港口库存近期会开启累库节奏。供需情况，截至12月1日，中国大陆地区乙二醇整体开工负荷在57.15%（+2.14%），其中煤制乙二醇开工负荷在41.15%（+8.72%），乙二醇负荷大幅提升。从聚酯需求端来看，本周检修装置暂时涉及长丝短纤，聚酯负荷继续下滑。截至12.1，初步核算国内大陆地区聚酯负荷在71.8%（-3.7%)。除了短纤工厂库存水平偏低外，涤纶长丝及终端坯布库存均有30天以上。江浙终端开工继续下降，局部受疫情影响。截至12.1，江浙加弹开工率48%（-7%）、江浙织机开工率35%（-11%）、浙江印染开工率45%（-5%）。疫情扩散至江浙两地，12月订单收尾中。综合来看，存量装置检修减少叠加新投装置稳定，且聚酯企业仍有也一定的降负预期，供应增加叠加聚酯负荷走低，供需矛盾加剧。后续新装置榆林化学货源持续兑现下现货继续承压，维持高位布空思路。仅供参考。</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2" w:name="_Toc3046"/>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：成本端走势偏弱带动TA下行</w:t>
      </w:r>
      <w:bookmarkEnd w:id="32"/>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本周期亚东75万吨，英力士110万吨，大化225万吨停车，逸盛375，英力士125提负，福海创450万吨，百宏250万吨，中泰120万吨降负运行，个别有装置负荷小幅调整，至12.1 PTA负荷降至68.5%（-1.5%）。聚酯方面，本周期检修装置暂时涉及长丝短纤，聚酯负荷继续下滑。截至12.1，初步核算国内大陆地区聚酯负荷在72.6%；12.2一套瓶片装置检修之后，聚酯负荷降至71.8%。聚酯有进一步减产计划，预计12月中旬聚酯负荷在70%附近。终端方面，江浙终端开工继续下降，疫情扩散至江浙两地，12月订单收尾中。综合来看，PX和PTA新产能投放，进入12月起PX进入到大幅度累库时期，加工费预计将进一步压缩，PTA供需累库预期仍存。供需双减，但聚酯及其下游环节开工和需求继续趋弱运行。成本端及下游聚酯减产双重利空下，TA 承压下行。仅供参考。</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33" w:name="_Toc25954"/>
      <w:r>
        <w:rPr>
          <w:rFonts w:hint="eastAsia" w:ascii="Times New Roman" w:hAnsi="Times New Roman" w:eastAsia="楷体"/>
          <w:b/>
          <w:color w:val="823C0B"/>
          <w:sz w:val="30"/>
          <w:szCs w:val="30"/>
        </w:rPr>
        <w:t>[农产品]</w:t>
      </w:r>
      <w:bookmarkEnd w:id="11"/>
      <w:bookmarkEnd w:id="33"/>
    </w:p>
    <w:p>
      <w:pPr>
        <w:ind w:left="420" w:leftChars="200"/>
        <w:outlineLvl w:val="1"/>
        <w:rPr>
          <w:rFonts w:hint="eastAsia" w:ascii="楷体" w:hAnsi="楷体" w:eastAsia="楷体"/>
          <w:b/>
          <w:sz w:val="24"/>
          <w:szCs w:val="24"/>
        </w:rPr>
      </w:pPr>
      <w:bookmarkStart w:id="34" w:name="_Toc28407"/>
      <w:r>
        <w:rPr>
          <w:rFonts w:hint="eastAsia" w:ascii="楷体" w:hAnsi="楷体" w:eastAsia="楷体"/>
          <w:b/>
          <w:color w:val="000000" w:themeColor="text1"/>
          <w:sz w:val="24"/>
          <w:szCs w:val="24"/>
          <w14:textFill>
            <w14:solidFill>
              <w14:schemeClr w14:val="tx1"/>
            </w14:solidFill>
          </w14:textFill>
        </w:rPr>
        <w:t>豆粕：</w:t>
      </w:r>
      <w:r>
        <w:rPr>
          <w:rFonts w:hint="eastAsia" w:ascii="楷体" w:hAnsi="楷体" w:eastAsia="楷体"/>
          <w:b/>
          <w:sz w:val="24"/>
          <w:szCs w:val="24"/>
        </w:rPr>
        <w:t>期现回归，01支撑仍强</w:t>
      </w:r>
      <w:bookmarkEnd w:id="34"/>
    </w:p>
    <w:p>
      <w:pPr>
        <w:ind w:left="630" w:leftChars="300"/>
        <w:rPr>
          <w:rFonts w:ascii="楷体" w:hAnsi="楷体" w:eastAsia="楷体"/>
          <w:sz w:val="24"/>
          <w:szCs w:val="24"/>
        </w:rPr>
      </w:pPr>
      <w:r>
        <w:rPr>
          <w:rFonts w:hint="eastAsia" w:ascii="楷体" w:hAnsi="楷体" w:eastAsia="楷体"/>
          <w:sz w:val="24"/>
          <w:szCs w:val="24"/>
        </w:rPr>
        <w:t>外盘方面，CBOT大豆再度走强，因自身压榨需求强劲及南美天气炒作。当前进入12月份南美关键种植阶段，市场重心转向南美，或形成天气升水，阿根廷因天气干燥种植进度偏慢。国内市场，随着进口大豆陆续到港，大豆港口库存低点已现，库存回升。大部分油厂恢复开工，开机率大幅回升压榨增加，豆粕库存拐点逐步显现。下游近期猪价有所回升，但二次育肥临近尾声，生猪临近集中出栏阶段，饲企和养殖企业等采购需求减弱，但仍保持刚需补库及后续有节前备货需求。随着供应改善豆粕现货价格持续走低带动基差回落，关注期现回归节奏，但基差历史高位下，且临近交割月仍会呈现期货向现货靠近实现基差回归的情况，若现货继续大幅下行盘面或会承压，短期豆粕01预计维持4100-4300区间震荡，可轻仓在4300附近试空；中长期维持供给恢复预期，美豆及豆粕价格重心下移观点不变，关注南美种植情况，待丰产落地。</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35" w:name="_Toc19722"/>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短期维持宽幅震荡，走势偏弱</w:t>
      </w:r>
      <w:bookmarkEnd w:id="35"/>
    </w:p>
    <w:p>
      <w:pPr>
        <w:ind w:left="630" w:leftChars="300"/>
        <w:rPr>
          <w:rFonts w:ascii="楷体" w:hAnsi="楷体" w:eastAsia="楷体"/>
          <w:sz w:val="24"/>
          <w:szCs w:val="24"/>
        </w:rPr>
      </w:pPr>
      <w:r>
        <w:rPr>
          <w:rFonts w:hint="eastAsia" w:ascii="楷体" w:hAnsi="楷体" w:eastAsia="楷体"/>
          <w:sz w:val="24"/>
          <w:szCs w:val="24"/>
        </w:rPr>
        <w:t>虽印度11月棕榈油进口需求猛增，但马来西亚12月1—5日棕榈油出口量为223757吨，环比减少12.6%，且马来汇率坚挺，进一步压制盘面反弹。棕榈油后续基本面支撑主要来自产地减产担忧及印尼出口预期收紧，但有预期马棕11月库存减幅或不及预期，关注之后MPOB数据公布及天气对产量的影响；同时印尼将逐步恢复出口专项税，且DMO出口配比下调至1：8，出口预期收紧将利好马来出口需求，库存顶点或已出现，对盘面构成支撑。而国内棕榈油供应较宽松，需求方面在冬季消费淡季下增量有限。近期豆油下游成交有所回暖，表观消费增加，因棕榈油进入季节性消费淡季提振豆油替代消费，且各地防疫政策放宽或刺激餐饮消费，春节前仍有集中备货需求。随着11月进口大豆到港陆续增加，港口大豆库存开始累库。油厂压榨持续恢复后供应预计由紧转宽，豆油预计进入累库阶段，继续观望。菜油在供应边际预期改善下，现货价继续回落，基差松动。随着加籽大量上市，国内第四季进口度预估到港为180万吨。菜籽库存随着11月到港增加而回升，但由于部分船期延迟等到港不及预期。同时在刚需以及临近春节前备货下，菜油库存修复仍需时间。预计油脂在四季度供应边际增加下，上方空间有限，短期油脂单边仍然受原油及宏观扰动带来宽幅波动，建议波段操作，中长期关注供给格局转变带来的菜油空配机会。</w:t>
      </w:r>
    </w:p>
    <w:p>
      <w:pPr>
        <w:ind w:firstLine="480" w:firstLineChars="200"/>
        <w:rPr>
          <w:rFonts w:ascii="楷体" w:hAnsi="楷体" w:eastAsia="楷体"/>
          <w:bCs/>
          <w:sz w:val="24"/>
          <w:szCs w:val="24"/>
        </w:rPr>
      </w:pPr>
    </w:p>
    <w:p>
      <w:pPr>
        <w:pStyle w:val="12"/>
        <w:spacing w:before="60" w:beforeAutospacing="0" w:after="60" w:afterAutospacing="0"/>
        <w:ind w:left="420" w:leftChars="200"/>
        <w:outlineLvl w:val="1"/>
        <w:rPr>
          <w:rFonts w:hint="eastAsia" w:ascii="楷体" w:hAnsi="楷体" w:eastAsia="楷体"/>
          <w:b/>
        </w:rPr>
      </w:pPr>
      <w:bookmarkStart w:id="36" w:name="_Toc1934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现货带动期价弱势未改</w:t>
      </w:r>
      <w:bookmarkEnd w:id="36"/>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玉米而言，由于国内现货价格持续飙升，加上国内疫情防控政策发生一些变化，带动前期供需阶段性紧张局面有所缓解。而外盘CBOT玉米期价持续弱势，美湾FOB升贴水大幅回落，加上人民币升值因素，进口到港成本大幅回落，已经较国产玉米具备性价比优势。在这种情况下，可以合理预期市场或逐步转向新作上市压力。观点由前期中性转为谨慎看空，建议谨慎投资者观点，激进投资者可以考虑轻仓试空。</w:t>
      </w:r>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淀粉而言，近期淀粉-玉米价差出现显著分化，近月收窄而远月继续走扩，表现分化的主要原因有二，其一是疫情对需求的抑制导致供需改善后移，其二是副产品价格下跌的节奏影响行业期现货生产利润以及行业开率乃至行业供需的传导。但需要留意的是，接下来淀粉-玉米价差同样面临原料端即玉米期现货回落的风险，我们建议投资者前期淀粉-玉米价差可考虑获利离场。</w:t>
      </w:r>
    </w:p>
    <w:p>
      <w:pPr>
        <w:pStyle w:val="12"/>
        <w:spacing w:before="60" w:beforeAutospacing="0" w:after="60" w:afterAutospacing="0"/>
        <w:ind w:left="630" w:leftChars="300"/>
        <w:rPr>
          <w:rFonts w:hint="eastAsia" w:ascii="楷体" w:hAnsi="楷体" w:eastAsia="楷体"/>
        </w:rPr>
      </w:pPr>
    </w:p>
    <w:p>
      <w:pPr>
        <w:pStyle w:val="12"/>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7" w:name="_Toc10804"/>
      <w:r>
        <w:rPr>
          <w:rFonts w:hint="eastAsia" w:ascii="楷体" w:hAnsi="楷体" w:eastAsia="楷体"/>
          <w:b/>
          <w:bCs/>
          <w:color w:val="000000" w:themeColor="text1"/>
          <w14:textFill>
            <w14:solidFill>
              <w14:schemeClr w14:val="tx1"/>
            </w14:solidFill>
          </w14:textFill>
        </w:rPr>
        <w:t>畜禽养殖：现货再度上涨</w:t>
      </w:r>
      <w:bookmarkEnd w:id="37"/>
    </w:p>
    <w:p>
      <w:pPr>
        <w:pStyle w:val="12"/>
        <w:spacing w:before="60" w:beforeAutospacing="0" w:after="60" w:afterAutospacing="0"/>
        <w:ind w:left="630" w:leftChars="300"/>
        <w:rPr>
          <w:rFonts w:hint="eastAsia" w:ascii="楷体" w:hAnsi="楷体" w:eastAsia="楷体"/>
        </w:rPr>
      </w:pPr>
      <w:r>
        <w:rPr>
          <w:rFonts w:hint="eastAsia" w:ascii="楷体" w:hAnsi="楷体" w:eastAsia="楷体"/>
        </w:rPr>
        <w:t>对于生猪而言，由于猪价于10月下旬见到目前已知高点，随后持续大幅回落，市场多拿今年与2019年进行对比，继而预计生猪周期拐点或已经出现。但需要留意的是今年供应包括进口、储备和冷冻库存均相对低于2019年。考虑到随着气温下降，市场熏腊需求逐步启动，接下来市场将根据现货走势来判断供需状况，如果现货表现持续强势，则市场预期可能发生改变，因前期现货弱势可以理解为主要源于疫情对需求的抑制。在这种情况下，观点转为谨慎看多，建议谨慎投资者观望，激进投资者可以轻仓做多。</w:t>
      </w:r>
    </w:p>
    <w:p>
      <w:pPr>
        <w:pStyle w:val="12"/>
        <w:spacing w:before="60" w:beforeAutospacing="0" w:after="60" w:afterAutospacing="0"/>
        <w:ind w:left="630" w:leftChars="300"/>
        <w:rPr>
          <w:rFonts w:ascii="楷体" w:hAnsi="楷体" w:eastAsia="楷体"/>
        </w:rPr>
      </w:pPr>
      <w:r>
        <w:rPr>
          <w:rFonts w:hint="eastAsia" w:ascii="楷体" w:hAnsi="楷体" w:eastAsia="楷体"/>
        </w:rPr>
        <w:t>对于鸡蛋而言，在我们看来，动物蛋白供应格局类似于2019年，而鸡蛋供需两弱格局则类似于去年，接下来需要关注两个方面，一方面基于动物蛋白供应格局需要关注接下来的猪价走势节奏，这主要源于生猪高价下的替代需求；另一方面基于鸡蛋供需格局则需要留意养殖户淘汰和补栏意愿，及其接下来疫情等因素对需求端的影响。基于动物蛋白供应和鸡蛋自身供需格局，继续持中期看多观点，建议谨慎投资者观望，激进投资者持有前期多单。</w:t>
      </w:r>
    </w:p>
    <w:p>
      <w:pPr>
        <w:ind w:firstLine="480" w:firstLineChars="200"/>
        <w:rPr>
          <w:rFonts w:ascii="楷体" w:hAnsi="楷体" w:eastAsia="楷体"/>
          <w:sz w:val="24"/>
          <w:szCs w:val="24"/>
        </w:rPr>
      </w:pPr>
    </w:p>
    <w:p>
      <w:pPr>
        <w:ind w:left="420" w:leftChars="200"/>
        <w:outlineLvl w:val="1"/>
        <w:rPr>
          <w:rFonts w:hint="eastAsia" w:ascii="楷体" w:hAnsi="楷体" w:eastAsia="楷体"/>
          <w:b/>
          <w:sz w:val="24"/>
          <w:szCs w:val="24"/>
        </w:rPr>
      </w:pPr>
      <w:bookmarkStart w:id="38" w:name="_Toc21078"/>
      <w:r>
        <w:rPr>
          <w:rFonts w:hint="eastAsia" w:ascii="楷体" w:hAnsi="楷体" w:eastAsia="楷体"/>
          <w:b/>
          <w:sz w:val="24"/>
          <w:szCs w:val="24"/>
        </w:rPr>
        <w:t>郑棉：预期中国需求好转，内外棉价偏强震荡</w:t>
      </w:r>
      <w:bookmarkEnd w:id="38"/>
    </w:p>
    <w:p>
      <w:pPr>
        <w:ind w:left="630" w:leftChars="300"/>
        <w:rPr>
          <w:rFonts w:hint="eastAsia" w:ascii="楷体" w:hAnsi="楷体" w:eastAsia="楷体"/>
          <w:sz w:val="24"/>
          <w:szCs w:val="24"/>
        </w:rPr>
      </w:pPr>
      <w:r>
        <w:rPr>
          <w:rFonts w:hint="eastAsia" w:ascii="楷体" w:hAnsi="楷体" w:eastAsia="楷体"/>
          <w:sz w:val="24"/>
          <w:szCs w:val="24"/>
        </w:rPr>
        <w:t>预期中国需求好转，内外棉价偏强震荡。郑棉站上60日均线，技术形态好转，但能否站稳仍需观察，观望</w:t>
      </w:r>
    </w:p>
    <w:p>
      <w:pPr>
        <w:ind w:left="630" w:leftChars="300"/>
        <w:rPr>
          <w:rFonts w:ascii="楷体" w:hAnsi="楷体" w:eastAsia="楷体"/>
          <w:sz w:val="24"/>
          <w:szCs w:val="24"/>
        </w:rPr>
      </w:pPr>
      <w:r>
        <w:rPr>
          <w:rFonts w:hint="eastAsia" w:ascii="楷体" w:hAnsi="楷体" w:eastAsia="楷体"/>
          <w:sz w:val="24"/>
          <w:szCs w:val="24"/>
        </w:rPr>
        <w:t>近日市场频有消息，道中国或将进一步放开疫情管控措施，政策或声明有望于近日出台。资金对未来经济复苏的预期提振金融市场，股市继续走强。寄望于中国需求恢复，内外棉价偏强震荡。但产业未见明显复苏迹象，年前回款需求推动纱线价格继续偏弱运行。对棉价中长期持中性偏空观点，上方空间相对有限，短多长空。</w:t>
      </w:r>
    </w:p>
    <w:p>
      <w:pPr>
        <w:ind w:firstLine="480" w:firstLineChars="200"/>
        <w:rPr>
          <w:rFonts w:ascii="楷体" w:hAnsi="楷体" w:eastAsia="楷体"/>
          <w:bCs/>
          <w:sz w:val="24"/>
          <w:szCs w:val="24"/>
        </w:rPr>
      </w:pP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39" w:name="_Toc19667"/>
      <w:bookmarkStart w:id="40" w:name="_Toc98426751"/>
      <w:bookmarkStart w:id="41" w:name="_Toc71212556"/>
      <w:bookmarkStart w:id="42" w:name="_Toc12779"/>
      <w:bookmarkStart w:id="43" w:name="_Toc72481108"/>
      <w:r>
        <w:rPr>
          <w:rFonts w:ascii="Times New Roman" w:hAnsi="Times New Roman" w:eastAsia="楷体"/>
          <w:b/>
          <w:color w:val="411D05"/>
          <w:sz w:val="30"/>
          <w:szCs w:val="30"/>
        </w:rPr>
        <w:t>免责声明</w:t>
      </w:r>
      <w:bookmarkEnd w:id="39"/>
      <w:bookmarkEnd w:id="40"/>
      <w:bookmarkEnd w:id="41"/>
      <w:bookmarkEnd w:id="42"/>
      <w:bookmarkEnd w:id="43"/>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7"/>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hint="default" w:ascii="Times New Roman" w:hAnsi="Times New Roman" w:eastAsia="楷体"/>
                <w:b/>
                <w:bCs/>
                <w:color w:val="823C0B"/>
                <w:lang w:val="en-US" w:eastAsia="zh-CN"/>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 xml:space="preserve">Page </w:t>
                    </w:r>
                    <w:r>
                      <w:rPr>
                        <w:rFonts w:hint="eastAsia" w:ascii="Times New Roman" w:hAnsi="Times New Roman" w:eastAsia="楷体" w:cs="Times New Roman"/>
                        <w:b/>
                        <w:color w:val="833C0B"/>
                        <w:sz w:val="21"/>
                        <w:lang w:val="en-US" w:eastAsia="zh-CN" w:bidi="ar"/>
                      </w:rPr>
                      <w:t>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3"/>
                      <w:rPr>
                        <w:rFonts w:hint="eastAsia" w:ascii="Times New Roman" w:hAnsi="Times New Roman" w:eastAsia="楷体" w:cs="Times New Roman"/>
                        <w:b/>
                        <w:color w:val="833C0B"/>
                        <w:sz w:val="21"/>
                        <w:lang w:eastAsia="zh-CN"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hint="eastAsia" w:ascii="Times New Roman" w:hAnsi="Times New Roman" w:eastAsia="楷体" w:cs="Times New Roman"/>
                        <w:b/>
                        <w:color w:val="833C0B"/>
                        <w:sz w:val="21"/>
                        <w:lang w:bidi="ar"/>
                      </w:rPr>
                      <w:t>3</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val="en-US" w:eastAsia="zh-CN" w:bidi="ar"/>
      </w:rPr>
      <w:t>广州期货提醒各位投资者</w:t>
    </w:r>
    <w:r>
      <w:rPr>
        <w:rFonts w:hint="eastAsia" w:ascii="楷体" w:hAnsi="楷体" w:eastAsia="楷体" w:cs="Times New Roman"/>
        <w:b/>
        <w:color w:val="833C0B"/>
        <w:sz w:val="21"/>
        <w:lang w:bidi="ar"/>
      </w:rPr>
      <w:t>，期市有风险，入市需谨慎！请阅读文末免责声明。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4"/>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4"/>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2022年12月7日星期三</w:t>
    </w:r>
    <w:r>
      <w:rPr>
        <w:rFonts w:ascii="Times New Roman" w:hAnsi="Times New Roman" w:eastAsia="楷体"/>
        <w:b/>
        <w:bCs/>
        <w:color w:val="833C0B"/>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5286B"/>
    <w:rsid w:val="00076420"/>
    <w:rsid w:val="000820C6"/>
    <w:rsid w:val="000D36DC"/>
    <w:rsid w:val="000E0C15"/>
    <w:rsid w:val="001B1904"/>
    <w:rsid w:val="001B2D4C"/>
    <w:rsid w:val="001B6394"/>
    <w:rsid w:val="001C77D0"/>
    <w:rsid w:val="001F5438"/>
    <w:rsid w:val="002074A1"/>
    <w:rsid w:val="002A0670"/>
    <w:rsid w:val="002B2257"/>
    <w:rsid w:val="002F075C"/>
    <w:rsid w:val="002F6AD1"/>
    <w:rsid w:val="00323550"/>
    <w:rsid w:val="00332F22"/>
    <w:rsid w:val="003416C2"/>
    <w:rsid w:val="00341727"/>
    <w:rsid w:val="003471F4"/>
    <w:rsid w:val="00375F0B"/>
    <w:rsid w:val="00376AF1"/>
    <w:rsid w:val="003A3DB4"/>
    <w:rsid w:val="003C5F91"/>
    <w:rsid w:val="003D3A9E"/>
    <w:rsid w:val="004230AC"/>
    <w:rsid w:val="00440FBE"/>
    <w:rsid w:val="00461147"/>
    <w:rsid w:val="00485A3F"/>
    <w:rsid w:val="004977A9"/>
    <w:rsid w:val="004A65B5"/>
    <w:rsid w:val="004E58A5"/>
    <w:rsid w:val="00541F3F"/>
    <w:rsid w:val="005818A8"/>
    <w:rsid w:val="00591B89"/>
    <w:rsid w:val="00593B03"/>
    <w:rsid w:val="00593F40"/>
    <w:rsid w:val="005B5BDF"/>
    <w:rsid w:val="005C05F7"/>
    <w:rsid w:val="005C05FA"/>
    <w:rsid w:val="005E1CE0"/>
    <w:rsid w:val="005F45A8"/>
    <w:rsid w:val="00610C41"/>
    <w:rsid w:val="00657B01"/>
    <w:rsid w:val="006B4A5D"/>
    <w:rsid w:val="006D21ED"/>
    <w:rsid w:val="00710028"/>
    <w:rsid w:val="0072164F"/>
    <w:rsid w:val="007253E7"/>
    <w:rsid w:val="007315D8"/>
    <w:rsid w:val="00743CFD"/>
    <w:rsid w:val="007A66FE"/>
    <w:rsid w:val="007D29EC"/>
    <w:rsid w:val="007D4BBD"/>
    <w:rsid w:val="007F1327"/>
    <w:rsid w:val="007F140C"/>
    <w:rsid w:val="00806F4A"/>
    <w:rsid w:val="00815011"/>
    <w:rsid w:val="00815817"/>
    <w:rsid w:val="00822591"/>
    <w:rsid w:val="00867CA5"/>
    <w:rsid w:val="00873ECE"/>
    <w:rsid w:val="0087785E"/>
    <w:rsid w:val="008A1D22"/>
    <w:rsid w:val="008B361D"/>
    <w:rsid w:val="008E2B15"/>
    <w:rsid w:val="00906E0C"/>
    <w:rsid w:val="00907943"/>
    <w:rsid w:val="00916E97"/>
    <w:rsid w:val="009316EC"/>
    <w:rsid w:val="009644D9"/>
    <w:rsid w:val="009870E4"/>
    <w:rsid w:val="009A12FA"/>
    <w:rsid w:val="009B591A"/>
    <w:rsid w:val="009D5253"/>
    <w:rsid w:val="009D64FE"/>
    <w:rsid w:val="009E4452"/>
    <w:rsid w:val="009F5C7B"/>
    <w:rsid w:val="00A63022"/>
    <w:rsid w:val="00A96E37"/>
    <w:rsid w:val="00A97444"/>
    <w:rsid w:val="00AA29E5"/>
    <w:rsid w:val="00AB0678"/>
    <w:rsid w:val="00AC7ECD"/>
    <w:rsid w:val="00AD009F"/>
    <w:rsid w:val="00B15418"/>
    <w:rsid w:val="00B443CE"/>
    <w:rsid w:val="00B53C56"/>
    <w:rsid w:val="00B618F8"/>
    <w:rsid w:val="00B72E2D"/>
    <w:rsid w:val="00B805BD"/>
    <w:rsid w:val="00BC71D6"/>
    <w:rsid w:val="00BF3137"/>
    <w:rsid w:val="00C240C3"/>
    <w:rsid w:val="00C66C6C"/>
    <w:rsid w:val="00C82E4D"/>
    <w:rsid w:val="00CB1F18"/>
    <w:rsid w:val="00CB3015"/>
    <w:rsid w:val="00CC3E40"/>
    <w:rsid w:val="00CD5DE8"/>
    <w:rsid w:val="00CE7903"/>
    <w:rsid w:val="00CF6C71"/>
    <w:rsid w:val="00D00D60"/>
    <w:rsid w:val="00D01A19"/>
    <w:rsid w:val="00D309C4"/>
    <w:rsid w:val="00D75630"/>
    <w:rsid w:val="00D87130"/>
    <w:rsid w:val="00DF56EC"/>
    <w:rsid w:val="00E020F2"/>
    <w:rsid w:val="00E12059"/>
    <w:rsid w:val="00E25D21"/>
    <w:rsid w:val="00E55B22"/>
    <w:rsid w:val="00E64502"/>
    <w:rsid w:val="00E928BB"/>
    <w:rsid w:val="00EB56F2"/>
    <w:rsid w:val="00F234BF"/>
    <w:rsid w:val="00F31CCA"/>
    <w:rsid w:val="00F43E0E"/>
    <w:rsid w:val="00F622ED"/>
    <w:rsid w:val="00F65EEA"/>
    <w:rsid w:val="00FB3956"/>
    <w:rsid w:val="09F160E3"/>
    <w:rsid w:val="100732C8"/>
    <w:rsid w:val="10DA6205"/>
    <w:rsid w:val="129B2E20"/>
    <w:rsid w:val="15D52593"/>
    <w:rsid w:val="1B8A2034"/>
    <w:rsid w:val="1BC72FF7"/>
    <w:rsid w:val="1D5030CD"/>
    <w:rsid w:val="20AE4DE8"/>
    <w:rsid w:val="21996AC1"/>
    <w:rsid w:val="219F3EE2"/>
    <w:rsid w:val="26F95364"/>
    <w:rsid w:val="2DE440F7"/>
    <w:rsid w:val="340E7198"/>
    <w:rsid w:val="373F75CC"/>
    <w:rsid w:val="3B3306F0"/>
    <w:rsid w:val="3B563B4D"/>
    <w:rsid w:val="3C2825B0"/>
    <w:rsid w:val="3C2B26B7"/>
    <w:rsid w:val="3DA80A30"/>
    <w:rsid w:val="3EE0186C"/>
    <w:rsid w:val="441077D2"/>
    <w:rsid w:val="44396064"/>
    <w:rsid w:val="51266B84"/>
    <w:rsid w:val="548642E9"/>
    <w:rsid w:val="56DD4D3A"/>
    <w:rsid w:val="59C52328"/>
    <w:rsid w:val="5D5617A6"/>
    <w:rsid w:val="5EA7685B"/>
    <w:rsid w:val="62710E5F"/>
    <w:rsid w:val="64C32497"/>
    <w:rsid w:val="66D04BBC"/>
    <w:rsid w:val="713E0334"/>
    <w:rsid w:val="72F62A89"/>
    <w:rsid w:val="737357AF"/>
    <w:rsid w:val="778F5135"/>
    <w:rsid w:val="78E55995"/>
    <w:rsid w:val="7ABE4B56"/>
    <w:rsid w:val="7B3E5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table" w:styleId="8">
    <w:name w:val="Table Grid"/>
    <w:basedOn w:val="7"/>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954F72" w:themeColor="followedHyperlink"/>
      <w:u w:val="single"/>
      <w14:textFill>
        <w14:solidFill>
          <w14:schemeClr w14:val="folHlink"/>
        </w14:solidFill>
      </w14:textFill>
    </w:rPr>
  </w:style>
  <w:style w:type="character" w:styleId="11">
    <w:name w:val="Hyperlink"/>
    <w:basedOn w:val="9"/>
    <w:qFormat/>
    <w:uiPriority w:val="99"/>
    <w:rPr>
      <w:color w:val="0563C1" w:themeColor="hyperlink"/>
      <w:u w:val="single"/>
      <w14:textFill>
        <w14:solidFill>
          <w14:schemeClr w14:val="hlink"/>
        </w14:solidFill>
      </w14:textFill>
    </w:rPr>
  </w:style>
  <w:style w:type="paragraph" w:customStyle="1" w:styleId="12">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List Paragraph"/>
    <w:basedOn w:val="1"/>
    <w:qFormat/>
    <w:uiPriority w:val="99"/>
    <w:pPr>
      <w:ind w:firstLine="420" w:firstLineChars="200"/>
    </w:p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标题 1 字符"/>
    <w:basedOn w:val="9"/>
    <w:link w:val="2"/>
    <w:qFormat/>
    <w:uiPriority w:val="0"/>
    <w:rPr>
      <w:rFonts w:asciiTheme="minorHAnsi" w:hAnsiTheme="minorHAnsi" w:cstheme="minorBidi"/>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B271F-CE5D-421B-9A46-E52BFC81BD46}">
  <ds:schemaRefs/>
</ds:datastoreItem>
</file>

<file path=docProps/app.xml><?xml version="1.0" encoding="utf-8"?>
<Properties xmlns="http://schemas.openxmlformats.org/officeDocument/2006/extended-properties" xmlns:vt="http://schemas.openxmlformats.org/officeDocument/2006/docPropsVTypes">
  <Template>Normal</Template>
  <Pages>7</Pages>
  <Words>5659</Words>
  <Characters>6151</Characters>
  <Lines>50</Lines>
  <Paragraphs>14</Paragraphs>
  <TotalTime>0</TotalTime>
  <ScaleCrop>false</ScaleCrop>
  <LinksUpToDate>false</LinksUpToDate>
  <CharactersWithSpaces>6173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2022-07-01T02:28:00Z</cp:lastPrinted>
  <dcterms:modified xsi:type="dcterms:W3CDTF">2022-12-07T01:59:27Z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2AD6C5347C844179B2458C2E14054CF3</vt:lpwstr>
  </property>
</Properties>
</file>