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bookmarkStart w:id="44" w:name="_GoBack"/>
      <w:bookmarkEnd w:id="44"/>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_Toc22211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_Toc25214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短线IH多单逢高减仓，待大盘回补缺口后，再行加仓</w:t>
          </w:r>
          <w:r>
            <w:rPr>
              <w:bCs/>
            </w:rPr>
            <w:fldChar w:fldCharType="end"/>
          </w:r>
        </w:p>
        <w:p>
          <w:pPr>
            <w:pStyle w:val="5"/>
            <w:tabs>
              <w:tab w:val="right" w:leader="dot" w:pos="8306"/>
            </w:tabs>
          </w:pPr>
          <w:r>
            <w:rPr>
              <w:bCs/>
            </w:rPr>
            <w:fldChar w:fldCharType="begin"/>
          </w:r>
          <w:r>
            <w:rPr>
              <w:bCs/>
            </w:rPr>
            <w:instrText xml:space="preserve"> HYPERLINK \l _Toc7238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_Toc7669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短期利多兑现下调整，低位多单继续持有</w:t>
          </w:r>
          <w:r>
            <w:rPr>
              <w:bCs/>
            </w:rPr>
            <w:fldChar w:fldCharType="end"/>
          </w:r>
        </w:p>
        <w:p>
          <w:pPr>
            <w:pStyle w:val="6"/>
            <w:tabs>
              <w:tab w:val="right" w:leader="dot" w:pos="8306"/>
            </w:tabs>
          </w:pPr>
          <w:r>
            <w:rPr>
              <w:bCs/>
            </w:rPr>
            <w:fldChar w:fldCharType="begin"/>
          </w:r>
          <w:r>
            <w:rPr>
              <w:bCs/>
            </w:rPr>
            <w:instrText xml:space="preserve"> HYPERLINK \l _Toc31238 </w:instrText>
          </w:r>
          <w:r>
            <w:rPr>
              <w:bCs/>
            </w:rPr>
            <w:fldChar w:fldCharType="separate"/>
          </w:r>
          <w:r>
            <w:rPr>
              <w:rFonts w:hint="eastAsia" w:ascii="楷体" w:hAnsi="楷体" w:eastAsia="楷体"/>
              <w:szCs w:val="24"/>
            </w:rPr>
            <w:t>焦炭：宽幅震荡等待现货驱动，随成材震荡</w:t>
          </w:r>
          <w:r>
            <w:rPr>
              <w:bCs/>
            </w:rPr>
            <w:fldChar w:fldCharType="end"/>
          </w:r>
        </w:p>
        <w:p>
          <w:pPr>
            <w:pStyle w:val="6"/>
            <w:tabs>
              <w:tab w:val="right" w:leader="dot" w:pos="8306"/>
            </w:tabs>
          </w:pPr>
          <w:r>
            <w:rPr>
              <w:bCs/>
            </w:rPr>
            <w:fldChar w:fldCharType="begin"/>
          </w:r>
          <w:r>
            <w:rPr>
              <w:bCs/>
            </w:rPr>
            <w:instrText xml:space="preserve"> HYPERLINK \l _Toc14311 </w:instrText>
          </w:r>
          <w:r>
            <w:rPr>
              <w:bCs/>
            </w:rPr>
            <w:fldChar w:fldCharType="separate"/>
          </w:r>
          <w:r>
            <w:rPr>
              <w:rFonts w:hint="eastAsia" w:ascii="楷体" w:hAnsi="楷体" w:eastAsia="楷体"/>
              <w:szCs w:val="24"/>
            </w:rPr>
            <w:t>焦煤：宽幅震荡等待现货驱动，随成材震荡</w:t>
          </w:r>
          <w:r>
            <w:rPr>
              <w:bCs/>
            </w:rPr>
            <w:fldChar w:fldCharType="end"/>
          </w:r>
        </w:p>
        <w:p>
          <w:pPr>
            <w:pStyle w:val="6"/>
            <w:tabs>
              <w:tab w:val="right" w:leader="dot" w:pos="8306"/>
            </w:tabs>
          </w:pPr>
          <w:r>
            <w:rPr>
              <w:bCs/>
            </w:rPr>
            <w:fldChar w:fldCharType="begin"/>
          </w:r>
          <w:r>
            <w:rPr>
              <w:bCs/>
            </w:rPr>
            <w:instrText xml:space="preserve"> HYPERLINK \l _Toc26553 </w:instrText>
          </w:r>
          <w:r>
            <w:rPr>
              <w:bCs/>
            </w:rPr>
            <w:fldChar w:fldCharType="separate"/>
          </w:r>
          <w:r>
            <w:rPr>
              <w:rFonts w:hint="eastAsia" w:ascii="楷体" w:hAnsi="楷体" w:eastAsia="楷体"/>
              <w:szCs w:val="24"/>
            </w:rPr>
            <w:t>铜：短期铜价延续区间内震荡偏强</w:t>
          </w:r>
          <w:r>
            <w:rPr>
              <w:bCs/>
            </w:rPr>
            <w:fldChar w:fldCharType="end"/>
          </w:r>
        </w:p>
        <w:p>
          <w:pPr>
            <w:pStyle w:val="6"/>
            <w:tabs>
              <w:tab w:val="right" w:leader="dot" w:pos="8306"/>
            </w:tabs>
          </w:pPr>
          <w:r>
            <w:rPr>
              <w:bCs/>
            </w:rPr>
            <w:fldChar w:fldCharType="begin"/>
          </w:r>
          <w:r>
            <w:rPr>
              <w:bCs/>
            </w:rPr>
            <w:instrText xml:space="preserve"> HYPERLINK \l _Toc15576 </w:instrText>
          </w:r>
          <w:r>
            <w:rPr>
              <w:bCs/>
            </w:rPr>
            <w:fldChar w:fldCharType="separate"/>
          </w:r>
          <w:r>
            <w:rPr>
              <w:rFonts w:hint="eastAsia" w:ascii="楷体" w:hAnsi="楷体" w:eastAsia="楷体"/>
              <w:szCs w:val="24"/>
            </w:rPr>
            <w:t>铝： 市场情绪偏多，铝价偏强运行</w:t>
          </w:r>
          <w:r>
            <w:rPr>
              <w:bCs/>
            </w:rPr>
            <w:fldChar w:fldCharType="end"/>
          </w:r>
        </w:p>
        <w:p>
          <w:pPr>
            <w:pStyle w:val="6"/>
            <w:tabs>
              <w:tab w:val="right" w:leader="dot" w:pos="8306"/>
            </w:tabs>
          </w:pPr>
          <w:r>
            <w:rPr>
              <w:bCs/>
            </w:rPr>
            <w:fldChar w:fldCharType="begin"/>
          </w:r>
          <w:r>
            <w:rPr>
              <w:bCs/>
            </w:rPr>
            <w:instrText xml:space="preserve"> HYPERLINK \l _Toc27882 </w:instrText>
          </w:r>
          <w:r>
            <w:rPr>
              <w:bCs/>
            </w:rPr>
            <w:fldChar w:fldCharType="separate"/>
          </w:r>
          <w:r>
            <w:rPr>
              <w:rFonts w:hint="eastAsia" w:ascii="楷体" w:hAnsi="楷体" w:eastAsia="楷体"/>
              <w:szCs w:val="24"/>
            </w:rPr>
            <w:t>锌：利多驱动局面仍未改变，锌价偏强震荡为主</w:t>
          </w:r>
          <w:r>
            <w:rPr>
              <w:bCs/>
            </w:rPr>
            <w:fldChar w:fldCharType="end"/>
          </w:r>
        </w:p>
        <w:p>
          <w:pPr>
            <w:pStyle w:val="6"/>
            <w:tabs>
              <w:tab w:val="right" w:leader="dot" w:pos="8306"/>
            </w:tabs>
          </w:pPr>
          <w:r>
            <w:rPr>
              <w:bCs/>
            </w:rPr>
            <w:fldChar w:fldCharType="begin"/>
          </w:r>
          <w:r>
            <w:rPr>
              <w:bCs/>
            </w:rPr>
            <w:instrText xml:space="preserve"> HYPERLINK \l _Toc30421 </w:instrText>
          </w:r>
          <w:r>
            <w:rPr>
              <w:bCs/>
            </w:rPr>
            <w:fldChar w:fldCharType="separate"/>
          </w:r>
          <w:r>
            <w:rPr>
              <w:rFonts w:hint="eastAsia" w:ascii="楷体" w:hAnsi="楷体" w:eastAsia="楷体"/>
              <w:szCs w:val="24"/>
            </w:rPr>
            <w:t>镍：阶段性反弹趋势并未被打破，交易上先观望</w:t>
          </w:r>
          <w:r>
            <w:rPr>
              <w:bCs/>
            </w:rPr>
            <w:fldChar w:fldCharType="end"/>
          </w:r>
        </w:p>
        <w:p>
          <w:pPr>
            <w:pStyle w:val="6"/>
            <w:tabs>
              <w:tab w:val="right" w:leader="dot" w:pos="8306"/>
            </w:tabs>
          </w:pPr>
          <w:r>
            <w:rPr>
              <w:bCs/>
            </w:rPr>
            <w:fldChar w:fldCharType="begin"/>
          </w:r>
          <w:r>
            <w:rPr>
              <w:bCs/>
            </w:rPr>
            <w:instrText xml:space="preserve"> HYPERLINK \l _Toc20831 </w:instrText>
          </w:r>
          <w:r>
            <w:rPr>
              <w:bCs/>
            </w:rPr>
            <w:fldChar w:fldCharType="separate"/>
          </w:r>
          <w:r>
            <w:rPr>
              <w:rFonts w:hint="eastAsia" w:ascii="楷体" w:hAnsi="楷体" w:eastAsia="楷体"/>
              <w:szCs w:val="24"/>
            </w:rPr>
            <w:t>不锈钢：宏观预期好转提振价格大涨，疲弱需求或限制涨幅</w:t>
          </w:r>
          <w:r>
            <w:rPr>
              <w:bCs/>
            </w:rPr>
            <w:fldChar w:fldCharType="end"/>
          </w:r>
        </w:p>
        <w:p>
          <w:pPr>
            <w:pStyle w:val="6"/>
            <w:tabs>
              <w:tab w:val="right" w:leader="dot" w:pos="8306"/>
            </w:tabs>
          </w:pPr>
          <w:r>
            <w:rPr>
              <w:bCs/>
            </w:rPr>
            <w:fldChar w:fldCharType="begin"/>
          </w:r>
          <w:r>
            <w:rPr>
              <w:bCs/>
            </w:rPr>
            <w:instrText xml:space="preserve"> HYPERLINK \l _Toc17618 </w:instrText>
          </w:r>
          <w:r>
            <w:rPr>
              <w:bCs/>
            </w:rPr>
            <w:fldChar w:fldCharType="separate"/>
          </w:r>
          <w:r>
            <w:rPr>
              <w:rFonts w:hint="eastAsia" w:ascii="楷体" w:hAnsi="楷体" w:eastAsia="楷体"/>
              <w:szCs w:val="24"/>
            </w:rPr>
            <w:t>工业硅：政策面利好出台，预计市场将止跌企稳</w:t>
          </w:r>
          <w:r>
            <w:rPr>
              <w:bCs/>
            </w:rPr>
            <w:fldChar w:fldCharType="end"/>
          </w:r>
        </w:p>
        <w:p>
          <w:pPr>
            <w:pStyle w:val="5"/>
            <w:tabs>
              <w:tab w:val="right" w:leader="dot" w:pos="8306"/>
            </w:tabs>
          </w:pPr>
          <w:r>
            <w:rPr>
              <w:bCs/>
            </w:rPr>
            <w:fldChar w:fldCharType="begin"/>
          </w:r>
          <w:r>
            <w:rPr>
              <w:bCs/>
            </w:rPr>
            <w:instrText xml:space="preserve"> HYPERLINK \l _Toc23925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_Toc1543 </w:instrText>
          </w:r>
          <w:r>
            <w:rPr>
              <w:bCs/>
            </w:rPr>
            <w:fldChar w:fldCharType="separate"/>
          </w:r>
          <w:r>
            <w:rPr>
              <w:rFonts w:hint="eastAsia" w:ascii="Times New Roman" w:hAnsi="Times New Roman" w:eastAsia="楷体"/>
              <w:szCs w:val="24"/>
            </w:rPr>
            <w:t>乙二醇：供应累库预期  走势承压</w:t>
          </w:r>
          <w:r>
            <w:rPr>
              <w:bCs/>
            </w:rPr>
            <w:fldChar w:fldCharType="end"/>
          </w:r>
        </w:p>
        <w:p>
          <w:pPr>
            <w:pStyle w:val="6"/>
            <w:tabs>
              <w:tab w:val="right" w:leader="dot" w:pos="8306"/>
            </w:tabs>
          </w:pPr>
          <w:r>
            <w:rPr>
              <w:bCs/>
            </w:rPr>
            <w:fldChar w:fldCharType="begin"/>
          </w:r>
          <w:r>
            <w:rPr>
              <w:bCs/>
            </w:rPr>
            <w:instrText xml:space="preserve"> HYPERLINK \l _Toc4750 </w:instrText>
          </w:r>
          <w:r>
            <w:rPr>
              <w:bCs/>
            </w:rPr>
            <w:fldChar w:fldCharType="separate"/>
          </w:r>
          <w:r>
            <w:rPr>
              <w:rFonts w:ascii="楷体" w:hAnsi="楷体" w:eastAsia="楷体"/>
              <w:szCs w:val="24"/>
            </w:rPr>
            <w:t>PTA</w:t>
          </w:r>
          <w:r>
            <w:rPr>
              <w:rFonts w:hint="eastAsia" w:ascii="楷体" w:hAnsi="楷体" w:eastAsia="楷体"/>
              <w:szCs w:val="24"/>
            </w:rPr>
            <w:t>：需求有所改善 关注TA短多行情</w:t>
          </w:r>
          <w:r>
            <w:rPr>
              <w:bCs/>
            </w:rPr>
            <w:fldChar w:fldCharType="end"/>
          </w:r>
        </w:p>
        <w:p>
          <w:pPr>
            <w:pStyle w:val="5"/>
            <w:tabs>
              <w:tab w:val="right" w:leader="dot" w:pos="8306"/>
            </w:tabs>
          </w:pPr>
          <w:r>
            <w:rPr>
              <w:bCs/>
            </w:rPr>
            <w:fldChar w:fldCharType="begin"/>
          </w:r>
          <w:r>
            <w:rPr>
              <w:bCs/>
            </w:rPr>
            <w:instrText xml:space="preserve"> HYPERLINK \l _Toc307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_Toc17353 </w:instrText>
          </w:r>
          <w:r>
            <w:rPr>
              <w:bCs/>
            </w:rPr>
            <w:fldChar w:fldCharType="separate"/>
          </w:r>
          <w:r>
            <w:rPr>
              <w:rFonts w:hint="eastAsia" w:ascii="楷体" w:hAnsi="楷体" w:eastAsia="楷体"/>
              <w:szCs w:val="24"/>
            </w:rPr>
            <w:t>豆粕：维持高位区间震荡，4300一线压力较大</w:t>
          </w:r>
          <w:r>
            <w:rPr>
              <w:bCs/>
            </w:rPr>
            <w:fldChar w:fldCharType="end"/>
          </w:r>
        </w:p>
        <w:p>
          <w:pPr>
            <w:pStyle w:val="6"/>
            <w:tabs>
              <w:tab w:val="right" w:leader="dot" w:pos="8306"/>
            </w:tabs>
          </w:pPr>
          <w:r>
            <w:rPr>
              <w:bCs/>
            </w:rPr>
            <w:fldChar w:fldCharType="begin"/>
          </w:r>
          <w:r>
            <w:rPr>
              <w:bCs/>
            </w:rPr>
            <w:instrText xml:space="preserve"> HYPERLINK \l _Toc12007 </w:instrText>
          </w:r>
          <w:r>
            <w:rPr>
              <w:bCs/>
            </w:rPr>
            <w:fldChar w:fldCharType="separate"/>
          </w:r>
          <w:r>
            <w:rPr>
              <w:rFonts w:hint="eastAsia" w:ascii="楷体" w:hAnsi="楷体" w:eastAsia="楷体"/>
              <w:szCs w:val="24"/>
            </w:rPr>
            <w:t>油脂：短期维持宽幅震荡，走势偏弱</w:t>
          </w:r>
          <w:r>
            <w:rPr>
              <w:bCs/>
            </w:rPr>
            <w:fldChar w:fldCharType="end"/>
          </w:r>
        </w:p>
        <w:p>
          <w:pPr>
            <w:pStyle w:val="6"/>
            <w:tabs>
              <w:tab w:val="right" w:leader="dot" w:pos="8306"/>
            </w:tabs>
          </w:pPr>
          <w:r>
            <w:rPr>
              <w:bCs/>
            </w:rPr>
            <w:fldChar w:fldCharType="begin"/>
          </w:r>
          <w:r>
            <w:rPr>
              <w:bCs/>
            </w:rPr>
            <w:instrText xml:space="preserve"> HYPERLINK \l _Toc31130 </w:instrText>
          </w:r>
          <w:r>
            <w:rPr>
              <w:bCs/>
            </w:rPr>
            <w:fldChar w:fldCharType="separate"/>
          </w:r>
          <w:r>
            <w:rPr>
              <w:rFonts w:hint="eastAsia" w:ascii="楷体" w:hAnsi="楷体" w:eastAsia="楷体"/>
              <w:bCs/>
            </w:rPr>
            <w:t>玉米与淀粉：</w:t>
          </w:r>
          <w:r>
            <w:rPr>
              <w:rFonts w:hint="eastAsia" w:ascii="楷体" w:hAnsi="楷体" w:eastAsia="楷体"/>
            </w:rPr>
            <w:t>期价继续弱势</w:t>
          </w:r>
          <w:r>
            <w:rPr>
              <w:bCs/>
            </w:rPr>
            <w:fldChar w:fldCharType="end"/>
          </w:r>
        </w:p>
        <w:p>
          <w:pPr>
            <w:pStyle w:val="6"/>
            <w:tabs>
              <w:tab w:val="right" w:leader="dot" w:pos="8306"/>
            </w:tabs>
          </w:pPr>
          <w:r>
            <w:rPr>
              <w:bCs/>
            </w:rPr>
            <w:fldChar w:fldCharType="begin"/>
          </w:r>
          <w:r>
            <w:rPr>
              <w:bCs/>
            </w:rPr>
            <w:instrText xml:space="preserve"> HYPERLINK \l _Toc18255 </w:instrText>
          </w:r>
          <w:r>
            <w:rPr>
              <w:bCs/>
            </w:rPr>
            <w:fldChar w:fldCharType="separate"/>
          </w:r>
          <w:r>
            <w:rPr>
              <w:rFonts w:hint="eastAsia" w:ascii="楷体" w:hAnsi="楷体" w:eastAsia="楷体"/>
              <w:bCs/>
            </w:rPr>
            <w:t>畜禽养殖：鸡蛋期价大幅上涨</w:t>
          </w:r>
          <w:r>
            <w:rPr>
              <w:bCs/>
            </w:rPr>
            <w:fldChar w:fldCharType="end"/>
          </w:r>
        </w:p>
        <w:p>
          <w:pPr>
            <w:pStyle w:val="6"/>
            <w:tabs>
              <w:tab w:val="right" w:leader="dot" w:pos="8306"/>
            </w:tabs>
          </w:pPr>
          <w:r>
            <w:rPr>
              <w:bCs/>
            </w:rPr>
            <w:fldChar w:fldCharType="begin"/>
          </w:r>
          <w:r>
            <w:rPr>
              <w:bCs/>
            </w:rPr>
            <w:instrText xml:space="preserve"> HYPERLINK \l _Toc7929 </w:instrText>
          </w:r>
          <w:r>
            <w:rPr>
              <w:bCs/>
            </w:rPr>
            <w:fldChar w:fldCharType="separate"/>
          </w:r>
          <w:r>
            <w:rPr>
              <w:rFonts w:hint="eastAsia" w:ascii="楷体" w:hAnsi="楷体" w:eastAsia="楷体"/>
              <w:szCs w:val="24"/>
            </w:rPr>
            <w:t>郑棉：希翼中国需求好转，美棉小幅上涨。郑棉震荡整理，持有03看涨期权卖权</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8033"/>
      <w:bookmarkStart w:id="1" w:name="_Toc19317"/>
      <w:bookmarkStart w:id="2" w:name="_Toc22211"/>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25214"/>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短线IH多单逢高减仓，待大盘回补缺口后，再行加仓</w:t>
      </w:r>
      <w:bookmarkEnd w:id="6"/>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短期市场充分计价稳增长政策预期后，将逐步转向政策效果验证期，弱现实预期之下，经济恢复节奏存在高度不确定性，行情回升途中或仍有一定波折，但市场围绕着政策催化选结构的主线未变，对反弹行情提供支撑。操作方面，谨慎追高，多单可逢高减仓，待大盘回补缺口后，再行加仓。</w:t>
      </w:r>
    </w:p>
    <w:p>
      <w:pPr>
        <w:pBdr>
          <w:top w:val="single" w:color="auto" w:sz="4" w:space="0"/>
        </w:pBdr>
        <w:outlineLvl w:val="0"/>
        <w:rPr>
          <w:rFonts w:ascii="Times New Roman" w:hAnsi="Times New Roman" w:eastAsia="楷体"/>
          <w:b/>
          <w:color w:val="823C0B"/>
          <w:sz w:val="30"/>
          <w:szCs w:val="30"/>
        </w:rPr>
      </w:pPr>
      <w:bookmarkStart w:id="7" w:name="_Toc20891"/>
      <w:bookmarkStart w:id="8" w:name="金属"/>
      <w:bookmarkStart w:id="9" w:name="_Toc3096"/>
      <w:bookmarkStart w:id="10" w:name="_Toc7238"/>
      <w:bookmarkStart w:id="11" w:name="农产品"/>
      <w:r>
        <w:rPr>
          <w:rFonts w:hint="eastAsia" w:ascii="Times New Roman" w:hAnsi="Times New Roman" w:eastAsia="楷体"/>
          <w:b/>
          <w:color w:val="823C0B"/>
          <w:sz w:val="30"/>
          <w:szCs w:val="30"/>
        </w:rPr>
        <w:t>[金属]</w:t>
      </w:r>
      <w:bookmarkEnd w:id="7"/>
      <w:bookmarkEnd w:id="8"/>
      <w:bookmarkEnd w:id="9"/>
      <w:bookmarkEnd w:id="10"/>
    </w:p>
    <w:p>
      <w:pPr>
        <w:ind w:left="420" w:leftChars="200"/>
        <w:outlineLvl w:val="1"/>
        <w:rPr>
          <w:rFonts w:ascii="楷体" w:hAnsi="楷体" w:eastAsia="楷体"/>
          <w:b/>
          <w:color w:val="000000" w:themeColor="text1"/>
          <w:sz w:val="24"/>
          <w:szCs w:val="24"/>
          <w14:textFill>
            <w14:solidFill>
              <w14:schemeClr w14:val="tx1"/>
            </w14:solidFill>
          </w14:textFill>
        </w:rPr>
      </w:pPr>
      <w:bookmarkStart w:id="12" w:name="_Toc27831"/>
      <w:bookmarkStart w:id="13" w:name="_Toc5371"/>
      <w:bookmarkStart w:id="14" w:name="_Toc7669"/>
      <w:r>
        <w:rPr>
          <w:rFonts w:hint="eastAsia" w:ascii="楷体" w:hAnsi="楷体" w:eastAsia="楷体"/>
          <w:b/>
          <w:color w:val="000000" w:themeColor="text1"/>
          <w:sz w:val="24"/>
          <w:szCs w:val="24"/>
          <w14:textFill>
            <w14:solidFill>
              <w14:schemeClr w14:val="tx1"/>
            </w14:solidFill>
          </w14:textFill>
        </w:rPr>
        <w:t>螺纹钢：</w:t>
      </w:r>
      <w:bookmarkEnd w:id="12"/>
      <w:bookmarkEnd w:id="13"/>
      <w:r>
        <w:rPr>
          <w:rFonts w:hint="eastAsia" w:ascii="楷体" w:hAnsi="楷体" w:eastAsia="楷体"/>
          <w:b/>
          <w:color w:val="000000" w:themeColor="text1"/>
          <w:sz w:val="24"/>
          <w:szCs w:val="24"/>
          <w:highlight w:val="none"/>
          <w14:textFill>
            <w14:solidFill>
              <w14:schemeClr w14:val="tx1"/>
            </w14:solidFill>
          </w14:textFill>
        </w:rPr>
        <w:t>短期利多兑现下调整，低位多单继续持有</w:t>
      </w:r>
      <w:bookmarkEnd w:id="1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前期利多消息推动05合约升水，盘面出现分歧下，短期利多资金止盈。短期仍处于强预期中，观察12月份赶工情况，预计短期01合约在（3700,3750），05合约在（3780，3800）附近具有较强支撑，建议低位多单继续持有。</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4790"/>
      <w:bookmarkStart w:id="16" w:name="_Toc11356"/>
      <w:bookmarkStart w:id="17" w:name="_Toc31238"/>
      <w:r>
        <w:rPr>
          <w:rFonts w:hint="eastAsia" w:ascii="楷体" w:hAnsi="楷体" w:eastAsia="楷体"/>
          <w:b/>
          <w:color w:val="000000" w:themeColor="text1"/>
          <w:sz w:val="24"/>
          <w:szCs w:val="24"/>
          <w14:textFill>
            <w14:solidFill>
              <w14:schemeClr w14:val="tx1"/>
            </w14:solidFill>
          </w14:textFill>
        </w:rPr>
        <w:t>焦炭：</w:t>
      </w:r>
      <w:bookmarkEnd w:id="15"/>
      <w:bookmarkEnd w:id="16"/>
      <w:r>
        <w:rPr>
          <w:rFonts w:hint="eastAsia" w:ascii="楷体" w:hAnsi="楷体" w:eastAsia="楷体"/>
          <w:b/>
          <w:color w:val="000000" w:themeColor="text1"/>
          <w:sz w:val="24"/>
          <w:szCs w:val="24"/>
          <w14:textFill>
            <w14:solidFill>
              <w14:schemeClr w14:val="tx1"/>
            </w14:solidFill>
          </w14:textFill>
        </w:rPr>
        <w:t>宽幅震荡等待现货驱动，随成材震荡</w:t>
      </w:r>
      <w:bookmarkEnd w:id="17"/>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若第二轮提涨落地后，部分焦企仍处于亏损状态中，冬储前成本较难改善，短期现货见顶后盘面或在（2730,2880）震荡。若冬储后，视交割情况而定，仓单定价锚点转移至港口，预计焦炭01上方压力在（2900,2950）。</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18" w:name="_Toc14311"/>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宽幅震荡等待现货驱动，随成材震荡</w:t>
      </w:r>
      <w:bookmarkEnd w:id="18"/>
    </w:p>
    <w:p>
      <w:pPr>
        <w:ind w:left="630" w:leftChars="300"/>
        <w:rPr>
          <w:rFonts w:ascii="楷体" w:hAnsi="楷体" w:eastAsia="楷体"/>
          <w:bCs/>
          <w:sz w:val="24"/>
          <w:szCs w:val="24"/>
        </w:rPr>
      </w:pPr>
      <w:r>
        <w:rPr>
          <w:rFonts w:hint="eastAsia" w:ascii="楷体" w:hAnsi="楷体" w:eastAsia="楷体"/>
          <w:sz w:val="24"/>
          <w:szCs w:val="24"/>
        </w:rPr>
        <w:t>情绪或偏乐观，但并未进入大幅度补库阶段，疫情转好或改善钢厂到货压力，预计短期继续上涨驱动不强。预计短期01焦煤或在（2150，2250）震荡，关注支撑情况。视到期交割情况，仓单定价锚点转移至港口山西煤，预计焦煤01压力或在（2300,2350），焦煤05压力或在（1900,2000）。</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9719"/>
      <w:bookmarkStart w:id="20" w:name="_Toc25617"/>
      <w:bookmarkStart w:id="21" w:name="_Toc26553"/>
      <w:r>
        <w:rPr>
          <w:rFonts w:hint="eastAsia" w:ascii="楷体" w:hAnsi="楷体" w:eastAsia="楷体"/>
          <w:b/>
          <w:color w:val="000000" w:themeColor="text1"/>
          <w:sz w:val="24"/>
          <w:szCs w:val="24"/>
          <w14:textFill>
            <w14:solidFill>
              <w14:schemeClr w14:val="tx1"/>
            </w14:solidFill>
          </w14:textFill>
        </w:rPr>
        <w:t>铜：</w:t>
      </w:r>
      <w:bookmarkEnd w:id="19"/>
      <w:bookmarkEnd w:id="20"/>
      <w:r>
        <w:rPr>
          <w:rFonts w:hint="eastAsia" w:ascii="楷体" w:hAnsi="楷体" w:eastAsia="楷体"/>
          <w:b/>
          <w:color w:val="000000" w:themeColor="text1"/>
          <w:sz w:val="24"/>
          <w:szCs w:val="24"/>
          <w14:textFill>
            <w14:solidFill>
              <w14:schemeClr w14:val="tx1"/>
            </w14:solidFill>
          </w14:textFill>
        </w:rPr>
        <w:t>短期铜价延续区间内震荡偏强</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(1)库存：12月05日，SHFE仓单库存26392吨，减993吨。LME仓单库存86725吨，减725吨。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(2)精废价差：12月05日，Mysteel精废价差1733，扩大349。目前价差在合理价差1369之上。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联储紧缩放缓，美元指数延续弱势，提振整体有色金属。国内方面，防疫政策边际变化，稳增长政策持续推进，市场对国内消费复苏存较大预期。现货方面，库存仍保持在较低水平，废铜维持偏紧，精废价差持续收窄，对精铜替代弱化。铜价大概率仍将在震荡区间内偏强运行，操作上，上周短线多单可继续持有，建议在67000-67500价格区间附近止盈。</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8897"/>
      <w:bookmarkStart w:id="23" w:name="_Toc6247"/>
      <w:bookmarkStart w:id="24" w:name="_Toc15576"/>
      <w:r>
        <w:rPr>
          <w:rFonts w:hint="eastAsia" w:ascii="楷体" w:hAnsi="楷体" w:eastAsia="楷体"/>
          <w:b/>
          <w:color w:val="000000" w:themeColor="text1"/>
          <w:sz w:val="24"/>
          <w:szCs w:val="24"/>
          <w14:textFill>
            <w14:solidFill>
              <w14:schemeClr w14:val="tx1"/>
            </w14:solidFill>
          </w14:textFill>
        </w:rPr>
        <w:t>铝：</w:t>
      </w:r>
      <w:bookmarkEnd w:id="22"/>
      <w:bookmarkEnd w:id="23"/>
      <w:r>
        <w:rPr>
          <w:rFonts w:hint="eastAsia" w:ascii="楷体" w:hAnsi="楷体" w:eastAsia="楷体"/>
          <w:b/>
          <w:color w:val="000000" w:themeColor="text1"/>
          <w:sz w:val="24"/>
          <w:szCs w:val="24"/>
          <w14:textFill>
            <w14:solidFill>
              <w14:schemeClr w14:val="tx1"/>
            </w14:solidFill>
          </w14:textFill>
        </w:rPr>
        <w:t xml:space="preserve"> 市场情绪偏多，铝价偏强运行</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鲍威尔表示将放缓加息，欧洲通胀数据环比下降，海外市场资金情绪转好，宏观利多释放，美国小非农数据低于预期，加息节奏放缓在即。国内疫情管控风向转变，叠加近期国内利好政策频出，覆盖地产、新能源消费、绿色建材等领域，央行降准释放流动性，“保交楼”叠加基建专项债投放，向市场释放利多情绪，从国内11月制造业数据看出，政策投放暂未形成下游消费有力支撑。铝市供应持续扰动，增减同频，国家持续推进环境治理出台政策，后续或对部分铝产有停产或改产要求。铝交易所及社会库存维持低位去库，刷新历史低位。从需求端看，海内需求均有逐步转好迹象，2022年第三季度北美铝需求增长6.3%，内需消费持续延续向好趋势。综合来看，低库存叠加海内外需求改善对盘面价格仍有支撑效应，盘面震荡走高，价格偏强震荡运行，谨慎看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7882"/>
      <w:r>
        <w:rPr>
          <w:rFonts w:hint="eastAsia" w:ascii="楷体" w:hAnsi="楷体" w:eastAsia="楷体"/>
          <w:b/>
          <w:color w:val="000000" w:themeColor="text1"/>
          <w:sz w:val="24"/>
          <w:szCs w:val="24"/>
          <w14:textFill>
            <w14:solidFill>
              <w14:schemeClr w14:val="tx1"/>
            </w14:solidFill>
          </w14:textFill>
        </w:rPr>
        <w:t>锌：利多驱动局面仍未改变，锌价偏强震荡为主</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5日沪锌隔夜收盘价格24430元/吨，跌幅0.61%，上海有色网0#锌锭（Zn99.995）现货报价25290元/吨，较上一统计日报价上涨190元/吨。欧元区通胀数据环比下降，美联储加息态度转鸽，美国11月小非农新增数据公布低于预期，宏观利好释放。国内疫情防控风向转变，叠加近期多项地产、信贷等利多政策出台，消费市场预期走好，市场资金情绪升温，带动有色板块价格普涨。锌市供应矿端爬产缓慢，减停产与增产产能同频相抵，冶炼利润走高中游开工意愿强烈，但锌原料价格持续上涨，下游接货仍以刚需为主，海内外库存持续刷新低位成为锌价上攀的支撑驱动，宏观利多因子加持推动价格越过前高，谨慎看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30421"/>
      <w:r>
        <w:rPr>
          <w:rFonts w:hint="eastAsia" w:ascii="楷体" w:hAnsi="楷体" w:eastAsia="楷体"/>
          <w:b/>
          <w:color w:val="000000" w:themeColor="text1"/>
          <w:sz w:val="24"/>
          <w:szCs w:val="24"/>
          <w14:textFill>
            <w14:solidFill>
              <w14:schemeClr w14:val="tx1"/>
            </w14:solidFill>
          </w14:textFill>
        </w:rPr>
        <w:t>镍：阶段性反弹趋势并未被打破，交易上先观望</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美元指数延续下挫，提振整体有色金属。国内防疫政策边际变化，稳增长政策持续推进，市场对国内消费复苏存较大预期。当下镍价更多跟随宏观情绪在波动，阶段性反弹趋势并未被打破，支撑镍价的主要利多因素仍是低库存，交割品矛盾缓解前，价格亦难有明显下跌，建议先观望。</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20831"/>
      <w:r>
        <w:rPr>
          <w:rFonts w:hint="eastAsia" w:ascii="楷体" w:hAnsi="楷体" w:eastAsia="楷体"/>
          <w:b/>
          <w:color w:val="000000" w:themeColor="text1"/>
          <w:sz w:val="24"/>
          <w:szCs w:val="24"/>
          <w14:textFill>
            <w14:solidFill>
              <w14:schemeClr w14:val="tx1"/>
            </w14:solidFill>
          </w14:textFill>
        </w:rPr>
        <w:t>不锈钢：宏观预期好转提振价格大涨，疲弱需求或限制涨幅</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防疫优化+地产悲观情绪修复，工业品整体表现偏强，提振不锈钢价，但现实需求疲弱库存累增或限制涨幅，短期关注17200一线压力，如突破，上看17800在逢高试空。</w:t>
      </w:r>
    </w:p>
    <w:p>
      <w:pPr>
        <w:rPr>
          <w:rFonts w:ascii="楷体" w:hAnsi="楷体" w:eastAsia="楷体"/>
          <w:bCs/>
          <w:sz w:val="24"/>
          <w:szCs w:val="24"/>
        </w:rPr>
      </w:pPr>
    </w:p>
    <w:p>
      <w:pPr>
        <w:ind w:left="420" w:leftChars="200"/>
        <w:outlineLvl w:val="1"/>
        <w:rPr>
          <w:rFonts w:ascii="楷体" w:hAnsi="楷体" w:eastAsia="楷体"/>
          <w:b/>
          <w:sz w:val="24"/>
          <w:szCs w:val="24"/>
        </w:rPr>
      </w:pPr>
      <w:bookmarkStart w:id="28" w:name="_Toc17618"/>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政策面利好出台，预计市场将止跌企稳</w:t>
      </w:r>
      <w:bookmarkEnd w:id="28"/>
    </w:p>
    <w:p>
      <w:pPr>
        <w:ind w:left="630" w:leftChars="300"/>
        <w:rPr>
          <w:rFonts w:ascii="楷体" w:hAnsi="楷体" w:eastAsia="楷体"/>
          <w:sz w:val="24"/>
          <w:szCs w:val="24"/>
        </w:rPr>
      </w:pPr>
      <w:r>
        <w:rPr>
          <w:rFonts w:hint="eastAsia" w:ascii="楷体" w:hAnsi="楷体" w:eastAsia="楷体"/>
          <w:sz w:val="24"/>
          <w:szCs w:val="24"/>
        </w:rPr>
        <w:t>12月5日，华东地区553（通氧）19500元/吨，较上个统计日持平，政策利好出台增加硅厂挺价心态，但下游接货能力依旧较弱，市场成交氛围较为冷清。从基本面来看，西南地区步入枯水期电价上调，成本上升对硅价有一定支撑。从政策面来看，政策重启房企股权融资，有机硅、铝合金需求预期有所好转;以及工业硅期货、期权获批，有望带动市场热度，预计更多期现商将参与现货市场。综合来看，短期成本支撑下，政策端发力改善需求预期，预计市场将止跌企稳。</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23925"/>
      <w:r>
        <w:rPr>
          <w:rFonts w:hint="eastAsia" w:ascii="Times New Roman" w:hAnsi="Times New Roman" w:eastAsia="楷体"/>
          <w:b/>
          <w:color w:val="823C0B"/>
          <w:sz w:val="30"/>
          <w:szCs w:val="30"/>
        </w:rPr>
        <w:t>[化工]</w:t>
      </w:r>
      <w:bookmarkEnd w:id="29"/>
      <w:bookmarkEnd w:id="30"/>
    </w:p>
    <w:p>
      <w:pPr>
        <w:ind w:firstLine="482" w:firstLineChars="200"/>
        <w:outlineLvl w:val="1"/>
        <w:rPr>
          <w:rFonts w:ascii="Times New Roman" w:hAnsi="Times New Roman" w:eastAsia="楷体"/>
          <w:b/>
          <w:sz w:val="24"/>
          <w:szCs w:val="24"/>
        </w:rPr>
      </w:pPr>
      <w:bookmarkStart w:id="31" w:name="_Toc1543"/>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供应累库预期  走势承压</w:t>
      </w:r>
      <w:bookmarkEnd w:id="31"/>
    </w:p>
    <w:p>
      <w:pPr>
        <w:ind w:left="630" w:leftChars="300"/>
        <w:rPr>
          <w:rFonts w:ascii="楷体" w:hAnsi="楷体" w:eastAsia="楷体"/>
          <w:sz w:val="24"/>
          <w:szCs w:val="24"/>
        </w:rPr>
      </w:pPr>
      <w:r>
        <w:rPr>
          <w:rFonts w:hint="eastAsia" w:ascii="楷体" w:hAnsi="楷体" w:eastAsia="楷体"/>
          <w:sz w:val="24"/>
          <w:szCs w:val="24"/>
        </w:rPr>
        <w:t>供需情况，截止11.28 华东主港地区MEG港口库存约92万吨附近，环比上期增加7万吨，11.2-12.4 主港到货预估16.6万吨，环比增加1.1万吨，港口库存近期会开启累库节奏。供需情况，截至12月1日，中国大陆地区乙二醇整体开工负荷在57.15%（+2.14%），其中煤制乙二醇开工负荷在41.15%（+8.72%），乙二醇负荷大幅提升。从聚酯需求端来看，本周检修装置暂时涉及长丝短纤，聚酯负荷继续下滑。截至12.1，初步核算国内大陆地区聚酯负荷在71.8%（-3.7%)。除了短纤工厂库存水平偏低外，涤纶长丝及终端坯布库存均有30天以上。江浙终端开工继续下降，局部受疫情影响。截至12.1，江浙加弹开工率48%（-7%）、江浙织机开工率35%（-11%）、浙江印染开工率45%（-5%）。疫情扩散至江浙两地，12月订单收尾中。综合来看，存量装置检修减少叠加新投装置稳定，且聚酯企业仍有也一定的降负预期，供应增加叠加聚酯负荷走低，供需矛盾加剧。后续新装置榆林化学货源持续兑现下现货继续承压，维持高位布空思路。仅供参考。</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4750"/>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：需求有所改善 关注TA短多行情</w:t>
      </w:r>
      <w:bookmarkEnd w:id="32"/>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本周亚东75万吨，英力士110万吨，大化225万吨停车，逸盛375，英力士125提负，福海创450万吨，百宏250万吨，中泰120万吨降负运行，个别有装置负荷小幅调整，至12.1 PTA负荷降至68.5%（-1.5%）。聚酯方面，本周检修装置暂时涉及长丝短纤，聚酯负荷继续下滑。截至12.1，初步核算国内大陆地区聚酯负荷在72.6%；明日一套瓶片装置检修之后，聚酯负荷可能降至71.8%。聚酯有进一步减产计划，预计12月中旬聚酯负荷在70%附近。终端方面，江浙终端开工继续下降，疫情扩散至江浙两地，12月订单收尾中。综合来看，近期因聚酯降负及PX短缺的原因，PTA工厂也开启降负节奏，区域性货源偏紧。短期来看，TA受成本端原油价格反弹及自身低开工+低库存+低加工费带动，且国内疫情防控进一步放松，对需求端将会带来利好支撑，可关注TA低位加多的机会。中长期来看，PX和PTA新产能投放预期下，加工费预计将进一步压缩，PTA供需累库预期仍存。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3" w:name="_Toc307"/>
      <w:r>
        <w:rPr>
          <w:rFonts w:hint="eastAsia" w:ascii="Times New Roman" w:hAnsi="Times New Roman" w:eastAsia="楷体"/>
          <w:b/>
          <w:color w:val="823C0B"/>
          <w:sz w:val="30"/>
          <w:szCs w:val="30"/>
        </w:rPr>
        <w:t>[农产品]</w:t>
      </w:r>
      <w:bookmarkEnd w:id="11"/>
      <w:bookmarkEnd w:id="33"/>
    </w:p>
    <w:p>
      <w:pPr>
        <w:ind w:left="420" w:leftChars="200"/>
        <w:outlineLvl w:val="1"/>
        <w:rPr>
          <w:rFonts w:hint="eastAsia" w:ascii="楷体" w:hAnsi="楷体" w:eastAsia="楷体"/>
          <w:b/>
          <w:sz w:val="24"/>
          <w:szCs w:val="24"/>
        </w:rPr>
      </w:pPr>
      <w:bookmarkStart w:id="34" w:name="_Toc17353"/>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维持高位区间震荡，4300一线压力较大</w:t>
      </w:r>
      <w:bookmarkEnd w:id="34"/>
    </w:p>
    <w:p>
      <w:pPr>
        <w:ind w:left="630" w:leftChars="300"/>
        <w:rPr>
          <w:rFonts w:ascii="楷体" w:hAnsi="楷体" w:eastAsia="楷体"/>
          <w:sz w:val="24"/>
          <w:szCs w:val="24"/>
        </w:rPr>
      </w:pPr>
      <w:r>
        <w:rPr>
          <w:rFonts w:hint="eastAsia" w:ascii="楷体" w:hAnsi="楷体" w:eastAsia="楷体"/>
          <w:sz w:val="24"/>
          <w:szCs w:val="24"/>
        </w:rPr>
        <w:t>外盘方面，CBOT大豆维持高位震荡，1400一线支撑较强。当前进入12月份南美关键种植阶段，市场重心转向南美，或形成天气升水，阿根廷因天气干燥种植进度偏慢。国内市场，随着进口大豆陆续到港，大豆港口库存低点已现，库存回升。大部分油厂恢复开工，开机率大幅回升压榨增加，豆粕库存拐点预计出现。下游近期猪价有所回升，但二次育肥临近尾声，生猪临近集中出栏阶段，饲企和养殖企业等采购需求减弱，但仍保持刚需补库及后续有节前备货需求。随着供应改善豆粕现货价格持续走低带动基差回落，关注期现回归节奏，但基差历史高位下，且临近交割月仍会呈现期货向现货靠近实现基差回归的情况，若现货继续大幅下行盘面或会承压，短期豆粕01预计维持4100-4300区间震荡，可轻仓在4300附近试空；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35" w:name="_Toc12007"/>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短期维持宽幅震荡，走势偏弱</w:t>
      </w:r>
      <w:bookmarkEnd w:id="35"/>
    </w:p>
    <w:p>
      <w:pPr>
        <w:ind w:left="630" w:leftChars="300"/>
        <w:rPr>
          <w:rFonts w:ascii="楷体" w:hAnsi="楷体" w:eastAsia="楷体"/>
          <w:sz w:val="24"/>
          <w:szCs w:val="24"/>
        </w:rPr>
      </w:pPr>
      <w:r>
        <w:rPr>
          <w:rFonts w:hint="eastAsia" w:ascii="楷体" w:hAnsi="楷体" w:eastAsia="楷体"/>
          <w:sz w:val="24"/>
          <w:szCs w:val="24"/>
        </w:rPr>
        <w:t>宏观方面，美国环保署提议增加2023年可再生燃料掺混义务增幅低于预期带动外盘油脂走弱。棕榈油基本面支撑主要来自产地减产担忧、马来出口数据的乐观及印尼出口预期收紧，但有预期马棕11月库存减幅或不及预期，关注之后MPOB数据公布及天气对产量的影响；同时印尼将逐步恢复出口专项税，且DMO出口配比下调至1：8，出口预期收紧将利好马来出口需求，库存顶点或已出现，对盘面构成支撑。而国内棕榈油供应较宽松，需求方面在冬季消费淡季下增量有限。近期豆油下游成交有所回暖，表观消费增加，因棕榈油进入季节性消费淡季提振豆油替代消费，且各地防疫政策放宽或刺激餐饮消费，春节前仍有集中备货需求。随着11月进口大豆到港陆续增加，港口大豆库存开始累库。油厂压榨持续恢复后供应预计由紧转宽，豆油预计进入累库阶段，继续观望。菜油在供应边际预期改善下，现货价继续回落，基差松动。随着加籽大量上市，国内第四季进口度预估到港为180万吨。菜籽库存随着11月到港增加而回升，但由于部分船期延迟等到港不及预期。同时在刚需以及临近春节前备货下，菜油库存修复仍需时间。预计油脂在四季度供应边际增加下，上方空间有限，短期油脂单边仍然受原油及宏观扰动带来宽幅波动，建议波段操作，中长期关注供给格局转变带来的菜油空配机会。</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6" w:name="_Toc31130"/>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期价继续弱势</w:t>
      </w:r>
      <w:bookmarkEnd w:id="36"/>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由于国内现货价格持续飙升，加上国内疫情防控政策发生一些变化，带动前期供需阶段性紧张局面有所缓解。而外盘CBOT玉米期价持续弱势，美湾FOB升贴水大幅回落，加上人民币升值因素，进口到港成本大幅回落，已经较国产玉米具备性价比优势。在这种情况下，可以合理预期市场或逐步转向新作上市压力。观点由前期中性转为谨慎看空，建议谨慎投资者观点，激进投资者可以考虑轻仓试空。</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出现显著分化，近月收窄而远月继续走扩，表现分化的主要原因有二，其一是疫情对需求的抑制导致供需改善后移，其二是副产品价格下跌的节奏影响行业期现货生产利润以及行业开率乃至行业供需的传导。但需要留意的是，接下来淀粉-玉米价差同样面临原料端即玉米期现货回落的风险，我们建议投资者前期淀粉-玉米价差可考虑获利离场。</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18255"/>
      <w:r>
        <w:rPr>
          <w:rFonts w:hint="eastAsia" w:ascii="楷体" w:hAnsi="楷体" w:eastAsia="楷体"/>
          <w:b/>
          <w:bCs/>
          <w:color w:val="000000" w:themeColor="text1"/>
          <w14:textFill>
            <w14:solidFill>
              <w14:schemeClr w14:val="tx1"/>
            </w14:solidFill>
          </w14:textFill>
        </w:rPr>
        <w:t>畜禽养殖：鸡蛋期价大幅上涨</w:t>
      </w:r>
      <w:bookmarkEnd w:id="37"/>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由于猪价于10月下旬见到目前已知高点，随后持续大幅回落，市场多拿今年与2019年进行对比，继而预计生猪周期拐点或已经出现。但需要留意的是今年供应包括进口、储备和冷冻库存均相对低于2019年。考虑到随着气温下降，市场熏腊需求逐步启动，接下来市场将根据现货走势来判断供需状况，如果现货表现持续强势，则市场预期可能发生改变，因前期现货弱势可以理解为主要源于疫情对需求的抑制。在这种情况下，观点转为谨慎看多，建议谨慎投资者观望，激进投资者可以轻仓做多。</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另一方面基于鸡蛋供需格局则需要留意养殖户淘汰和补栏意愿，及其接下来疫情等因素对需求端的影响。基于动物蛋白供应和鸡蛋自身供需格局，继续持中期看多观点，建议谨慎投资者观望，激进投资者持有前期多单。</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38" w:name="_Toc7929"/>
      <w:r>
        <w:rPr>
          <w:rFonts w:hint="eastAsia" w:ascii="楷体" w:hAnsi="楷体" w:eastAsia="楷体"/>
          <w:b/>
          <w:sz w:val="24"/>
          <w:szCs w:val="24"/>
        </w:rPr>
        <w:t>郑棉：希翼中国需求好转，美棉小幅上涨。郑棉震荡整理，持有03看涨期权卖权</w:t>
      </w:r>
      <w:bookmarkEnd w:id="38"/>
    </w:p>
    <w:p>
      <w:pPr>
        <w:ind w:left="630" w:leftChars="300"/>
        <w:rPr>
          <w:rFonts w:ascii="楷体" w:hAnsi="楷体" w:eastAsia="楷体"/>
          <w:sz w:val="24"/>
          <w:szCs w:val="24"/>
        </w:rPr>
      </w:pPr>
      <w:r>
        <w:rPr>
          <w:rFonts w:hint="eastAsia" w:ascii="楷体" w:hAnsi="楷体" w:eastAsia="楷体"/>
          <w:sz w:val="24"/>
          <w:szCs w:val="24"/>
        </w:rPr>
        <w:t>虽然疫情管控措施放宽，各地物流有所好转，但因天气寒冷积雪，棉花出疆速度依然受限。下游棉纱市场多平淡观望，由于纺织淡季及年底来临订单不佳，纺织需求恢复缓慢，且成品库存高位，货款回收缓慢，大部分企业依旧认为降产减产为稳固运营的最佳选择。</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12779"/>
      <w:bookmarkStart w:id="40" w:name="_Toc98426751"/>
      <w:bookmarkStart w:id="41" w:name="_Toc72481108"/>
      <w:bookmarkStart w:id="42" w:name="_Toc19667"/>
      <w:bookmarkStart w:id="43" w:name="_Toc71212556"/>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2022年12月6日星期二</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100732C8"/>
    <w:rsid w:val="10DA6205"/>
    <w:rsid w:val="129B2E20"/>
    <w:rsid w:val="15D52593"/>
    <w:rsid w:val="1B8A2034"/>
    <w:rsid w:val="1BC72FF7"/>
    <w:rsid w:val="1D5030CD"/>
    <w:rsid w:val="20AE4DE8"/>
    <w:rsid w:val="21996AC1"/>
    <w:rsid w:val="219F3EE2"/>
    <w:rsid w:val="26F95364"/>
    <w:rsid w:val="2DE440F7"/>
    <w:rsid w:val="340E7198"/>
    <w:rsid w:val="373F75CC"/>
    <w:rsid w:val="3B3306F0"/>
    <w:rsid w:val="3B563B4D"/>
    <w:rsid w:val="3C2825B0"/>
    <w:rsid w:val="3C2B26B7"/>
    <w:rsid w:val="3EE0186C"/>
    <w:rsid w:val="441077D2"/>
    <w:rsid w:val="44396064"/>
    <w:rsid w:val="51266B84"/>
    <w:rsid w:val="548642E9"/>
    <w:rsid w:val="56DD4D3A"/>
    <w:rsid w:val="59C52328"/>
    <w:rsid w:val="5D5617A6"/>
    <w:rsid w:val="5EA7685B"/>
    <w:rsid w:val="62710E5F"/>
    <w:rsid w:val="64C32497"/>
    <w:rsid w:val="66D04BBC"/>
    <w:rsid w:val="713E0334"/>
    <w:rsid w:val="72F62A89"/>
    <w:rsid w:val="737357AF"/>
    <w:rsid w:val="778F5135"/>
    <w:rsid w:val="78E5599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7</Pages>
  <Words>5659</Words>
  <Characters>6151</Characters>
  <Lines>50</Lines>
  <Paragraphs>14</Paragraphs>
  <TotalTime>0</TotalTime>
  <ScaleCrop>false</ScaleCrop>
  <LinksUpToDate>false</LinksUpToDate>
  <CharactersWithSpaces>6173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2022-12-06T01:50:18Z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