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bookmarkStart w:id="42" w:name="_GoBack"/>
      <w:bookmarkEnd w:id="42"/>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_Toc21716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_Toc3881 </w:instrText>
          </w:r>
          <w:r>
            <w:rPr>
              <w:bCs/>
            </w:rPr>
            <w:fldChar w:fldCharType="separate"/>
          </w:r>
          <w:r>
            <w:rPr>
              <w:rFonts w:hint="eastAsia" w:ascii="Times New Roman" w:hAnsi="Times New Roman" w:eastAsia="楷体"/>
              <w:szCs w:val="24"/>
            </w:rPr>
            <w:t>股指：观望为主</w:t>
          </w:r>
          <w:r>
            <w:rPr>
              <w:bCs/>
            </w:rPr>
            <w:fldChar w:fldCharType="end"/>
          </w:r>
        </w:p>
        <w:p>
          <w:pPr>
            <w:pStyle w:val="5"/>
            <w:tabs>
              <w:tab w:val="right" w:leader="dot" w:pos="8306"/>
            </w:tabs>
          </w:pPr>
          <w:r>
            <w:rPr>
              <w:bCs/>
            </w:rPr>
            <w:fldChar w:fldCharType="begin"/>
          </w:r>
          <w:r>
            <w:rPr>
              <w:bCs/>
            </w:rPr>
            <w:instrText xml:space="preserve"> HYPERLINK \l _Toc26606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_Toc29500 </w:instrText>
          </w:r>
          <w:r>
            <w:rPr>
              <w:bCs/>
            </w:rPr>
            <w:fldChar w:fldCharType="separate"/>
          </w:r>
          <w:r>
            <w:rPr>
              <w:rFonts w:hint="eastAsia" w:ascii="楷体" w:hAnsi="楷体" w:eastAsia="楷体"/>
              <w:szCs w:val="24"/>
            </w:rPr>
            <w:t>螺纹钢：政策利好现实偏稳下，偏强运行</w:t>
          </w:r>
          <w:r>
            <w:rPr>
              <w:bCs/>
            </w:rPr>
            <w:fldChar w:fldCharType="end"/>
          </w:r>
        </w:p>
        <w:p>
          <w:pPr>
            <w:pStyle w:val="6"/>
            <w:tabs>
              <w:tab w:val="right" w:leader="dot" w:pos="8306"/>
            </w:tabs>
          </w:pPr>
          <w:r>
            <w:rPr>
              <w:bCs/>
            </w:rPr>
            <w:fldChar w:fldCharType="begin"/>
          </w:r>
          <w:r>
            <w:rPr>
              <w:bCs/>
            </w:rPr>
            <w:instrText xml:space="preserve"> HYPERLINK \l _Toc18860 </w:instrText>
          </w:r>
          <w:r>
            <w:rPr>
              <w:bCs/>
            </w:rPr>
            <w:fldChar w:fldCharType="separate"/>
          </w:r>
          <w:r>
            <w:rPr>
              <w:rFonts w:hint="eastAsia" w:ascii="楷体" w:hAnsi="楷体" w:eastAsia="楷体"/>
              <w:szCs w:val="24"/>
            </w:rPr>
            <w:t>焦炭：焦炭第一轮提涨部分落地，市场偏强运行</w:t>
          </w:r>
          <w:r>
            <w:rPr>
              <w:bCs/>
            </w:rPr>
            <w:fldChar w:fldCharType="end"/>
          </w:r>
        </w:p>
        <w:p>
          <w:pPr>
            <w:pStyle w:val="6"/>
            <w:tabs>
              <w:tab w:val="right" w:leader="dot" w:pos="8306"/>
            </w:tabs>
          </w:pPr>
          <w:r>
            <w:rPr>
              <w:bCs/>
            </w:rPr>
            <w:fldChar w:fldCharType="begin"/>
          </w:r>
          <w:r>
            <w:rPr>
              <w:bCs/>
            </w:rPr>
            <w:instrText xml:space="preserve"> HYPERLINK \l _Toc29118 </w:instrText>
          </w:r>
          <w:r>
            <w:rPr>
              <w:bCs/>
            </w:rPr>
            <w:fldChar w:fldCharType="separate"/>
          </w:r>
          <w:r>
            <w:rPr>
              <w:rFonts w:hint="eastAsia" w:ascii="楷体" w:hAnsi="楷体" w:eastAsia="楷体"/>
              <w:szCs w:val="24"/>
            </w:rPr>
            <w:t>焦煤：部分焦企开始冬储，煤价偏强运行</w:t>
          </w:r>
          <w:r>
            <w:rPr>
              <w:bCs/>
            </w:rPr>
            <w:fldChar w:fldCharType="end"/>
          </w:r>
        </w:p>
        <w:p>
          <w:pPr>
            <w:pStyle w:val="6"/>
            <w:tabs>
              <w:tab w:val="right" w:leader="dot" w:pos="8306"/>
            </w:tabs>
          </w:pPr>
          <w:r>
            <w:rPr>
              <w:bCs/>
            </w:rPr>
            <w:fldChar w:fldCharType="begin"/>
          </w:r>
          <w:r>
            <w:rPr>
              <w:bCs/>
            </w:rPr>
            <w:instrText xml:space="preserve"> HYPERLINK \l _Toc31254 </w:instrText>
          </w:r>
          <w:r>
            <w:rPr>
              <w:bCs/>
            </w:rPr>
            <w:fldChar w:fldCharType="separate"/>
          </w:r>
          <w:r>
            <w:rPr>
              <w:rFonts w:hint="eastAsia" w:ascii="楷体" w:hAnsi="楷体" w:eastAsia="楷体"/>
              <w:szCs w:val="24"/>
            </w:rPr>
            <w:t>铜：短期驱动有限，区间震荡为主</w:t>
          </w:r>
          <w:r>
            <w:rPr>
              <w:bCs/>
            </w:rPr>
            <w:fldChar w:fldCharType="end"/>
          </w:r>
        </w:p>
        <w:p>
          <w:pPr>
            <w:pStyle w:val="6"/>
            <w:tabs>
              <w:tab w:val="right" w:leader="dot" w:pos="8306"/>
            </w:tabs>
          </w:pPr>
          <w:r>
            <w:rPr>
              <w:bCs/>
            </w:rPr>
            <w:fldChar w:fldCharType="begin"/>
          </w:r>
          <w:r>
            <w:rPr>
              <w:bCs/>
            </w:rPr>
            <w:instrText xml:space="preserve"> HYPERLINK \l _Toc5975 </w:instrText>
          </w:r>
          <w:r>
            <w:rPr>
              <w:bCs/>
            </w:rPr>
            <w:fldChar w:fldCharType="separate"/>
          </w:r>
          <w:r>
            <w:rPr>
              <w:rFonts w:hint="eastAsia" w:ascii="楷体" w:hAnsi="楷体" w:eastAsia="楷体"/>
              <w:szCs w:val="24"/>
            </w:rPr>
            <w:t>铝：多空因子干扰，价格宽幅震荡为主</w:t>
          </w:r>
          <w:r>
            <w:rPr>
              <w:bCs/>
            </w:rPr>
            <w:fldChar w:fldCharType="end"/>
          </w:r>
        </w:p>
        <w:p>
          <w:pPr>
            <w:pStyle w:val="6"/>
            <w:tabs>
              <w:tab w:val="right" w:leader="dot" w:pos="8306"/>
            </w:tabs>
          </w:pPr>
          <w:r>
            <w:rPr>
              <w:bCs/>
            </w:rPr>
            <w:fldChar w:fldCharType="begin"/>
          </w:r>
          <w:r>
            <w:rPr>
              <w:bCs/>
            </w:rPr>
            <w:instrText xml:space="preserve"> HYPERLINK \l _Toc13545 </w:instrText>
          </w:r>
          <w:r>
            <w:rPr>
              <w:bCs/>
            </w:rPr>
            <w:fldChar w:fldCharType="separate"/>
          </w:r>
          <w:r>
            <w:rPr>
              <w:rFonts w:hint="eastAsia" w:ascii="楷体" w:hAnsi="楷体" w:eastAsia="楷体"/>
              <w:szCs w:val="24"/>
            </w:rPr>
            <w:t>锌：宏观利好叠加低库存之臣，沪锌偏强宽幅震荡</w:t>
          </w:r>
          <w:r>
            <w:rPr>
              <w:bCs/>
            </w:rPr>
            <w:fldChar w:fldCharType="end"/>
          </w:r>
        </w:p>
        <w:p>
          <w:pPr>
            <w:pStyle w:val="6"/>
            <w:tabs>
              <w:tab w:val="right" w:leader="dot" w:pos="8306"/>
            </w:tabs>
          </w:pPr>
          <w:r>
            <w:rPr>
              <w:bCs/>
            </w:rPr>
            <w:fldChar w:fldCharType="begin"/>
          </w:r>
          <w:r>
            <w:rPr>
              <w:bCs/>
            </w:rPr>
            <w:instrText xml:space="preserve"> HYPERLINK \l _Toc29599 </w:instrText>
          </w:r>
          <w:r>
            <w:rPr>
              <w:bCs/>
            </w:rPr>
            <w:fldChar w:fldCharType="separate"/>
          </w:r>
          <w:r>
            <w:rPr>
              <w:rFonts w:hint="eastAsia" w:ascii="楷体" w:hAnsi="楷体" w:eastAsia="楷体"/>
              <w:szCs w:val="24"/>
            </w:rPr>
            <w:t>工业硅：供应扰动仍未好转，预计硅价高位震荡运行</w:t>
          </w:r>
          <w:r>
            <w:rPr>
              <w:bCs/>
            </w:rPr>
            <w:fldChar w:fldCharType="end"/>
          </w:r>
        </w:p>
        <w:p>
          <w:pPr>
            <w:pStyle w:val="5"/>
            <w:tabs>
              <w:tab w:val="right" w:leader="dot" w:pos="8306"/>
            </w:tabs>
          </w:pPr>
          <w:r>
            <w:rPr>
              <w:bCs/>
            </w:rPr>
            <w:fldChar w:fldCharType="begin"/>
          </w:r>
          <w:r>
            <w:rPr>
              <w:bCs/>
            </w:rPr>
            <w:instrText xml:space="preserve"> HYPERLINK \l _Toc19181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_Toc15777 </w:instrText>
          </w:r>
          <w:r>
            <w:rPr>
              <w:bCs/>
            </w:rPr>
            <w:fldChar w:fldCharType="separate"/>
          </w:r>
          <w:r>
            <w:rPr>
              <w:rFonts w:hint="eastAsia" w:ascii="Times New Roman" w:hAnsi="Times New Roman" w:eastAsia="楷体"/>
              <w:szCs w:val="24"/>
            </w:rPr>
            <w:t>乙二醇：成本端走弱叠加供增需减  建议轻仓空单持有</w:t>
          </w:r>
          <w:r>
            <w:rPr>
              <w:bCs/>
            </w:rPr>
            <w:fldChar w:fldCharType="end"/>
          </w:r>
        </w:p>
        <w:p>
          <w:pPr>
            <w:pStyle w:val="6"/>
            <w:tabs>
              <w:tab w:val="right" w:leader="dot" w:pos="8306"/>
            </w:tabs>
          </w:pPr>
          <w:r>
            <w:rPr>
              <w:bCs/>
            </w:rPr>
            <w:fldChar w:fldCharType="begin"/>
          </w:r>
          <w:r>
            <w:rPr>
              <w:bCs/>
            </w:rPr>
            <w:instrText xml:space="preserve"> HYPERLINK \l _Toc8917 </w:instrText>
          </w:r>
          <w:r>
            <w:rPr>
              <w:bCs/>
            </w:rPr>
            <w:fldChar w:fldCharType="separate"/>
          </w:r>
          <w:r>
            <w:rPr>
              <w:rFonts w:ascii="楷体" w:hAnsi="楷体" w:eastAsia="楷体"/>
              <w:szCs w:val="24"/>
            </w:rPr>
            <w:t>PTA</w:t>
          </w:r>
          <w:r>
            <w:rPr>
              <w:rFonts w:hint="eastAsia" w:ascii="楷体" w:hAnsi="楷体" w:eastAsia="楷体"/>
              <w:szCs w:val="24"/>
            </w:rPr>
            <w:t>：受油价走低及需求疲软拖累  PTA走势偏空</w:t>
          </w:r>
          <w:r>
            <w:rPr>
              <w:bCs/>
            </w:rPr>
            <w:fldChar w:fldCharType="end"/>
          </w:r>
        </w:p>
        <w:p>
          <w:pPr>
            <w:pStyle w:val="5"/>
            <w:tabs>
              <w:tab w:val="right" w:leader="dot" w:pos="8306"/>
            </w:tabs>
          </w:pPr>
          <w:r>
            <w:rPr>
              <w:bCs/>
            </w:rPr>
            <w:fldChar w:fldCharType="begin"/>
          </w:r>
          <w:r>
            <w:rPr>
              <w:bCs/>
            </w:rPr>
            <w:instrText xml:space="preserve"> HYPERLINK \l _Toc1466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_Toc1595 </w:instrText>
          </w:r>
          <w:r>
            <w:rPr>
              <w:bCs/>
            </w:rPr>
            <w:fldChar w:fldCharType="separate"/>
          </w:r>
          <w:r>
            <w:rPr>
              <w:rFonts w:hint="eastAsia" w:ascii="楷体" w:hAnsi="楷体" w:eastAsia="楷体"/>
              <w:szCs w:val="24"/>
            </w:rPr>
            <w:t>豆粕：短期多空博弈维持高位震荡</w:t>
          </w:r>
          <w:r>
            <w:rPr>
              <w:bCs/>
            </w:rPr>
            <w:fldChar w:fldCharType="end"/>
          </w:r>
        </w:p>
        <w:p>
          <w:pPr>
            <w:pStyle w:val="6"/>
            <w:tabs>
              <w:tab w:val="right" w:leader="dot" w:pos="8306"/>
            </w:tabs>
          </w:pPr>
          <w:r>
            <w:rPr>
              <w:bCs/>
            </w:rPr>
            <w:fldChar w:fldCharType="begin"/>
          </w:r>
          <w:r>
            <w:rPr>
              <w:bCs/>
            </w:rPr>
            <w:instrText xml:space="preserve"> HYPERLINK \l _Toc10012 </w:instrText>
          </w:r>
          <w:r>
            <w:rPr>
              <w:bCs/>
            </w:rPr>
            <w:fldChar w:fldCharType="separate"/>
          </w:r>
          <w:r>
            <w:rPr>
              <w:rFonts w:hint="eastAsia" w:ascii="楷体" w:hAnsi="楷体" w:eastAsia="楷体"/>
              <w:szCs w:val="24"/>
            </w:rPr>
            <w:t>油脂：走势延续分化</w:t>
          </w:r>
          <w:r>
            <w:rPr>
              <w:bCs/>
            </w:rPr>
            <w:fldChar w:fldCharType="end"/>
          </w:r>
        </w:p>
        <w:p>
          <w:pPr>
            <w:pStyle w:val="6"/>
            <w:tabs>
              <w:tab w:val="right" w:leader="dot" w:pos="8306"/>
            </w:tabs>
          </w:pPr>
          <w:r>
            <w:rPr>
              <w:bCs/>
            </w:rPr>
            <w:fldChar w:fldCharType="begin"/>
          </w:r>
          <w:r>
            <w:rPr>
              <w:bCs/>
            </w:rPr>
            <w:instrText xml:space="preserve"> HYPERLINK \l _Toc17277 </w:instrText>
          </w:r>
          <w:r>
            <w:rPr>
              <w:bCs/>
            </w:rPr>
            <w:fldChar w:fldCharType="separate"/>
          </w:r>
          <w:r>
            <w:rPr>
              <w:rFonts w:hint="eastAsia" w:ascii="楷体" w:hAnsi="楷体" w:eastAsia="楷体"/>
              <w:bCs/>
            </w:rPr>
            <w:t>玉米与淀粉：</w:t>
          </w:r>
          <w:r>
            <w:rPr>
              <w:rFonts w:hint="eastAsia" w:ascii="楷体" w:hAnsi="楷体" w:eastAsia="楷体"/>
            </w:rPr>
            <w:t>期价近强远弱严重分化</w:t>
          </w:r>
          <w:r>
            <w:rPr>
              <w:bCs/>
            </w:rPr>
            <w:fldChar w:fldCharType="end"/>
          </w:r>
        </w:p>
        <w:p>
          <w:pPr>
            <w:pStyle w:val="6"/>
            <w:tabs>
              <w:tab w:val="right" w:leader="dot" w:pos="8306"/>
            </w:tabs>
          </w:pPr>
          <w:r>
            <w:rPr>
              <w:bCs/>
            </w:rPr>
            <w:fldChar w:fldCharType="begin"/>
          </w:r>
          <w:r>
            <w:rPr>
              <w:bCs/>
            </w:rPr>
            <w:instrText xml:space="preserve"> HYPERLINK \l _Toc32445 </w:instrText>
          </w:r>
          <w:r>
            <w:rPr>
              <w:bCs/>
            </w:rPr>
            <w:fldChar w:fldCharType="separate"/>
          </w:r>
          <w:r>
            <w:rPr>
              <w:rFonts w:hint="eastAsia" w:ascii="楷体" w:hAnsi="楷体" w:eastAsia="楷体"/>
              <w:bCs/>
            </w:rPr>
            <w:t>畜禽养殖：生猪现货带动近月期价大幅下跌</w:t>
          </w:r>
          <w:r>
            <w:rPr>
              <w:bCs/>
            </w:rPr>
            <w:fldChar w:fldCharType="end"/>
          </w:r>
        </w:p>
        <w:p>
          <w:pPr>
            <w:pStyle w:val="6"/>
            <w:tabs>
              <w:tab w:val="right" w:leader="dot" w:pos="8306"/>
            </w:tabs>
          </w:pPr>
          <w:r>
            <w:rPr>
              <w:bCs/>
            </w:rPr>
            <w:fldChar w:fldCharType="begin"/>
          </w:r>
          <w:r>
            <w:rPr>
              <w:bCs/>
            </w:rPr>
            <w:instrText xml:space="preserve"> HYPERLINK \l _Toc13189 </w:instrText>
          </w:r>
          <w:r>
            <w:rPr>
              <w:bCs/>
            </w:rPr>
            <w:fldChar w:fldCharType="separate"/>
          </w:r>
          <w:r>
            <w:rPr>
              <w:rFonts w:hint="eastAsia" w:ascii="楷体" w:hAnsi="楷体" w:eastAsia="楷体"/>
              <w:szCs w:val="24"/>
            </w:rPr>
            <w:t>郑棉：郑棉进入震荡区间，空单持有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1716"/>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3881"/>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观望为主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昨日盘后政策信号频出，短线上提振市场交易情绪，而多地疫情形势严峻，仍有担忧，市场关注点回归稳增长，中期上涨驱动还需看到政策刺激的远期效果及合理的外推逻辑， 勿盲目追高，观望为主。1）美联储于11月货币政策会议纪要，显示出12月开始放缓加息步伐基本确定；2）国常会再提降准，有望释放流动性，缓解中小行资金压力；3）银保监会联合通知“做好当前金融支持房地产市场平稳健康发展工作”，强化保交楼和稳增长的决心。</w:t>
      </w:r>
    </w:p>
    <w:p>
      <w:pPr>
        <w:pBdr>
          <w:top w:val="single" w:color="auto" w:sz="4" w:space="0"/>
        </w:pBdr>
        <w:outlineLvl w:val="0"/>
        <w:rPr>
          <w:rFonts w:ascii="Times New Roman" w:hAnsi="Times New Roman" w:eastAsia="楷体"/>
          <w:b/>
          <w:color w:val="823C0B"/>
          <w:sz w:val="30"/>
          <w:szCs w:val="30"/>
        </w:rPr>
      </w:pPr>
      <w:bookmarkStart w:id="7" w:name="_Toc3096"/>
      <w:bookmarkStart w:id="8" w:name="金属"/>
      <w:bookmarkStart w:id="9" w:name="_Toc20891"/>
      <w:bookmarkStart w:id="10" w:name="_Toc26606"/>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29500"/>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14:textFill>
            <w14:solidFill>
              <w14:schemeClr w14:val="tx1"/>
            </w14:solidFill>
          </w14:textFill>
        </w:rPr>
        <w:t>政策利好现实偏稳下，偏强运行</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常会释放降准信号，稳增长的重要性更加突出。看现实矛盾并不突出，冬储前原料价格支撑较强，钢价较难大跌。预计RB01合约价格中枢在（3500,3800），目前正处于前期乐观预期修正过程，价格从上半区间向下半区间调整过程中。05合约受预期影响较大，1-5正套建议继续持有。01合约的强支撑在（3500,3600），从弹性上看05逢低做多价值更大，建议关注05合约（3400,3500）区间逢低做多的机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18860"/>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焦炭第一轮提涨部分落地，市场偏强运行</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集港利润转正下，钢厂补库及贸易商补库分担焦化厂的库存压力，焦化厂有所复产，从而对焦煤补库力度有所上升，提涨未落地下，焦化厂静态亏损有所扩大。前期乐观预期推动盘面下，利多集中释放后现实压力推动盘面回落，盘面有所回落。后续随成材波动。焦炭01合约短期依旧在（2630，2830）波动，若小幅度调整下或围绕中枢2730上下50点波动。</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29118"/>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部分焦企开始冬储，煤价偏强运行</w:t>
      </w:r>
      <w:bookmarkEnd w:id="18"/>
    </w:p>
    <w:p>
      <w:pPr>
        <w:ind w:left="630" w:leftChars="300"/>
        <w:rPr>
          <w:rFonts w:ascii="楷体" w:hAnsi="楷体" w:eastAsia="楷体"/>
          <w:bCs/>
          <w:sz w:val="24"/>
          <w:szCs w:val="24"/>
        </w:rPr>
      </w:pPr>
      <w:r>
        <w:rPr>
          <w:rFonts w:hint="eastAsia" w:ascii="楷体" w:hAnsi="楷体" w:eastAsia="楷体"/>
          <w:sz w:val="24"/>
          <w:szCs w:val="24"/>
        </w:rPr>
        <w:t>国内煤矿产量或继续修复，蒙煤通关数量持续上行，整体供应或偏稳有进，但高度或有限。铁水需求阶段性见底，海外焦炭出口下滑缓解国内碳元素供应压力。从日耗角度看看，碳元素在日耗上相对平衡，总库存小幅度累积。焦煤01合约或在（1950，2200）波动，若小幅度调整或围绕2100上下50点波动，若大幅度调整下，01合约以前底为支撑，焦煤05合约强支撑约在（1550,1600）。</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25617"/>
      <w:bookmarkStart w:id="20" w:name="_Toc9719"/>
      <w:bookmarkStart w:id="21" w:name="_Toc31254"/>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短期驱动有限，区间震荡为主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(1)库存：11月22日，SHFE仓单库存41815吨，减4025吨。LME仓单库存91875吨，增625吨。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(2)精废价差：11月22日，Mysteel精废价差1680，扩大82。目前价差在合理价差1354之上。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预期反复对短期价格形成扰动，但海外经济持续走弱大背景下，铜价仍将受到压制，当前仍需等待数据的进一步验证，包含美国通胀、制造业PMI、失业率及欧洲等经济体的经济数据表现。微观指标看，基本面存转弱迹象，但低库存格局仍然存在，且持续性有待观察，短期无法给价格带来明显压力。预计维持区间震荡，参考64000-68000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2" w:name="_Toc6247"/>
      <w:bookmarkStart w:id="23" w:name="_Toc8897"/>
      <w:bookmarkStart w:id="24" w:name="_Toc5975"/>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多空因子干扰，价格宽幅震荡为主</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根据联储11月纪要，市场预测美联储加息节奏放缓，美元指数再度承压，宏观压力减弱。国际地缘政治冲突持续，国内疫情爆发多地实行封控，对四季度市场经济有消极影响。从基本面来看，铝产供应整体有增有减，生态环境部发布重污染天气消除方案，未来铝产再受环保限产影响或有减停产动作。国内铝型材出口量持续下滑，显示海外需求疲弱，消费依赖国内经济拉动，房地产利好政策频出，银保监会支持民营企业债券融资，“保交楼”2000亿专款投放，铝市仍有消费向好预期但暂未见消费明显改善拐点，库存国内外均处低位，国内社库保持下降态势。综合来看，供应缓慢修复，需求表现平淡，低库存持续探底为价格提供支撑动力，铝价表现为宽幅震荡运行，关注18400-19500区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3545"/>
      <w:r>
        <w:rPr>
          <w:rFonts w:hint="eastAsia" w:ascii="楷体" w:hAnsi="楷体" w:eastAsia="楷体"/>
          <w:b/>
          <w:color w:val="000000" w:themeColor="text1"/>
          <w:sz w:val="24"/>
          <w:szCs w:val="24"/>
          <w14:textFill>
            <w14:solidFill>
              <w14:schemeClr w14:val="tx1"/>
            </w14:solidFill>
          </w14:textFill>
        </w:rPr>
        <w:t>锌：宏观利好叠加低库存之臣，沪锌偏强宽幅震荡</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23日沪锌隔夜收盘价格23740元/吨，涨幅0.34%，上海有色网0#锌锭（Zn99.995）现货报价24090元/吨，较上一统计日报价下跌70元/吨。，根据联储公布纪要，多数官员支持放缓加息，美元走势向下。欧洲锌产限产，冶炼龙头Nyrstar表示11月将重启荷兰产能，伦锌库存持续下行，刷新三十二年新低，海外需求疲弱，伦锌低位运行。国常会表示适当运用降息降准等货币政策工具以保持市场流动性充裕，央行、银保监会召开会议表示加强重点领域信贷支持力度，央行拟向商业银行提供2000亿免息再贷款用于支持“保交楼”，未来国内地产拉动消费预期向好。疫情之下内蒙古现货运输受到影响，陕西部分冶炼厂减产，四川部分炼厂因不符合环保要求进行减停产，广东、广西、云南、湖南计划恢复生产，供应有增有减，中游冶炼利润上涨，企业开工情绪转好，下游消费逢低价补库，贸易商惜货出售，锌价价格高位回调下方仍有支撑，整体沪锌偏强宽幅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6" w:name="_Toc2959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供应扰动仍未好转，预计硅价高位震荡运行</w:t>
      </w:r>
      <w:bookmarkEnd w:id="26"/>
    </w:p>
    <w:p>
      <w:pPr>
        <w:ind w:left="630" w:leftChars="300"/>
        <w:rPr>
          <w:rFonts w:ascii="楷体" w:hAnsi="楷体" w:eastAsia="楷体"/>
          <w:sz w:val="24"/>
          <w:szCs w:val="24"/>
        </w:rPr>
      </w:pPr>
      <w:r>
        <w:rPr>
          <w:rFonts w:hint="eastAsia" w:ascii="楷体" w:hAnsi="楷体" w:eastAsia="楷体"/>
          <w:sz w:val="24"/>
          <w:szCs w:val="24"/>
        </w:rPr>
        <w:t>11月23日，华东地区553（通氧）20200元/吨，较上个统计日下降200元/吨，近期市场整体偏弱运行。供应方面，新疆地区生产受疫情影响开工低位，云南怒江电力检修导致停炉较多，以及川滇地区步入枯水期电价上调，整体成本有所上升。需求方面，有机硅、铝合金以及出口仍旧偏弱，多晶硅产能逐步释放对市场仍有支撑。 综合来看，当前市场仍有支撑，但行业高库存也将压制大反弹行情，预计短期市场将高位震荡运行。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19181"/>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sz w:val="24"/>
          <w:szCs w:val="24"/>
        </w:rPr>
      </w:pPr>
      <w:bookmarkStart w:id="29" w:name="_Toc15777"/>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成本端走弱叠加供增需减  建议轻仓空单持有</w:t>
      </w:r>
      <w:bookmarkEnd w:id="29"/>
    </w:p>
    <w:p>
      <w:pPr>
        <w:ind w:left="630" w:leftChars="300"/>
        <w:rPr>
          <w:rFonts w:ascii="楷体" w:hAnsi="楷体" w:eastAsia="楷体"/>
          <w:sz w:val="24"/>
          <w:szCs w:val="24"/>
        </w:rPr>
      </w:pPr>
      <w:r>
        <w:rPr>
          <w:rFonts w:hint="eastAsia" w:ascii="楷体" w:hAnsi="楷体" w:eastAsia="楷体"/>
          <w:sz w:val="24"/>
          <w:szCs w:val="24"/>
        </w:rPr>
        <w:t>供需情况，11.21华东主港地区MEG港口库存约85万吨附近，环比上期减少1.4万吨。供需情况，中国大陆地区乙二醇整体开工负荷在55.14%（-1.25%），其中煤制乙二醇开工负荷在32.43%（-0.65%），乙二醇负荷小幅回落。从聚酯需求端来看，上周装置变动仍体现在长丝环节，工厂继续减产检修，而短纤瓶片则保持稳定。截至11.17初步核算国内大陆地区聚酯负荷在78%。除了短纤工厂库存水平偏低外，涤纶长丝及终端坯布库存均有30天以上。终端需求疲软现状难改，下游开工持续下滑。截至11.17，江浙加弹开工率57%（-3%）、江浙织机开工率49%（-3%）、浙江印染开工率50%（-2%）。少数加弹、织造、印染企业甚至开始安排放年假的计划，预估进入12月份以后下游放年假的现象会进一步增多。供应恢复叠加聚酯负荷走低，供需矛盾加剧。综合来看，聚酯及终端已经开启降负，部分聚酯工厂陆续落实减产动作，需求环节支撑逐步下滑。后期新装置货源陆续兑现市场后现货端口依旧承压明显，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891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：受油价走低及需求疲软拖累  PTA走势偏空</w:t>
      </w:r>
      <w:bookmarkEnd w:id="3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PTA成本端来看，PX开工率提升至76%，新装置投产在即，PX价格回落。PTA供需方面，部分PTA装置开启停车或检修，如恒力2#、逸盛225万吨装置后期有停车计划，英力士近期负荷降至7成偏下，其一套产能110万吨的装置11月中计划停车检修降负，亚东石化75万吨装置11月底停车。综合来看，PTA整体负荷在72~73%附近波动。聚酯方面，本周装置变动仍体现在长丝环节，工厂继续减产检修，而短纤瓶片则保持稳定。截至11.17，初步核算国内大陆地区聚酯负荷在78%（-1%）。终端方面，坯布订单和出货氛围均偏弱维持，染厂和织造环节开工持续走弱，涤丝缺乏需求。综合来看，PXN的价差大幅收缩，PTA的成本端走低带动加工费较前期大幅提升。然下游聚酯减产幅度扩大，TA高加工费不可持续。受油价走低及需求疲软拖累，PTA走势偏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1" w:name="_Toc1466"/>
      <w:r>
        <w:rPr>
          <w:rFonts w:hint="eastAsia" w:ascii="Times New Roman" w:hAnsi="Times New Roman" w:eastAsia="楷体"/>
          <w:b/>
          <w:color w:val="823C0B"/>
          <w:sz w:val="30"/>
          <w:szCs w:val="30"/>
        </w:rPr>
        <w:t>[农产品]</w:t>
      </w:r>
      <w:bookmarkEnd w:id="11"/>
      <w:bookmarkEnd w:id="31"/>
    </w:p>
    <w:p>
      <w:pPr>
        <w:ind w:left="420" w:leftChars="200"/>
        <w:outlineLvl w:val="1"/>
        <w:rPr>
          <w:rFonts w:hint="eastAsia" w:ascii="楷体" w:hAnsi="楷体" w:eastAsia="楷体"/>
          <w:b/>
          <w:sz w:val="24"/>
          <w:szCs w:val="24"/>
        </w:rPr>
      </w:pPr>
      <w:bookmarkStart w:id="32" w:name="_Toc1595"/>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短期多空博弈维持高位震荡</w:t>
      </w:r>
      <w:bookmarkEnd w:id="32"/>
    </w:p>
    <w:p>
      <w:pPr>
        <w:ind w:left="630" w:leftChars="300"/>
        <w:rPr>
          <w:rFonts w:ascii="楷体" w:hAnsi="楷体" w:eastAsia="楷体"/>
          <w:sz w:val="24"/>
          <w:szCs w:val="24"/>
        </w:rPr>
      </w:pPr>
      <w:r>
        <w:rPr>
          <w:rFonts w:hint="eastAsia" w:ascii="楷体" w:hAnsi="楷体" w:eastAsia="楷体"/>
          <w:sz w:val="24"/>
          <w:szCs w:val="24"/>
        </w:rPr>
        <w:t>外盘方面，CBOT大豆1400一线支撑较强，但当前仍缺乏强驱动。美豆目前已大部分完成收割，出口需求好转，且在南美丰产兑现前仍对盘面构成较强支撑。但需关注阿根廷大豆美元计划的实施，或会影响美豆需求。而南美在迎来有利降雨后，播种进度加快，仍需持续关注种植情况。国内市场，随着国内供应改善豆粕现货价格继续下调，基差收敛。11月进口大豆陆续到港，大豆港口库存低点已现，库存回升，但在压榨偏低及刚需下，豆粕库存再创新低，仅14.92万吨。下游近期猪价下跌明显，二次育肥临近尾声，饲企和养殖企业等采购需求减弱，维持刚需补库，豆粕需求下滑，以远月成交为主。虽预期供应增加压力显现，但连粕01合约短期在库存拐点未出现前，且强基差虽有所回落但仍处于高位下，仍对盘面构成支撑。关注油厂开工率及豆粕库存的修复情况，短线操作为主；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3" w:name="_Toc10012"/>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走势延续分化</w:t>
      </w:r>
      <w:bookmarkEnd w:id="33"/>
    </w:p>
    <w:p>
      <w:pPr>
        <w:ind w:left="630" w:leftChars="300"/>
        <w:rPr>
          <w:rFonts w:ascii="楷体" w:hAnsi="楷体" w:eastAsia="楷体"/>
          <w:sz w:val="24"/>
          <w:szCs w:val="24"/>
        </w:rPr>
      </w:pPr>
      <w:r>
        <w:rPr>
          <w:rFonts w:hint="eastAsia" w:ascii="楷体" w:hAnsi="楷体" w:eastAsia="楷体"/>
          <w:sz w:val="24"/>
          <w:szCs w:val="24"/>
        </w:rPr>
        <w:t>宏观方面，隔夜国际原油价格再度下挫，带动BMD马盘回落，警惕联动效应对内盘油脂带来的波动。棕榈油方面支撑主要来自产地减产担忧以及出口数据的乐观，东南亚棕榈油进入减产周期，叠加强降雨预估，产量担忧仍存；同时11月上半月马来棕榈油出口数据乐观，对盘面构成支撑。而国内棕榈油供应较宽松，港口库存持续回升至82.8万吨。国内需求疲软，冬季为棕榈油季节性消费淡季，因此国内消费端难形成支撑。近期豆油下游成交有所回暖，表观消费增加，棕榈油进入季节性消费淡季或提振豆油替代。短期在美豆成本端支撑以及供应紧张下，为豆油构成底部支撑。随着11月进口大豆到港陆续增加，港口大豆库存开始累库，但压榨仍未大幅增加，在供应预期增加及消费疲软下，豆油基差预计逐渐回归。菜油在供应边际预期改善下，现货价大幅回落，基差松动。随着加籽大量上市，国内第四季进口度预估到港为180万吨。11月菜籽到港逐渐回升，当前菜籽库存已明显增加，但菜油库存仍维持历史低位。因油厂压榨偏低，导致菜油库存迟迟得不到修复。预计油脂在四季度供应边际增加下，上方空间有限，短期维持宽幅震荡，建议短线顺势操作，在后续油料到港预期下豆油及菜油走势预计相对偏弱，但菜油有收储预期，因此油脂单边走势预计不会太顺畅，做缩菜棕价差可继续持有。</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34" w:name="_Toc1727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期价近强远弱严重分化</w:t>
      </w:r>
      <w:bookmarkEnd w:id="3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表现为期现背离，即期价持续下跌，这主要源于美玉米期价持续震荡回落，且人民币汇率近期升值，加上中国进口巴西玉米逐步明朗，俄罗斯同意延长黑海谷物四方协议，后期进口谷物性价比有望逐步提升；而国内现货相对强势，因渠道库存去化后处于低位，而受天气、疫情及其农户惜售心理影响玉米上量。在这种情况下，我们回到前期的逻辑上，一方面需要留意外盘走势，另一方面需要关注国内新作上市压力能否带动国内现货走弱。维持谨慎看空观点，考虑到近月基差支撑因素，可以考虑移仓到05合约上。</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上周淀粉-玉米价差大幅收窄主要源于成本端下跌的带动，但近期蛋白粕现货价格大幅下跌，有望带动淀粉副产品现货出现较大幅度下跌，继而通过淀粉期现货加工利润影响行业开机率，促进行业供需改善。在这种情况下，我们继续看多淀粉-玉米价差，特别留意淀粉副产品价格走势，建议投资者可以考虑继续持有淀粉-玉米价差套利。</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32445"/>
      <w:r>
        <w:rPr>
          <w:rFonts w:hint="eastAsia" w:ascii="楷体" w:hAnsi="楷体" w:eastAsia="楷体"/>
          <w:b/>
          <w:bCs/>
          <w:color w:val="000000" w:themeColor="text1"/>
          <w14:textFill>
            <w14:solidFill>
              <w14:schemeClr w14:val="tx1"/>
            </w14:solidFill>
          </w14:textFill>
        </w:rPr>
        <w:t>畜禽养殖：生猪现货带动近月期价大幅下跌</w:t>
      </w:r>
      <w:bookmarkEnd w:id="3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呈现远月贴水结构，接下来需要关注价格拐点出现的时间，这需要重点留意四个方面，即二次育肥、出栏节奏，需求变动和进口增量。由于猪价于10月下旬见到目前已知高点，与2019年相比提前10天左右的时间，市场纠结之处在于10月下旬下跌的定性，是季节性回调还是周期性拐点？总体来看，接下来是供需两增的阶段，之前通过二次育肥和压栏而积压的供应需要释放，与此同时，熏腊制品和春节前备货也将带动需求环比大增。具体而言，今年供应包括进口、储备和冷冻库存均相对低于2019年，而需求端存在较大变数，特别是疫情因素。综上所述，考虑到现货持续弱势，市场需要评估是供应增量抑或是疫情抑制需求，我们中期维持谨慎看多，短期转为中性，建议投资者观望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饲料成本、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36" w:name="_Toc13189"/>
      <w:r>
        <w:rPr>
          <w:rFonts w:hint="eastAsia" w:ascii="楷体" w:hAnsi="楷体" w:eastAsia="楷体"/>
          <w:b/>
          <w:sz w:val="24"/>
          <w:szCs w:val="24"/>
        </w:rPr>
        <w:t>郑棉：郑棉进入震荡区间，空单持有</w:t>
      </w:r>
      <w:bookmarkEnd w:id="36"/>
    </w:p>
    <w:p>
      <w:pPr>
        <w:ind w:left="630" w:leftChars="300"/>
        <w:rPr>
          <w:rFonts w:hint="eastAsia" w:ascii="楷体" w:hAnsi="楷体" w:eastAsia="楷体"/>
          <w:sz w:val="24"/>
          <w:szCs w:val="24"/>
        </w:rPr>
      </w:pPr>
      <w:r>
        <w:rPr>
          <w:rFonts w:hint="eastAsia" w:ascii="楷体" w:hAnsi="楷体" w:eastAsia="楷体"/>
          <w:sz w:val="24"/>
          <w:szCs w:val="24"/>
        </w:rPr>
        <w:t>纺织企业利润继续下行，随用随采，棉花成交清淡。郑棉进入震荡区间，空单持有</w:t>
      </w:r>
    </w:p>
    <w:p>
      <w:pPr>
        <w:ind w:left="630" w:leftChars="300"/>
        <w:rPr>
          <w:rFonts w:ascii="楷体" w:hAnsi="楷体" w:eastAsia="楷体"/>
          <w:sz w:val="24"/>
          <w:szCs w:val="24"/>
        </w:rPr>
      </w:pPr>
      <w:r>
        <w:rPr>
          <w:rFonts w:hint="eastAsia" w:ascii="楷体" w:hAnsi="楷体" w:eastAsia="楷体"/>
          <w:sz w:val="24"/>
          <w:szCs w:val="24"/>
        </w:rPr>
        <w:t>新棉仓单未上升到一定数量前，市场对仓单逼空依然存在着一定想法，这使郑棉近期获得极强的支撑，也变得与商品大盘和美棉走势相对独立。但由于产业端的情况实在不容乐观，而一旦大幅上涨更容易促发套期保值需求，减少产业愿意在01接货可能，1-5价差严重的倒挂也表明投机资金接货后的处理并不容易，因此资金参与度不算高。郑棉进入震荡整理期，等待后续宏观、疫情等方面的指引。</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71212556"/>
      <w:bookmarkStart w:id="38" w:name="_Toc12779"/>
      <w:bookmarkStart w:id="39" w:name="_Toc72481108"/>
      <w:bookmarkStart w:id="40" w:name="_Toc98426751"/>
      <w:bookmarkStart w:id="41" w:name="_Toc19667"/>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2022年11月24日星期四</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N2RlMzFiYjYxYmYyMmEzZDc5YTA3NDAxNTVlZmY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5D52593"/>
    <w:rsid w:val="1B8A2034"/>
    <w:rsid w:val="1BC72FF7"/>
    <w:rsid w:val="1D5030CD"/>
    <w:rsid w:val="20AE4DE8"/>
    <w:rsid w:val="219F3EE2"/>
    <w:rsid w:val="26F95364"/>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 w:val="778F513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2</TotalTime>
  <ScaleCrop>false</ScaleCrop>
  <LinksUpToDate>false</LinksUpToDate>
  <CharactersWithSpaces>7040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2022-11-24T01:38:05Z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