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bookmarkStart w:id="42" w:name="_GoBack"/>
      <w:bookmarkEnd w:id="42"/>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_Toc9449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_Toc31403 </w:instrText>
          </w:r>
          <w:r>
            <w:rPr>
              <w:bCs/>
            </w:rPr>
            <w:fldChar w:fldCharType="separate"/>
          </w:r>
          <w:r>
            <w:rPr>
              <w:rFonts w:hint="eastAsia" w:ascii="Times New Roman" w:hAnsi="Times New Roman" w:eastAsia="楷体"/>
              <w:szCs w:val="24"/>
            </w:rPr>
            <w:t>股指：观望为主</w:t>
          </w:r>
          <w:r>
            <w:rPr>
              <w:bCs/>
            </w:rPr>
            <w:fldChar w:fldCharType="end"/>
          </w:r>
        </w:p>
        <w:p>
          <w:pPr>
            <w:pStyle w:val="5"/>
            <w:tabs>
              <w:tab w:val="right" w:leader="dot" w:pos="8306"/>
            </w:tabs>
          </w:pPr>
          <w:r>
            <w:rPr>
              <w:bCs/>
            </w:rPr>
            <w:fldChar w:fldCharType="begin"/>
          </w:r>
          <w:r>
            <w:rPr>
              <w:bCs/>
            </w:rPr>
            <w:instrText xml:space="preserve"> HYPERLINK \l _Toc19381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_Toc26706 </w:instrText>
          </w:r>
          <w:r>
            <w:rPr>
              <w:bCs/>
            </w:rPr>
            <w:fldChar w:fldCharType="separate"/>
          </w:r>
          <w:r>
            <w:rPr>
              <w:rFonts w:hint="eastAsia" w:ascii="楷体" w:hAnsi="楷体" w:eastAsia="楷体"/>
              <w:szCs w:val="24"/>
            </w:rPr>
            <w:t>螺纹钢：现实需求走弱，冬储启动前的调整</w:t>
          </w:r>
          <w:r>
            <w:rPr>
              <w:bCs/>
            </w:rPr>
            <w:fldChar w:fldCharType="end"/>
          </w:r>
        </w:p>
        <w:p>
          <w:pPr>
            <w:pStyle w:val="6"/>
            <w:tabs>
              <w:tab w:val="right" w:leader="dot" w:pos="8306"/>
            </w:tabs>
          </w:pPr>
          <w:r>
            <w:rPr>
              <w:bCs/>
            </w:rPr>
            <w:fldChar w:fldCharType="begin"/>
          </w:r>
          <w:r>
            <w:rPr>
              <w:bCs/>
            </w:rPr>
            <w:instrText xml:space="preserve"> HYPERLINK \l _Toc3901 </w:instrText>
          </w:r>
          <w:r>
            <w:rPr>
              <w:bCs/>
            </w:rPr>
            <w:fldChar w:fldCharType="separate"/>
          </w:r>
          <w:r>
            <w:rPr>
              <w:rFonts w:hint="eastAsia" w:ascii="楷体" w:hAnsi="楷体" w:eastAsia="楷体"/>
              <w:szCs w:val="24"/>
            </w:rPr>
            <w:t>焦炭：焦炭第一轮提涨尚未落地，市场情绪调整</w:t>
          </w:r>
          <w:r>
            <w:rPr>
              <w:bCs/>
            </w:rPr>
            <w:fldChar w:fldCharType="end"/>
          </w:r>
        </w:p>
        <w:p>
          <w:pPr>
            <w:pStyle w:val="6"/>
            <w:tabs>
              <w:tab w:val="right" w:leader="dot" w:pos="8306"/>
            </w:tabs>
          </w:pPr>
          <w:r>
            <w:rPr>
              <w:bCs/>
            </w:rPr>
            <w:fldChar w:fldCharType="begin"/>
          </w:r>
          <w:r>
            <w:rPr>
              <w:bCs/>
            </w:rPr>
            <w:instrText xml:space="preserve"> HYPERLINK \l _Toc24680 </w:instrText>
          </w:r>
          <w:r>
            <w:rPr>
              <w:bCs/>
            </w:rPr>
            <w:fldChar w:fldCharType="separate"/>
          </w:r>
          <w:r>
            <w:rPr>
              <w:rFonts w:hint="eastAsia" w:ascii="楷体" w:hAnsi="楷体" w:eastAsia="楷体"/>
              <w:szCs w:val="24"/>
            </w:rPr>
            <w:t>焦煤：动力煤及海外需求担忧，扰动煤价</w:t>
          </w:r>
          <w:r>
            <w:rPr>
              <w:bCs/>
            </w:rPr>
            <w:fldChar w:fldCharType="end"/>
          </w:r>
        </w:p>
        <w:p>
          <w:pPr>
            <w:pStyle w:val="6"/>
            <w:tabs>
              <w:tab w:val="right" w:leader="dot" w:pos="8306"/>
            </w:tabs>
          </w:pPr>
          <w:r>
            <w:rPr>
              <w:bCs/>
            </w:rPr>
            <w:fldChar w:fldCharType="begin"/>
          </w:r>
          <w:r>
            <w:rPr>
              <w:bCs/>
            </w:rPr>
            <w:instrText xml:space="preserve"> HYPERLINK \l _Toc9874 </w:instrText>
          </w:r>
          <w:r>
            <w:rPr>
              <w:bCs/>
            </w:rPr>
            <w:fldChar w:fldCharType="separate"/>
          </w:r>
          <w:r>
            <w:rPr>
              <w:rFonts w:hint="eastAsia" w:ascii="楷体" w:hAnsi="楷体" w:eastAsia="楷体"/>
              <w:szCs w:val="24"/>
            </w:rPr>
            <w:t>铜：短期驱动有限，区间震荡为主</w:t>
          </w:r>
          <w:r>
            <w:rPr>
              <w:bCs/>
            </w:rPr>
            <w:fldChar w:fldCharType="end"/>
          </w:r>
        </w:p>
        <w:p>
          <w:pPr>
            <w:pStyle w:val="6"/>
            <w:tabs>
              <w:tab w:val="right" w:leader="dot" w:pos="8306"/>
            </w:tabs>
          </w:pPr>
          <w:r>
            <w:rPr>
              <w:bCs/>
            </w:rPr>
            <w:fldChar w:fldCharType="begin"/>
          </w:r>
          <w:r>
            <w:rPr>
              <w:bCs/>
            </w:rPr>
            <w:instrText xml:space="preserve"> HYPERLINK \l _Toc17601 </w:instrText>
          </w:r>
          <w:r>
            <w:rPr>
              <w:bCs/>
            </w:rPr>
            <w:fldChar w:fldCharType="separate"/>
          </w:r>
          <w:r>
            <w:rPr>
              <w:rFonts w:hint="eastAsia" w:ascii="楷体" w:hAnsi="楷体" w:eastAsia="楷体"/>
              <w:szCs w:val="24"/>
            </w:rPr>
            <w:t>铝：多空交织扰动，铝价震荡为主</w:t>
          </w:r>
          <w:r>
            <w:rPr>
              <w:bCs/>
            </w:rPr>
            <w:fldChar w:fldCharType="end"/>
          </w:r>
        </w:p>
        <w:p>
          <w:pPr>
            <w:pStyle w:val="6"/>
            <w:tabs>
              <w:tab w:val="right" w:leader="dot" w:pos="8306"/>
            </w:tabs>
          </w:pPr>
          <w:r>
            <w:rPr>
              <w:bCs/>
            </w:rPr>
            <w:fldChar w:fldCharType="begin"/>
          </w:r>
          <w:r>
            <w:rPr>
              <w:bCs/>
            </w:rPr>
            <w:instrText xml:space="preserve"> HYPERLINK \l _Toc32541 </w:instrText>
          </w:r>
          <w:r>
            <w:rPr>
              <w:bCs/>
            </w:rPr>
            <w:fldChar w:fldCharType="separate"/>
          </w:r>
          <w:r>
            <w:rPr>
              <w:rFonts w:hint="eastAsia" w:ascii="楷体" w:hAnsi="楷体" w:eastAsia="楷体"/>
              <w:szCs w:val="24"/>
            </w:rPr>
            <w:t>锌：低库存去库现状维持，价格下方支撑但上行空间有限</w:t>
          </w:r>
          <w:r>
            <w:rPr>
              <w:bCs/>
            </w:rPr>
            <w:fldChar w:fldCharType="end"/>
          </w:r>
        </w:p>
        <w:p>
          <w:pPr>
            <w:pStyle w:val="6"/>
            <w:tabs>
              <w:tab w:val="right" w:leader="dot" w:pos="8306"/>
            </w:tabs>
          </w:pPr>
          <w:r>
            <w:rPr>
              <w:bCs/>
            </w:rPr>
            <w:fldChar w:fldCharType="begin"/>
          </w:r>
          <w:r>
            <w:rPr>
              <w:bCs/>
            </w:rPr>
            <w:instrText xml:space="preserve"> HYPERLINK \l _Toc7295 </w:instrText>
          </w:r>
          <w:r>
            <w:rPr>
              <w:bCs/>
            </w:rPr>
            <w:fldChar w:fldCharType="separate"/>
          </w:r>
          <w:r>
            <w:rPr>
              <w:rFonts w:hint="eastAsia" w:ascii="楷体" w:hAnsi="楷体" w:eastAsia="楷体"/>
              <w:szCs w:val="24"/>
            </w:rPr>
            <w:t>工业硅：供应扰动仍未好转，需求预期支撑硅价高位震荡运行</w:t>
          </w:r>
          <w:r>
            <w:rPr>
              <w:bCs/>
            </w:rPr>
            <w:fldChar w:fldCharType="end"/>
          </w:r>
        </w:p>
        <w:p>
          <w:pPr>
            <w:pStyle w:val="5"/>
            <w:tabs>
              <w:tab w:val="right" w:leader="dot" w:pos="8306"/>
            </w:tabs>
          </w:pPr>
          <w:r>
            <w:rPr>
              <w:bCs/>
            </w:rPr>
            <w:fldChar w:fldCharType="begin"/>
          </w:r>
          <w:r>
            <w:rPr>
              <w:bCs/>
            </w:rPr>
            <w:instrText xml:space="preserve"> HYPERLINK \l _Toc32105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_Toc5158 </w:instrText>
          </w:r>
          <w:r>
            <w:rPr>
              <w:bCs/>
            </w:rPr>
            <w:fldChar w:fldCharType="separate"/>
          </w:r>
          <w:r>
            <w:rPr>
              <w:rFonts w:hint="eastAsia" w:ascii="Times New Roman" w:hAnsi="Times New Roman" w:eastAsia="楷体"/>
              <w:szCs w:val="24"/>
            </w:rPr>
            <w:t>乙二醇：成本端走弱叠加供增需减  建议轻仓空单持有</w:t>
          </w:r>
          <w:r>
            <w:rPr>
              <w:bCs/>
            </w:rPr>
            <w:fldChar w:fldCharType="end"/>
          </w:r>
        </w:p>
        <w:p>
          <w:pPr>
            <w:pStyle w:val="6"/>
            <w:tabs>
              <w:tab w:val="right" w:leader="dot" w:pos="8306"/>
            </w:tabs>
          </w:pPr>
          <w:r>
            <w:rPr>
              <w:bCs/>
            </w:rPr>
            <w:fldChar w:fldCharType="begin"/>
          </w:r>
          <w:r>
            <w:rPr>
              <w:bCs/>
            </w:rPr>
            <w:instrText xml:space="preserve"> HYPERLINK \l _Toc13677 </w:instrText>
          </w:r>
          <w:r>
            <w:rPr>
              <w:bCs/>
            </w:rPr>
            <w:fldChar w:fldCharType="separate"/>
          </w:r>
          <w:r>
            <w:rPr>
              <w:rFonts w:ascii="楷体" w:hAnsi="楷体" w:eastAsia="楷体"/>
              <w:szCs w:val="24"/>
            </w:rPr>
            <w:t>PTA</w:t>
          </w:r>
          <w:r>
            <w:rPr>
              <w:rFonts w:hint="eastAsia" w:ascii="楷体" w:hAnsi="楷体" w:eastAsia="楷体"/>
              <w:szCs w:val="24"/>
            </w:rPr>
            <w:t>：受油价走低及需求疲软拖累  PTA走势偏空</w:t>
          </w:r>
          <w:r>
            <w:rPr>
              <w:bCs/>
            </w:rPr>
            <w:fldChar w:fldCharType="end"/>
          </w:r>
        </w:p>
        <w:p>
          <w:pPr>
            <w:pStyle w:val="5"/>
            <w:tabs>
              <w:tab w:val="right" w:leader="dot" w:pos="8306"/>
            </w:tabs>
          </w:pPr>
          <w:r>
            <w:rPr>
              <w:bCs/>
            </w:rPr>
            <w:fldChar w:fldCharType="begin"/>
          </w:r>
          <w:r>
            <w:rPr>
              <w:bCs/>
            </w:rPr>
            <w:instrText xml:space="preserve"> HYPERLINK \l _Toc11091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_Toc24036 </w:instrText>
          </w:r>
          <w:r>
            <w:rPr>
              <w:bCs/>
            </w:rPr>
            <w:fldChar w:fldCharType="separate"/>
          </w:r>
          <w:r>
            <w:rPr>
              <w:rFonts w:hint="eastAsia" w:ascii="楷体" w:hAnsi="楷体" w:eastAsia="楷体"/>
              <w:szCs w:val="24"/>
            </w:rPr>
            <w:t>豆粕：短期多空博弈维持高位震荡</w:t>
          </w:r>
          <w:r>
            <w:rPr>
              <w:bCs/>
            </w:rPr>
            <w:fldChar w:fldCharType="end"/>
          </w:r>
        </w:p>
        <w:p>
          <w:pPr>
            <w:pStyle w:val="6"/>
            <w:tabs>
              <w:tab w:val="right" w:leader="dot" w:pos="8306"/>
            </w:tabs>
          </w:pPr>
          <w:r>
            <w:rPr>
              <w:bCs/>
            </w:rPr>
            <w:fldChar w:fldCharType="begin"/>
          </w:r>
          <w:r>
            <w:rPr>
              <w:bCs/>
            </w:rPr>
            <w:instrText xml:space="preserve"> HYPERLINK \l _Toc25879 </w:instrText>
          </w:r>
          <w:r>
            <w:rPr>
              <w:bCs/>
            </w:rPr>
            <w:fldChar w:fldCharType="separate"/>
          </w:r>
          <w:r>
            <w:rPr>
              <w:rFonts w:hint="eastAsia" w:ascii="楷体" w:hAnsi="楷体" w:eastAsia="楷体"/>
              <w:szCs w:val="24"/>
            </w:rPr>
            <w:t>油脂：走势延续分化</w:t>
          </w:r>
          <w:r>
            <w:rPr>
              <w:bCs/>
            </w:rPr>
            <w:fldChar w:fldCharType="end"/>
          </w:r>
        </w:p>
        <w:p>
          <w:pPr>
            <w:pStyle w:val="6"/>
            <w:tabs>
              <w:tab w:val="right" w:leader="dot" w:pos="8306"/>
            </w:tabs>
          </w:pPr>
          <w:r>
            <w:rPr>
              <w:bCs/>
            </w:rPr>
            <w:fldChar w:fldCharType="begin"/>
          </w:r>
          <w:r>
            <w:rPr>
              <w:bCs/>
            </w:rPr>
            <w:instrText xml:space="preserve"> HYPERLINK \l _Toc8123 </w:instrText>
          </w:r>
          <w:r>
            <w:rPr>
              <w:bCs/>
            </w:rPr>
            <w:fldChar w:fldCharType="separate"/>
          </w:r>
          <w:r>
            <w:rPr>
              <w:rFonts w:hint="eastAsia" w:ascii="楷体" w:hAnsi="楷体" w:eastAsia="楷体"/>
              <w:bCs/>
            </w:rPr>
            <w:t>玉米与淀粉：</w:t>
          </w:r>
          <w:r>
            <w:rPr>
              <w:rFonts w:hint="eastAsia" w:ascii="楷体" w:hAnsi="楷体" w:eastAsia="楷体"/>
            </w:rPr>
            <w:t>外盘期价弱势与内盘现货强势之间的博弈</w:t>
          </w:r>
          <w:r>
            <w:rPr>
              <w:bCs/>
            </w:rPr>
            <w:fldChar w:fldCharType="end"/>
          </w:r>
        </w:p>
        <w:p>
          <w:pPr>
            <w:pStyle w:val="6"/>
            <w:tabs>
              <w:tab w:val="right" w:leader="dot" w:pos="8306"/>
            </w:tabs>
          </w:pPr>
          <w:r>
            <w:rPr>
              <w:bCs/>
            </w:rPr>
            <w:fldChar w:fldCharType="begin"/>
          </w:r>
          <w:r>
            <w:rPr>
              <w:bCs/>
            </w:rPr>
            <w:instrText xml:space="preserve"> HYPERLINK \l _Toc14410 </w:instrText>
          </w:r>
          <w:r>
            <w:rPr>
              <w:bCs/>
            </w:rPr>
            <w:fldChar w:fldCharType="separate"/>
          </w:r>
          <w:r>
            <w:rPr>
              <w:rFonts w:hint="eastAsia" w:ascii="楷体" w:hAnsi="楷体" w:eastAsia="楷体"/>
              <w:bCs/>
            </w:rPr>
            <w:t>畜禽养殖：期价震荡等待现货方向</w:t>
          </w:r>
          <w:r>
            <w:rPr>
              <w:bCs/>
            </w:rPr>
            <w:fldChar w:fldCharType="end"/>
          </w:r>
        </w:p>
        <w:p>
          <w:pPr>
            <w:pStyle w:val="6"/>
            <w:tabs>
              <w:tab w:val="right" w:leader="dot" w:pos="8306"/>
            </w:tabs>
          </w:pPr>
          <w:r>
            <w:rPr>
              <w:bCs/>
            </w:rPr>
            <w:fldChar w:fldCharType="begin"/>
          </w:r>
          <w:r>
            <w:rPr>
              <w:bCs/>
            </w:rPr>
            <w:instrText xml:space="preserve"> HYPERLINK \l _Toc10653 </w:instrText>
          </w:r>
          <w:r>
            <w:rPr>
              <w:bCs/>
            </w:rPr>
            <w:fldChar w:fldCharType="separate"/>
          </w:r>
          <w:r>
            <w:rPr>
              <w:rFonts w:hint="eastAsia" w:ascii="楷体" w:hAnsi="楷体" w:eastAsia="楷体"/>
              <w:szCs w:val="24"/>
            </w:rPr>
            <w:t>郑棉：郑棉进入收敛均线的震荡区间，空单持有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9449"/>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31403"/>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观望为主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前期疫情和房地产政策充分计价，且多地疫情反弹引发担忧，不建议盲目追高。市场新共识还需看到政策刺激的远期效果及合理的外推逻辑。技术上，短线大盘盘中有回调压力，整体运行态势上或处3050点至3150点箱体之间震荡运行。建议观望为主。</w:t>
      </w:r>
    </w:p>
    <w:p>
      <w:pPr>
        <w:pBdr>
          <w:top w:val="single" w:color="auto" w:sz="4" w:space="0"/>
        </w:pBdr>
        <w:outlineLvl w:val="0"/>
        <w:rPr>
          <w:rFonts w:ascii="Times New Roman" w:hAnsi="Times New Roman" w:eastAsia="楷体"/>
          <w:b/>
          <w:color w:val="823C0B"/>
          <w:sz w:val="30"/>
          <w:szCs w:val="30"/>
        </w:rPr>
      </w:pPr>
      <w:bookmarkStart w:id="7" w:name="金属"/>
      <w:bookmarkStart w:id="8" w:name="_Toc3096"/>
      <w:bookmarkStart w:id="9" w:name="_Toc20891"/>
      <w:bookmarkStart w:id="10" w:name="_Toc19381"/>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5371"/>
      <w:bookmarkStart w:id="13" w:name="_Toc27831"/>
      <w:bookmarkStart w:id="14" w:name="_Toc26706"/>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14:textFill>
            <w14:solidFill>
              <w14:schemeClr w14:val="tx1"/>
            </w14:solidFill>
          </w14:textFill>
        </w:rPr>
        <w:t>现实需求走弱，冬储启动前的调整</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在政策利好集中释放下对未来预期过于乐观，成本端主要是铁矿及港口焦炭价格涨幅过快，目前过度乐观情绪开始修正，价格开始回调。看现实矛盾并不突出，冬储前原料价格支撑较强，钢价较难大跌。预计RB01合约价格中枢在（3500,3800），目前正处于前期乐观预期修正过程，价格从上半区间向下半区间调整过程中。05合约受预期影响较大，1-5正套建议继续持有。01合约的强支撑在（3500,3600），从弹性上看05逢低做多价值更大，建议关注05合约（3400,3500）区间逢低做多的机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3901"/>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焦炭第一轮提涨尚未落地，市场情绪调整</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集港利润转正下，钢厂补库及贸易商补库分担焦化厂的库存压力，焦化厂有所复产，从而对焦煤补库力度有所上升，提涨未落地下，焦化厂静态亏损有所扩大。前期乐观预期推动盘面下，利多集中释放后现实压力推动盘面回落，盘面有所回落。后续随成材波动。焦炭01合约短期依旧在（2630，2830）波动，若小幅度调整下或围绕中枢2730上下50点波动。</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24680"/>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动力煤及海外需求担忧，扰动煤价</w:t>
      </w:r>
      <w:bookmarkEnd w:id="18"/>
    </w:p>
    <w:p>
      <w:pPr>
        <w:ind w:left="630" w:leftChars="300"/>
        <w:rPr>
          <w:rFonts w:ascii="楷体" w:hAnsi="楷体" w:eastAsia="楷体"/>
          <w:bCs/>
          <w:sz w:val="24"/>
          <w:szCs w:val="24"/>
        </w:rPr>
      </w:pPr>
      <w:r>
        <w:rPr>
          <w:rFonts w:hint="eastAsia" w:ascii="楷体" w:hAnsi="楷体" w:eastAsia="楷体"/>
          <w:sz w:val="24"/>
          <w:szCs w:val="24"/>
        </w:rPr>
        <w:t>国内煤矿产量或继续修复，蒙煤通关数量持续上行，整体供应或偏稳有进，但高度或有限。铁水需求阶段性见底，海外焦炭出口下滑缓解国内碳元素供应压力。从日耗角度看看，碳元素在日耗上相对平衡，总库存小幅度累积。焦煤01合约或在（1950，2200）波动，若小幅度调整或围绕2100上下50点波动，若大幅度调整下，01合约以前底为支撑，焦煤05合约强支撑约在（1550,1600）。</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9874"/>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短期驱动有限，区间震荡为主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(1)库存：11月22日，SHFE仓单库存41815吨，减4025吨。LME仓单库存91875吨，增625吨。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(2)精废价差：11月22日，Mysteel精废价差1680，扩大82。目前价差在合理价差1354之上。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预期反复对短期价格形成扰动，但海外经济持续走弱大背景下，铜价仍将受到压制，当前仍需等待数据的进一步验证，包含美国通胀、制造业PMI、失业率及欧洲等经济体的经济数据表现。微观指标看，基本面存转弱迹象，但低库存格局仍然存在，且持续性有待观察，短期无法给价格带来明显压力。预计维持区间震荡，参考64000-68000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17601"/>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多空交织扰动，铝价震荡为主</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止跌反弹，有色承压普跌。国际地缘政治冲突持续，国内疫情爆发多地实行封控，对四季度市场经济有消极影响。从基本面来看，铝产供应整体有增有减，生态环境部发布重污染天气消除方案，未来铝产再受环保限产影响或有减停产动作。国内铝型材出口量持续下滑，显示海外需求疲弱，消费依赖国内经济拉动，房地产利好政策频出，银保监会支持民营企业债券融资，“保交楼”2000亿专款投放，市场仍有消费向好预期但暂未见消费明显改善拐点。综合来看，宏观利多已充分释放，低库存现状支撑铝价攀升向上，关注18400-19500区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5" w:name="_Toc32541"/>
      <w:r>
        <w:rPr>
          <w:rFonts w:hint="eastAsia" w:ascii="楷体" w:hAnsi="楷体" w:eastAsia="楷体"/>
          <w:b/>
          <w:color w:val="000000" w:themeColor="text1"/>
          <w:sz w:val="24"/>
          <w:szCs w:val="24"/>
          <w14:textFill>
            <w14:solidFill>
              <w14:schemeClr w14:val="tx1"/>
            </w14:solidFill>
          </w14:textFill>
        </w:rPr>
        <w:t>锌：低库存去库现状维持，价格下方支撑但上行空间有限</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22日沪锌隔夜收盘价格23575元/吨，跌幅1.113%，上海有色网0#锌锭（Zn99.995）现货报价24160元/吨，较上一统计日报价下跌330元/吨。联储鹰派发言，美元企稳走高，有色板块承压。欧洲锌产限产，伦锌库存持续下行，刷新三十二年新低，海外需求疲弱，伦锌价格大幅走低。国内货币政策延续宽松，降息降准仍可期，央行、银保监会召开会议表示加强重点领域信贷支持力度，央行拟向商业银行提供2000亿免息再贷款用于支持“保交楼”，未来国内地产拉动消费预期向好。疫情之下内蒙古现货运输受到影响，陕西部分冶炼厂减产，四川部分炼厂因不符合环保要求进行减停产，广东、广西、云南、湖南计划恢复生产，供应有增有减，中游冶炼利润上涨，企业开工情绪转好，下游消费逢低价补库，贸易商惜货出售，整体消费略有转好，锌价前期持续走高，价格高位回调，整体沪锌偏强宽幅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6" w:name="_Toc729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供应扰动仍未好转，需求预期支撑硅价高位震荡运行</w:t>
      </w:r>
      <w:bookmarkEnd w:id="26"/>
    </w:p>
    <w:p>
      <w:pPr>
        <w:ind w:left="630" w:leftChars="300"/>
        <w:rPr>
          <w:rFonts w:ascii="楷体" w:hAnsi="楷体" w:eastAsia="楷体"/>
          <w:sz w:val="24"/>
          <w:szCs w:val="24"/>
        </w:rPr>
      </w:pPr>
      <w:r>
        <w:rPr>
          <w:rFonts w:hint="eastAsia" w:ascii="楷体" w:hAnsi="楷体" w:eastAsia="楷体"/>
          <w:sz w:val="24"/>
          <w:szCs w:val="24"/>
        </w:rPr>
        <w:t>11月22日，华东地区553（通氧）20400元/吨，较上个统计日持平，近期市场整体偏弱运行。供应方面，新疆地区生产受疫情影响开工低位，云南怒江电力检修导致停炉较多，以及川滇地区步入枯水期电价上调，整体成本有所上升。需求方面，有机硅、铝合金以及出口仍旧偏弱，多晶硅产能逐步释放对市场仍有支撑。 综合来看，当前市场仍有支撑，但行业高库存难有大幅反弹行情，预计短期市场将高位震荡运行。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32105"/>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sz w:val="24"/>
          <w:szCs w:val="24"/>
        </w:rPr>
      </w:pPr>
      <w:bookmarkStart w:id="29" w:name="_Toc5158"/>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成本端走弱叠加供增需减  建议轻仓空单持有</w:t>
      </w:r>
      <w:bookmarkEnd w:id="29"/>
    </w:p>
    <w:p>
      <w:pPr>
        <w:ind w:left="630" w:leftChars="300"/>
        <w:rPr>
          <w:rFonts w:ascii="楷体" w:hAnsi="楷体" w:eastAsia="楷体"/>
          <w:sz w:val="24"/>
          <w:szCs w:val="24"/>
        </w:rPr>
      </w:pPr>
      <w:r>
        <w:rPr>
          <w:rFonts w:hint="eastAsia" w:ascii="楷体" w:hAnsi="楷体" w:eastAsia="楷体"/>
          <w:sz w:val="24"/>
          <w:szCs w:val="24"/>
        </w:rPr>
        <w:t>供需情况，11.21华东主港地区MEG港口库存约85万吨附近，环比上期减少1.4万吨。供需情况，中国大陆地区乙二醇整体开工负荷在55.14%（-1.25%），其中煤制乙二醇开工负荷在32.43%（-0.65%），乙二醇负荷小幅回落。从聚酯需求端来看，上周装置变动仍体现在长丝环节，工厂继续减产检修，而短纤瓶片则保持稳定。截至11.17初步核算国内大陆地区聚酯负荷在78%。除了短纤工厂库存水平偏低外，涤纶长丝及终端坯布库存均有30天以上。终端需求疲软现状难改，下游开工持续下滑。截至11.17，江浙加弹开工率57%（-3%）、江浙织机开工率49%（-3%）、浙江印染开工率50%（-2%）。少数加弹、织造、印染企业甚至开始安排放年假的计划，预估进入12月份以后下游放年假的现象会进一步增多。供应恢复叠加聚酯负荷走低，供需矛盾加剧。综合来看，聚酯及终端已经开启降负，部分聚酯工厂陆续落实减产动作，需求环节支撑逐步下滑。后期新装置货源陆续兑现市场后现货端口依旧承压明显，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367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：受油价走低及需求疲软拖累  PTA走势偏空</w:t>
      </w:r>
      <w:bookmarkEnd w:id="3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PTA成本端来看，PX开工率提升至76%，新装置投产在即，PX价格回落。PTA供需方面，部分PTA装置开启停车或检修，如恒力2#、逸盛225万吨装置后期有停车计划，英力士近期负荷降至7成偏下，其一套产能110万吨的装置11月中计划停车检修降负，亚东石化75万吨装置11月底停车。综合来看，PTA整体负荷在72~73%附近波动。聚酯方面，本周装置变动仍体现在长丝环节，工厂继续减产检修，而短纤瓶片则保持稳定。截至11.17，初步核算国内大陆地区聚酯负荷在78%（-1%）。终端方面，坯布订单和出货氛围均偏弱维持，染厂和织造环节开工持续走弱，涤丝缺乏需求。综合来看，PXN的价差大幅收缩，PTA的成本端走低带动加工费较前期大幅提升。然下游聚酯减产幅度扩大，TA高加工费不可持续。受油价走低及需求疲软拖累，PTA走势偏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1" w:name="_Toc11091"/>
      <w:r>
        <w:rPr>
          <w:rFonts w:hint="eastAsia" w:ascii="Times New Roman" w:hAnsi="Times New Roman" w:eastAsia="楷体"/>
          <w:b/>
          <w:color w:val="823C0B"/>
          <w:sz w:val="30"/>
          <w:szCs w:val="30"/>
        </w:rPr>
        <w:t>[农产品]</w:t>
      </w:r>
      <w:bookmarkEnd w:id="11"/>
      <w:bookmarkEnd w:id="31"/>
    </w:p>
    <w:p>
      <w:pPr>
        <w:ind w:left="420" w:leftChars="200"/>
        <w:outlineLvl w:val="1"/>
        <w:rPr>
          <w:rFonts w:hint="eastAsia" w:ascii="楷体" w:hAnsi="楷体" w:eastAsia="楷体"/>
          <w:b/>
          <w:sz w:val="24"/>
          <w:szCs w:val="24"/>
        </w:rPr>
      </w:pPr>
      <w:bookmarkStart w:id="32" w:name="_Toc24036"/>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短期多空博弈维持高位震荡</w:t>
      </w:r>
      <w:bookmarkEnd w:id="32"/>
    </w:p>
    <w:p>
      <w:pPr>
        <w:ind w:left="630" w:leftChars="300"/>
        <w:rPr>
          <w:rFonts w:ascii="楷体" w:hAnsi="楷体" w:eastAsia="楷体"/>
          <w:sz w:val="24"/>
          <w:szCs w:val="24"/>
        </w:rPr>
      </w:pPr>
      <w:r>
        <w:rPr>
          <w:rFonts w:hint="eastAsia" w:ascii="楷体" w:hAnsi="楷体" w:eastAsia="楷体"/>
          <w:sz w:val="24"/>
          <w:szCs w:val="24"/>
        </w:rPr>
        <w:t>外盘方面，CBOT大豆维持区间震荡，年底美国最大铁路工会发动罢工的威胁升高，叠加阿根廷将实施新“大豆美元”计划。当前市场对南美仍保持增产预期，巴西播种已过半，完成进度80%，而阿根廷播种进度偏慢，在降雨后种植情况有所改善，后续仍需关注产区种植情况。国内市场，近几日豆粕国内现货价格继续下调，基差收敛。随着11月进口大豆陆续到港，港口库存低点已现，库存回升，但在压榨偏低及刚需下，豆粕库存再创新低，仅14.92万吨。下游近期猪价下跌明显，二次育肥临近尾声，饲企和养殖企业等采购需求减弱，维持刚需补库，豆粕需求下滑，以远月成交为主。虽预期供应增加压力显现，但连粕短期在高基差低库存下仍有支撑，关注油厂开工率及豆粕库存的修复情况，短线操作为主，激进者可逢高布局01空单；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3" w:name="_Toc2587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走势延续分化</w:t>
      </w:r>
      <w:bookmarkEnd w:id="33"/>
    </w:p>
    <w:p>
      <w:pPr>
        <w:ind w:left="630" w:leftChars="300"/>
        <w:rPr>
          <w:rFonts w:ascii="楷体" w:hAnsi="楷体" w:eastAsia="楷体"/>
          <w:sz w:val="24"/>
          <w:szCs w:val="24"/>
        </w:rPr>
      </w:pPr>
      <w:r>
        <w:rPr>
          <w:rFonts w:hint="eastAsia" w:ascii="楷体" w:hAnsi="楷体" w:eastAsia="楷体"/>
          <w:sz w:val="24"/>
          <w:szCs w:val="24"/>
        </w:rPr>
        <w:t>宏观方面，在国际原油深v反转后，能源属性较强的棕榈油和豆油止跌反弹。棕榈油方面支撑主要来自产地减产担忧以及出口数据的乐观，东南亚棕榈油进入减产周期，叠加强降雨预估，产量担忧仍存；同时生柴政策利好，能源价格高位仍提振生柴消费需求。而国内棕榈油供应较宽松，港口库存持续回升至81.5万吨。国内需求疲软，冬季为棕榈油季节性消费淡季，因此国内消费端难形成支撑。近期豆油下游成交有所回暖，表观消费增加，棕榈油进入季节性消费淡季或提振豆油替代。短期在美豆成本端支撑以及供应紧张下，维持近紧远松格局。随着11月进口大豆到港陆续增加，港口大豆库存开始累库，但压榨仍未大幅增加，在供应预期增加及消费疲软下，豆油基差预计逐渐回归。菜油在供应边际预期改善下，现货价大幅回落，基差松动。随着加籽大量上市，国内第四季进口度预估到港为180万吨。11月菜籽到港逐渐回升，当前菜籽库存已明显增加，但菜油库存仍维持历史低位。因油厂压榨偏低，导致菜油库存迟迟得不到修复。预计油脂在四季度供应边际增加下，上方空间有限，短期维持宽幅震荡，建议短线顺势操作，在后续油料到港预期下豆油及菜油走势预计相对偏弱，但菜油有收储预期，因此油脂单边走势预计不会太顺畅，逢高布空菜棕价差可继续持有。</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34" w:name="_Toc812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外盘期价弱势与内盘现货强势之间的博弈</w:t>
      </w:r>
      <w:bookmarkEnd w:id="3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表现为期现背离，即期价持续下跌，这主要源于美玉米期价持续震荡回落，且人民币汇率近期升值，加上中国进口巴西玉米逐步明朗，俄罗斯同意延长黑海谷物四方协议，后期进口谷物性价比有望逐步提升；而国内现货相对强势，因渠道库存去化后处于低位，而受天气、疫情及其农户惜售心理影响玉米上量。在这种情况下，我们回到前期的逻辑上，一方面需要留意外盘走势，另一方面需要关注国内新作上市压力能否带动国内现货走弱。维持谨慎看空观点，建议投资者继续持有前期玉米单边空单或看跌期权。</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上周淀粉-玉米价差大幅收窄主要源于成本端下跌的带动，但近期蛋白粕现货价格大幅下跌，有望带动淀粉副产品现货出现较大幅度下跌，继而通过淀粉期现货加工利润影响行业开机率，促进行业供需改善。在这种情况下，我们继续看多淀粉-玉米价差，特别留意淀粉副产品价格走势，建议投资者可以考虑继续持有淀粉-玉米价差套利。</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14410"/>
      <w:r>
        <w:rPr>
          <w:rFonts w:hint="eastAsia" w:ascii="楷体" w:hAnsi="楷体" w:eastAsia="楷体"/>
          <w:b/>
          <w:bCs/>
          <w:color w:val="000000" w:themeColor="text1"/>
          <w14:textFill>
            <w14:solidFill>
              <w14:schemeClr w14:val="tx1"/>
            </w14:solidFill>
          </w14:textFill>
        </w:rPr>
        <w:t>畜禽养殖：期价震荡等待现货方向</w:t>
      </w:r>
      <w:bookmarkEnd w:id="3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呈现远月贴水结构，接下来需要关注价格拐点出现的时间，这需要重点留意四个方面，即二次育肥、出栏节奏，需求变动和进口增量。由于猪价于10月下旬见到目前已知高点，与2019年相比提前10天左右的时间，市场纠结之处在于10月下旬下跌的定性，是季节性回调还是周期性拐点？总体来看，接下来是供需两增的阶段，之前通过二次育肥和压栏而积压的供应需要释放，与此同时，熏腊制品和春节前备货也将带动需求环比大增。具体而言，今年供应包括进口、储备和冷冻库存均相对低于2019年，而需求端存在较大变数，特别是疫情因素。综上所述，我们暂维持谨慎看多观点，倾向于认为10月下旬以来的现货下跌更多属于季节性回调，猪价拐点尚未出现，但需要特别留意疫情情况。</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饲料成本、动物蛋白供应和鸡蛋自身供需格局，继续持中期看多观点，建议谨慎投资者观望，激进投资者可以前低作为止损轻仓试多。</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36" w:name="_Toc10653"/>
      <w:r>
        <w:rPr>
          <w:rFonts w:hint="eastAsia" w:ascii="楷体" w:hAnsi="楷体" w:eastAsia="楷体"/>
          <w:b/>
          <w:sz w:val="24"/>
          <w:szCs w:val="24"/>
        </w:rPr>
        <w:t>郑棉：郑棉进入收敛均线的震荡区间，空单持有</w:t>
      </w:r>
      <w:bookmarkEnd w:id="36"/>
    </w:p>
    <w:p>
      <w:pPr>
        <w:ind w:left="630" w:leftChars="300"/>
        <w:rPr>
          <w:rFonts w:hint="eastAsia" w:ascii="楷体" w:hAnsi="楷体" w:eastAsia="楷体"/>
          <w:sz w:val="24"/>
          <w:szCs w:val="24"/>
        </w:rPr>
      </w:pPr>
      <w:r>
        <w:rPr>
          <w:rFonts w:hint="eastAsia" w:ascii="楷体" w:hAnsi="楷体" w:eastAsia="楷体"/>
          <w:sz w:val="24"/>
          <w:szCs w:val="24"/>
        </w:rPr>
        <w:t>美棉80美分/磅处表现出较强分歧，临近该关口震荡幅度极大，再度出现跌停后涨3%多的反转。郑棉进入收敛均线的震荡区间，空单持有</w:t>
      </w:r>
    </w:p>
    <w:p>
      <w:pPr>
        <w:ind w:left="630" w:leftChars="300"/>
        <w:rPr>
          <w:rFonts w:ascii="楷体" w:hAnsi="楷体" w:eastAsia="楷体"/>
          <w:sz w:val="24"/>
          <w:szCs w:val="24"/>
        </w:rPr>
      </w:pPr>
      <w:r>
        <w:rPr>
          <w:rFonts w:hint="eastAsia" w:ascii="楷体" w:hAnsi="楷体" w:eastAsia="楷体"/>
          <w:sz w:val="24"/>
          <w:szCs w:val="24"/>
        </w:rPr>
        <w:t>受消费疲弱影响，我国棉纱进口量降低。据海关统计数据，2022年10月我国棉纱进口量为6.49万吨，同比下降8.07万吨，降幅56%，环比下降2.43万吨，降幅33.33%。2022年1-10月累计进口棉纱为101.99万吨，同比降幅44.1%。10月我国棉纱进口单价为2.58美元/公斤，同比降幅16%，环比降幅7%。2022年1-10月的棉纱进口单价为3.14美元/公斤，同比增幅13.77%。</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19667"/>
      <w:bookmarkStart w:id="38" w:name="_Toc12779"/>
      <w:bookmarkStart w:id="39" w:name="_Toc71212556"/>
      <w:bookmarkStart w:id="40" w:name="_Toc72481108"/>
      <w:bookmarkStart w:id="41" w:name="_Toc98426751"/>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2022年11月23日星期三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N2RlMzFiYjYxYmYyMmEzZDc5YTA3NDAxNTVlZmY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5D52593"/>
    <w:rsid w:val="1B8A2034"/>
    <w:rsid w:val="1BC72FF7"/>
    <w:rsid w:val="1D5030CD"/>
    <w:rsid w:val="20AE4DE8"/>
    <w:rsid w:val="219F3EE2"/>
    <w:rsid w:val="26F95364"/>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0</TotalTime>
  <ScaleCrop>false</ScaleCrop>
  <LinksUpToDate>false</LinksUpToDate>
  <CharactersWithSpaces>7040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2022-11-23T05:20:45Z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