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color w:val="823C0B"/>
          <w:sz w:val="30"/>
          <w:szCs w:val="30"/>
        </w:rPr>
      </w:pP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bookmarkStart w:id="42" w:name="_GoBack"/>
      <w:bookmarkEnd w:id="42"/>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17"/>
            <w:rPr>
              <w:b/>
              <w:bCs/>
            </w:rPr>
          </w:pPr>
        </w:p>
        <w:p>
          <w:pPr>
            <w:pStyle w:val="5"/>
            <w:tabs>
              <w:tab w:val="right" w:leader="dot" w:pos="8306"/>
            </w:tabs>
            <w:rPr>
              <w:b/>
              <w:bCs/>
            </w:rPr>
          </w:pPr>
          <w:r>
            <w:rPr>
              <w:b/>
              <w:bCs/>
            </w:rPr>
            <w:fldChar w:fldCharType="begin"/>
          </w:r>
          <w:r>
            <w:rPr>
              <w:b/>
              <w:bCs/>
            </w:rPr>
            <w:instrText xml:space="preserve"> TOC \o "1-3" \n \h \z \u </w:instrText>
          </w:r>
          <w:r>
            <w:rPr>
              <w:b/>
              <w:bCs/>
            </w:rPr>
            <w:fldChar w:fldCharType="separate"/>
          </w:r>
          <w:r>
            <w:rPr>
              <w:b/>
              <w:bCs/>
            </w:rPr>
            <w:fldChar w:fldCharType="begin"/>
          </w:r>
          <w:r>
            <w:rPr>
              <w:b/>
              <w:bCs/>
            </w:rPr>
            <w:instrText xml:space="preserve"> HYPERLINK \l _Toc14298 </w:instrText>
          </w:r>
          <w:r>
            <w:rPr>
              <w:b/>
              <w:bCs/>
            </w:rPr>
            <w:fldChar w:fldCharType="separate"/>
          </w:r>
          <w:r>
            <w:rPr>
              <w:rFonts w:hint="eastAsia" w:ascii="Times New Roman" w:hAnsi="Times New Roman" w:eastAsia="楷体"/>
              <w:b/>
              <w:bCs/>
              <w:szCs w:val="30"/>
            </w:rPr>
            <w:t>[金融]</w:t>
          </w:r>
          <w:r>
            <w:rPr>
              <w:b/>
              <w:bCs/>
            </w:rPr>
            <w:fldChar w:fldCharType="end"/>
          </w:r>
        </w:p>
        <w:p>
          <w:pPr>
            <w:pStyle w:val="6"/>
            <w:tabs>
              <w:tab w:val="right" w:leader="dot" w:pos="8306"/>
            </w:tabs>
            <w:rPr>
              <w:b/>
              <w:bCs/>
            </w:rPr>
          </w:pPr>
          <w:r>
            <w:rPr>
              <w:b/>
              <w:bCs/>
            </w:rPr>
            <w:fldChar w:fldCharType="begin"/>
          </w:r>
          <w:r>
            <w:rPr>
              <w:b/>
              <w:bCs/>
            </w:rPr>
            <w:instrText xml:space="preserve"> HYPERLINK \l _Toc27026 </w:instrText>
          </w:r>
          <w:r>
            <w:rPr>
              <w:b/>
              <w:bCs/>
            </w:rPr>
            <w:fldChar w:fldCharType="separate"/>
          </w:r>
          <w:r>
            <w:rPr>
              <w:rFonts w:hint="eastAsia" w:ascii="Times New Roman" w:hAnsi="Times New Roman" w:eastAsia="楷体"/>
              <w:b/>
              <w:bCs/>
              <w:szCs w:val="24"/>
            </w:rPr>
            <w:t>股指：不建议追高，以低多IF思路为主</w:t>
          </w:r>
          <w:r>
            <w:rPr>
              <w:b/>
              <w:bCs/>
            </w:rPr>
            <w:fldChar w:fldCharType="end"/>
          </w:r>
        </w:p>
        <w:p>
          <w:pPr>
            <w:pStyle w:val="5"/>
            <w:tabs>
              <w:tab w:val="right" w:leader="dot" w:pos="8306"/>
            </w:tabs>
            <w:rPr>
              <w:b/>
              <w:bCs/>
            </w:rPr>
          </w:pPr>
          <w:r>
            <w:rPr>
              <w:b/>
              <w:bCs/>
            </w:rPr>
            <w:fldChar w:fldCharType="begin"/>
          </w:r>
          <w:r>
            <w:rPr>
              <w:b/>
              <w:bCs/>
            </w:rPr>
            <w:instrText xml:space="preserve"> HYPERLINK \l _Toc26626 </w:instrText>
          </w:r>
          <w:r>
            <w:rPr>
              <w:b/>
              <w:bCs/>
            </w:rPr>
            <w:fldChar w:fldCharType="separate"/>
          </w:r>
          <w:r>
            <w:rPr>
              <w:rFonts w:hint="eastAsia" w:ascii="Times New Roman" w:hAnsi="Times New Roman" w:eastAsia="楷体"/>
              <w:b/>
              <w:bCs/>
              <w:szCs w:val="30"/>
            </w:rPr>
            <w:t>[金属]</w:t>
          </w:r>
          <w:r>
            <w:rPr>
              <w:b/>
              <w:bCs/>
            </w:rPr>
            <w:fldChar w:fldCharType="end"/>
          </w:r>
        </w:p>
        <w:p>
          <w:pPr>
            <w:pStyle w:val="6"/>
            <w:tabs>
              <w:tab w:val="right" w:leader="dot" w:pos="8306"/>
            </w:tabs>
            <w:rPr>
              <w:b/>
              <w:bCs/>
            </w:rPr>
          </w:pPr>
          <w:r>
            <w:rPr>
              <w:b/>
              <w:bCs/>
            </w:rPr>
            <w:fldChar w:fldCharType="begin"/>
          </w:r>
          <w:r>
            <w:rPr>
              <w:b/>
              <w:bCs/>
            </w:rPr>
            <w:instrText xml:space="preserve"> HYPERLINK \l _Toc30680 </w:instrText>
          </w:r>
          <w:r>
            <w:rPr>
              <w:b/>
              <w:bCs/>
            </w:rPr>
            <w:fldChar w:fldCharType="separate"/>
          </w:r>
          <w:r>
            <w:rPr>
              <w:rFonts w:hint="eastAsia" w:ascii="楷体" w:hAnsi="楷体" w:eastAsia="楷体"/>
              <w:b/>
              <w:bCs/>
              <w:szCs w:val="24"/>
            </w:rPr>
            <w:t>螺纹钢：需求不好不差，消息扰动情绪，盘面震荡运行</w:t>
          </w:r>
          <w:r>
            <w:rPr>
              <w:b/>
              <w:bCs/>
            </w:rPr>
            <w:fldChar w:fldCharType="end"/>
          </w:r>
        </w:p>
        <w:p>
          <w:pPr>
            <w:pStyle w:val="6"/>
            <w:tabs>
              <w:tab w:val="right" w:leader="dot" w:pos="8306"/>
            </w:tabs>
            <w:rPr>
              <w:b/>
              <w:bCs/>
            </w:rPr>
          </w:pPr>
          <w:r>
            <w:rPr>
              <w:b/>
              <w:bCs/>
            </w:rPr>
            <w:fldChar w:fldCharType="begin"/>
          </w:r>
          <w:r>
            <w:rPr>
              <w:b/>
              <w:bCs/>
            </w:rPr>
            <w:instrText xml:space="preserve"> HYPERLINK \l _Toc5398 </w:instrText>
          </w:r>
          <w:r>
            <w:rPr>
              <w:b/>
              <w:bCs/>
            </w:rPr>
            <w:fldChar w:fldCharType="separate"/>
          </w:r>
          <w:r>
            <w:rPr>
              <w:rFonts w:hint="eastAsia" w:ascii="楷体" w:hAnsi="楷体" w:eastAsia="楷体"/>
              <w:b/>
              <w:bCs/>
              <w:szCs w:val="24"/>
            </w:rPr>
            <w:t>焦炭：短期贸易商补库为主，进入第一轮提涨博弈</w:t>
          </w:r>
          <w:r>
            <w:rPr>
              <w:b/>
              <w:bCs/>
            </w:rPr>
            <w:fldChar w:fldCharType="end"/>
          </w:r>
        </w:p>
        <w:p>
          <w:pPr>
            <w:pStyle w:val="6"/>
            <w:tabs>
              <w:tab w:val="right" w:leader="dot" w:pos="8306"/>
            </w:tabs>
            <w:rPr>
              <w:b/>
              <w:bCs/>
            </w:rPr>
          </w:pPr>
          <w:r>
            <w:rPr>
              <w:b/>
              <w:bCs/>
            </w:rPr>
            <w:fldChar w:fldCharType="begin"/>
          </w:r>
          <w:r>
            <w:rPr>
              <w:b/>
              <w:bCs/>
            </w:rPr>
            <w:instrText xml:space="preserve"> HYPERLINK \l _Toc19600 </w:instrText>
          </w:r>
          <w:r>
            <w:rPr>
              <w:b/>
              <w:bCs/>
            </w:rPr>
            <w:fldChar w:fldCharType="separate"/>
          </w:r>
          <w:r>
            <w:rPr>
              <w:rFonts w:hint="eastAsia" w:ascii="楷体" w:hAnsi="楷体" w:eastAsia="楷体"/>
              <w:b/>
              <w:bCs/>
              <w:szCs w:val="24"/>
            </w:rPr>
            <w:t>焦煤：现货转强，偏强运行下上方空间视成材而定本</w:t>
          </w:r>
          <w:r>
            <w:rPr>
              <w:b/>
              <w:bCs/>
            </w:rPr>
            <w:fldChar w:fldCharType="end"/>
          </w:r>
        </w:p>
        <w:p>
          <w:pPr>
            <w:pStyle w:val="6"/>
            <w:tabs>
              <w:tab w:val="right" w:leader="dot" w:pos="8306"/>
            </w:tabs>
            <w:rPr>
              <w:b/>
              <w:bCs/>
            </w:rPr>
          </w:pPr>
          <w:r>
            <w:rPr>
              <w:b/>
              <w:bCs/>
            </w:rPr>
            <w:fldChar w:fldCharType="begin"/>
          </w:r>
          <w:r>
            <w:rPr>
              <w:b/>
              <w:bCs/>
            </w:rPr>
            <w:instrText xml:space="preserve"> HYPERLINK \l _Toc22581 </w:instrText>
          </w:r>
          <w:r>
            <w:rPr>
              <w:b/>
              <w:bCs/>
            </w:rPr>
            <w:fldChar w:fldCharType="separate"/>
          </w:r>
          <w:r>
            <w:rPr>
              <w:rFonts w:hint="eastAsia" w:ascii="楷体" w:hAnsi="楷体" w:eastAsia="楷体"/>
              <w:b/>
              <w:bCs/>
              <w:szCs w:val="24"/>
            </w:rPr>
            <w:t>铜：美元指数止跌反弹，铜价承压运行</w:t>
          </w:r>
          <w:r>
            <w:rPr>
              <w:b/>
              <w:bCs/>
            </w:rPr>
            <w:fldChar w:fldCharType="end"/>
          </w:r>
        </w:p>
        <w:p>
          <w:pPr>
            <w:pStyle w:val="6"/>
            <w:tabs>
              <w:tab w:val="right" w:leader="dot" w:pos="8306"/>
            </w:tabs>
            <w:rPr>
              <w:b/>
              <w:bCs/>
            </w:rPr>
          </w:pPr>
          <w:r>
            <w:rPr>
              <w:b/>
              <w:bCs/>
            </w:rPr>
            <w:fldChar w:fldCharType="begin"/>
          </w:r>
          <w:r>
            <w:rPr>
              <w:b/>
              <w:bCs/>
            </w:rPr>
            <w:instrText xml:space="preserve"> HYPERLINK \l _Toc16379 </w:instrText>
          </w:r>
          <w:r>
            <w:rPr>
              <w:b/>
              <w:bCs/>
            </w:rPr>
            <w:fldChar w:fldCharType="separate"/>
          </w:r>
          <w:r>
            <w:rPr>
              <w:rFonts w:hint="eastAsia" w:ascii="楷体" w:hAnsi="楷体" w:eastAsia="楷体"/>
              <w:b/>
              <w:bCs/>
              <w:szCs w:val="24"/>
            </w:rPr>
            <w:t>铝：宏观情绪转弱，建议谨慎看多</w:t>
          </w:r>
          <w:r>
            <w:rPr>
              <w:b/>
              <w:bCs/>
            </w:rPr>
            <w:fldChar w:fldCharType="end"/>
          </w:r>
        </w:p>
        <w:p>
          <w:pPr>
            <w:pStyle w:val="6"/>
            <w:tabs>
              <w:tab w:val="right" w:leader="dot" w:pos="8306"/>
            </w:tabs>
            <w:rPr>
              <w:b/>
              <w:bCs/>
            </w:rPr>
          </w:pPr>
          <w:r>
            <w:rPr>
              <w:b/>
              <w:bCs/>
            </w:rPr>
            <w:fldChar w:fldCharType="begin"/>
          </w:r>
          <w:r>
            <w:rPr>
              <w:b/>
              <w:bCs/>
            </w:rPr>
            <w:instrText xml:space="preserve"> HYPERLINK \l _Toc17849 </w:instrText>
          </w:r>
          <w:r>
            <w:rPr>
              <w:b/>
              <w:bCs/>
            </w:rPr>
            <w:fldChar w:fldCharType="separate"/>
          </w:r>
          <w:r>
            <w:rPr>
              <w:rFonts w:hint="eastAsia" w:ascii="楷体" w:hAnsi="楷体" w:eastAsia="楷体"/>
              <w:b/>
              <w:bCs/>
              <w:szCs w:val="24"/>
            </w:rPr>
            <w:t>锌：基本面供弱需疲，锌价持续走高需谨慎看待</w:t>
          </w:r>
          <w:r>
            <w:rPr>
              <w:b/>
              <w:bCs/>
            </w:rPr>
            <w:fldChar w:fldCharType="end"/>
          </w:r>
        </w:p>
        <w:p>
          <w:pPr>
            <w:pStyle w:val="6"/>
            <w:tabs>
              <w:tab w:val="right" w:leader="dot" w:pos="8306"/>
            </w:tabs>
            <w:rPr>
              <w:b/>
              <w:bCs/>
            </w:rPr>
          </w:pPr>
          <w:r>
            <w:rPr>
              <w:b/>
              <w:bCs/>
            </w:rPr>
            <w:fldChar w:fldCharType="begin"/>
          </w:r>
          <w:r>
            <w:rPr>
              <w:b/>
              <w:bCs/>
            </w:rPr>
            <w:instrText xml:space="preserve"> HYPERLINK \l _Toc9665 </w:instrText>
          </w:r>
          <w:r>
            <w:rPr>
              <w:b/>
              <w:bCs/>
            </w:rPr>
            <w:fldChar w:fldCharType="separate"/>
          </w:r>
          <w:r>
            <w:rPr>
              <w:rFonts w:hint="eastAsia" w:ascii="楷体" w:hAnsi="楷体" w:eastAsia="楷体"/>
              <w:b/>
              <w:bCs/>
              <w:szCs w:val="24"/>
            </w:rPr>
            <w:t>工业硅：供需双弱，预计短期仍将趋稳运行</w:t>
          </w:r>
          <w:r>
            <w:rPr>
              <w:b/>
              <w:bCs/>
            </w:rPr>
            <w:fldChar w:fldCharType="end"/>
          </w:r>
        </w:p>
        <w:p>
          <w:pPr>
            <w:pStyle w:val="5"/>
            <w:tabs>
              <w:tab w:val="right" w:leader="dot" w:pos="8306"/>
            </w:tabs>
            <w:rPr>
              <w:b/>
              <w:bCs/>
            </w:rPr>
          </w:pPr>
          <w:r>
            <w:rPr>
              <w:b/>
              <w:bCs/>
            </w:rPr>
            <w:fldChar w:fldCharType="begin"/>
          </w:r>
          <w:r>
            <w:rPr>
              <w:b/>
              <w:bCs/>
            </w:rPr>
            <w:instrText xml:space="preserve"> HYPERLINK \l _Toc30865 </w:instrText>
          </w:r>
          <w:r>
            <w:rPr>
              <w:b/>
              <w:bCs/>
            </w:rPr>
            <w:fldChar w:fldCharType="separate"/>
          </w:r>
          <w:r>
            <w:rPr>
              <w:rFonts w:hint="eastAsia" w:ascii="Times New Roman" w:hAnsi="Times New Roman" w:eastAsia="楷体"/>
              <w:b/>
              <w:bCs/>
              <w:szCs w:val="30"/>
            </w:rPr>
            <w:t>[化工]</w:t>
          </w:r>
          <w:r>
            <w:rPr>
              <w:b/>
              <w:bCs/>
            </w:rPr>
            <w:fldChar w:fldCharType="end"/>
          </w:r>
        </w:p>
        <w:p>
          <w:pPr>
            <w:pStyle w:val="6"/>
            <w:tabs>
              <w:tab w:val="right" w:leader="dot" w:pos="8306"/>
            </w:tabs>
            <w:rPr>
              <w:b/>
              <w:bCs/>
            </w:rPr>
          </w:pPr>
          <w:r>
            <w:rPr>
              <w:b/>
              <w:bCs/>
            </w:rPr>
            <w:fldChar w:fldCharType="begin"/>
          </w:r>
          <w:r>
            <w:rPr>
              <w:b/>
              <w:bCs/>
            </w:rPr>
            <w:instrText xml:space="preserve"> HYPERLINK \l _Toc4947 </w:instrText>
          </w:r>
          <w:r>
            <w:rPr>
              <w:b/>
              <w:bCs/>
            </w:rPr>
            <w:fldChar w:fldCharType="separate"/>
          </w:r>
          <w:r>
            <w:rPr>
              <w:rFonts w:hint="eastAsia" w:ascii="Times New Roman" w:hAnsi="Times New Roman" w:eastAsia="楷体"/>
              <w:b/>
              <w:bCs/>
              <w:szCs w:val="24"/>
            </w:rPr>
            <w:t>乙二醇：供增需减 建议轻仓空单持有</w:t>
          </w:r>
          <w:r>
            <w:rPr>
              <w:b/>
              <w:bCs/>
            </w:rPr>
            <w:fldChar w:fldCharType="end"/>
          </w:r>
        </w:p>
        <w:p>
          <w:pPr>
            <w:pStyle w:val="6"/>
            <w:tabs>
              <w:tab w:val="right" w:leader="dot" w:pos="8306"/>
            </w:tabs>
            <w:rPr>
              <w:b/>
              <w:bCs/>
            </w:rPr>
          </w:pPr>
          <w:r>
            <w:rPr>
              <w:b/>
              <w:bCs/>
            </w:rPr>
            <w:fldChar w:fldCharType="begin"/>
          </w:r>
          <w:r>
            <w:rPr>
              <w:b/>
              <w:bCs/>
            </w:rPr>
            <w:instrText xml:space="preserve"> HYPERLINK \l _Toc1448 </w:instrText>
          </w:r>
          <w:r>
            <w:rPr>
              <w:b/>
              <w:bCs/>
            </w:rPr>
            <w:fldChar w:fldCharType="separate"/>
          </w:r>
          <w:r>
            <w:rPr>
              <w:rFonts w:ascii="楷体" w:hAnsi="楷体" w:eastAsia="楷体"/>
              <w:b/>
              <w:bCs/>
              <w:szCs w:val="24"/>
            </w:rPr>
            <w:t>PTA</w:t>
          </w:r>
          <w:r>
            <w:rPr>
              <w:rFonts w:hint="eastAsia" w:ascii="楷体" w:hAnsi="楷体" w:eastAsia="楷体"/>
              <w:b/>
              <w:bCs/>
              <w:szCs w:val="24"/>
            </w:rPr>
            <w:t>：受油价走低及需求疲软拖累  PTA走势偏空</w:t>
          </w:r>
          <w:r>
            <w:rPr>
              <w:b/>
              <w:bCs/>
            </w:rPr>
            <w:fldChar w:fldCharType="end"/>
          </w:r>
        </w:p>
        <w:p>
          <w:pPr>
            <w:pStyle w:val="5"/>
            <w:tabs>
              <w:tab w:val="right" w:leader="dot" w:pos="8306"/>
            </w:tabs>
            <w:rPr>
              <w:b/>
              <w:bCs/>
            </w:rPr>
          </w:pPr>
          <w:r>
            <w:rPr>
              <w:b/>
              <w:bCs/>
            </w:rPr>
            <w:fldChar w:fldCharType="begin"/>
          </w:r>
          <w:r>
            <w:rPr>
              <w:b/>
              <w:bCs/>
            </w:rPr>
            <w:instrText xml:space="preserve"> HYPERLINK \l _Toc12869 </w:instrText>
          </w:r>
          <w:r>
            <w:rPr>
              <w:b/>
              <w:bCs/>
            </w:rPr>
            <w:fldChar w:fldCharType="separate"/>
          </w:r>
          <w:r>
            <w:rPr>
              <w:rFonts w:hint="eastAsia" w:ascii="Times New Roman" w:hAnsi="Times New Roman" w:eastAsia="楷体"/>
              <w:b/>
              <w:bCs/>
              <w:szCs w:val="30"/>
            </w:rPr>
            <w:t>[农产品]</w:t>
          </w:r>
          <w:r>
            <w:rPr>
              <w:b/>
              <w:bCs/>
            </w:rPr>
            <w:fldChar w:fldCharType="end"/>
          </w:r>
        </w:p>
        <w:p>
          <w:pPr>
            <w:pStyle w:val="6"/>
            <w:tabs>
              <w:tab w:val="right" w:leader="dot" w:pos="8306"/>
            </w:tabs>
            <w:rPr>
              <w:b/>
              <w:bCs/>
            </w:rPr>
          </w:pPr>
          <w:r>
            <w:rPr>
              <w:b/>
              <w:bCs/>
            </w:rPr>
            <w:fldChar w:fldCharType="begin"/>
          </w:r>
          <w:r>
            <w:rPr>
              <w:b/>
              <w:bCs/>
            </w:rPr>
            <w:instrText xml:space="preserve"> HYPERLINK \l _Toc32588 </w:instrText>
          </w:r>
          <w:r>
            <w:rPr>
              <w:b/>
              <w:bCs/>
            </w:rPr>
            <w:fldChar w:fldCharType="separate"/>
          </w:r>
          <w:r>
            <w:rPr>
              <w:rFonts w:hint="eastAsia" w:ascii="楷体" w:hAnsi="楷体" w:eastAsia="楷体"/>
              <w:b/>
              <w:bCs/>
              <w:szCs w:val="24"/>
            </w:rPr>
            <w:t>豆粕：基差开始松动，暂看下方4100支撑</w:t>
          </w:r>
          <w:r>
            <w:rPr>
              <w:b/>
              <w:bCs/>
            </w:rPr>
            <w:fldChar w:fldCharType="end"/>
          </w:r>
        </w:p>
        <w:p>
          <w:pPr>
            <w:pStyle w:val="6"/>
            <w:tabs>
              <w:tab w:val="right" w:leader="dot" w:pos="8306"/>
            </w:tabs>
            <w:rPr>
              <w:b/>
              <w:bCs/>
            </w:rPr>
          </w:pPr>
          <w:r>
            <w:rPr>
              <w:b/>
              <w:bCs/>
            </w:rPr>
            <w:fldChar w:fldCharType="begin"/>
          </w:r>
          <w:r>
            <w:rPr>
              <w:b/>
              <w:bCs/>
            </w:rPr>
            <w:instrText xml:space="preserve"> HYPERLINK \l _Toc18065 </w:instrText>
          </w:r>
          <w:r>
            <w:rPr>
              <w:b/>
              <w:bCs/>
            </w:rPr>
            <w:fldChar w:fldCharType="separate"/>
          </w:r>
          <w:r>
            <w:rPr>
              <w:rFonts w:hint="eastAsia" w:ascii="楷体" w:hAnsi="楷体" w:eastAsia="楷体"/>
              <w:b/>
              <w:bCs/>
              <w:szCs w:val="24"/>
            </w:rPr>
            <w:t>油脂：外盘走弱，短期拖累油脂走势</w:t>
          </w:r>
          <w:r>
            <w:rPr>
              <w:b/>
              <w:bCs/>
            </w:rPr>
            <w:fldChar w:fldCharType="end"/>
          </w:r>
        </w:p>
        <w:p>
          <w:pPr>
            <w:pStyle w:val="6"/>
            <w:tabs>
              <w:tab w:val="right" w:leader="dot" w:pos="8306"/>
            </w:tabs>
            <w:rPr>
              <w:b/>
              <w:bCs/>
            </w:rPr>
          </w:pPr>
          <w:r>
            <w:rPr>
              <w:b/>
              <w:bCs/>
            </w:rPr>
            <w:fldChar w:fldCharType="begin"/>
          </w:r>
          <w:r>
            <w:rPr>
              <w:b/>
              <w:bCs/>
            </w:rPr>
            <w:instrText xml:space="preserve"> HYPERLINK \l _Toc12520 </w:instrText>
          </w:r>
          <w:r>
            <w:rPr>
              <w:b/>
              <w:bCs/>
            </w:rPr>
            <w:fldChar w:fldCharType="separate"/>
          </w:r>
          <w:r>
            <w:rPr>
              <w:rFonts w:hint="eastAsia" w:ascii="楷体" w:hAnsi="楷体" w:eastAsia="楷体"/>
              <w:b/>
              <w:bCs/>
            </w:rPr>
            <w:t>玉米与淀粉：淀粉-玉米价差大幅回落</w:t>
          </w:r>
          <w:r>
            <w:rPr>
              <w:b/>
              <w:bCs/>
            </w:rPr>
            <w:fldChar w:fldCharType="end"/>
          </w:r>
        </w:p>
        <w:p>
          <w:pPr>
            <w:pStyle w:val="6"/>
            <w:tabs>
              <w:tab w:val="right" w:leader="dot" w:pos="8306"/>
            </w:tabs>
            <w:rPr>
              <w:b/>
              <w:bCs/>
            </w:rPr>
          </w:pPr>
          <w:r>
            <w:rPr>
              <w:b/>
              <w:bCs/>
            </w:rPr>
            <w:fldChar w:fldCharType="begin"/>
          </w:r>
          <w:r>
            <w:rPr>
              <w:b/>
              <w:bCs/>
            </w:rPr>
            <w:instrText xml:space="preserve"> HYPERLINK \l _Toc4068 </w:instrText>
          </w:r>
          <w:r>
            <w:rPr>
              <w:b/>
              <w:bCs/>
            </w:rPr>
            <w:fldChar w:fldCharType="separate"/>
          </w:r>
          <w:r>
            <w:rPr>
              <w:rFonts w:hint="eastAsia" w:ascii="楷体" w:hAnsi="楷体" w:eastAsia="楷体"/>
              <w:b/>
              <w:bCs/>
            </w:rPr>
            <w:t>畜禽养殖：期价继续弱势震荡运行</w:t>
          </w:r>
          <w:r>
            <w:rPr>
              <w:b/>
              <w:bCs/>
            </w:rPr>
            <w:fldChar w:fldCharType="end"/>
          </w:r>
        </w:p>
        <w:p>
          <w:pPr>
            <w:pStyle w:val="6"/>
            <w:tabs>
              <w:tab w:val="right" w:leader="dot" w:pos="8306"/>
            </w:tabs>
            <w:rPr>
              <w:b/>
              <w:bCs/>
            </w:rPr>
          </w:pPr>
          <w:r>
            <w:rPr>
              <w:b/>
              <w:bCs/>
            </w:rPr>
            <w:fldChar w:fldCharType="begin"/>
          </w:r>
          <w:r>
            <w:rPr>
              <w:b/>
              <w:bCs/>
            </w:rPr>
            <w:instrText xml:space="preserve"> HYPERLINK \l _Toc15769 </w:instrText>
          </w:r>
          <w:r>
            <w:rPr>
              <w:b/>
              <w:bCs/>
            </w:rPr>
            <w:fldChar w:fldCharType="separate"/>
          </w:r>
          <w:r>
            <w:rPr>
              <w:rFonts w:hint="eastAsia" w:ascii="楷体" w:hAnsi="楷体" w:eastAsia="楷体"/>
              <w:b/>
              <w:bCs/>
              <w:szCs w:val="24"/>
            </w:rPr>
            <w:t>郑棉：因美元走强和出口数据极差表现，美棉震荡偏弱</w:t>
          </w:r>
          <w:r>
            <w:rPr>
              <w:b/>
              <w:bCs/>
            </w:rPr>
            <w:fldChar w:fldCharType="end"/>
          </w:r>
        </w:p>
        <w:p>
          <w:r>
            <w:rPr>
              <w:b/>
              <w:bCs/>
            </w:rPr>
            <w:fldChar w:fldCharType="end"/>
          </w:r>
        </w:p>
      </w:sdtContent>
    </w:sdt>
    <w:p>
      <w:pPr>
        <w:rPr>
          <w:rFonts w:ascii="Times New Roman" w:hAnsi="Times New Roman" w:eastAsia="楷体"/>
          <w:b/>
        </w:rPr>
      </w:pPr>
    </w:p>
    <w:p>
      <w:pPr>
        <w:rPr>
          <w:rFonts w:ascii="Times New Roman" w:hAnsi="Times New Roman" w:eastAsia="楷体"/>
          <w:b/>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b/>
          <w:color w:val="823C0B"/>
          <w:sz w:val="24"/>
          <w:lang w:val="en-US" w:eastAsia="zh-CN"/>
        </w:rPr>
        <w:t>本文</w:t>
      </w:r>
      <w:r>
        <w:rPr>
          <w:rFonts w:hint="eastAsia" w:ascii="Times New Roman" w:hAnsi="Times New Roman" w:eastAsia="楷体" w:cs="Times New Roman"/>
          <w:b/>
          <w:color w:val="823C0B"/>
          <w:sz w:val="24"/>
        </w:rPr>
        <w:t>观点</w:t>
      </w:r>
      <w:r>
        <w:rPr>
          <w:rFonts w:hint="eastAsia" w:ascii="Times New Roman" w:hAnsi="Times New Roman" w:eastAsia="楷体" w:cs="Times New Roman"/>
          <w:b/>
          <w:color w:val="823C0B"/>
          <w:sz w:val="24"/>
          <w:lang w:eastAsia="zh-CN"/>
        </w:rPr>
        <w:t>、</w:t>
      </w:r>
      <w:r>
        <w:rPr>
          <w:rFonts w:hint="eastAsia" w:ascii="Times New Roman" w:hAnsi="Times New Roman" w:eastAsia="楷体" w:cs="Times New Roman"/>
          <w:b/>
          <w:color w:val="823C0B"/>
          <w:sz w:val="24"/>
          <w:lang w:val="en-US" w:eastAsia="zh-CN"/>
        </w:rPr>
        <w:t>结论和</w:t>
      </w:r>
      <w:r>
        <w:rPr>
          <w:rFonts w:hint="eastAsia" w:ascii="Times New Roman" w:hAnsi="Times New Roman" w:eastAsia="楷体" w:cs="Times New Roman"/>
          <w:b/>
          <w:color w:val="823C0B"/>
          <w:sz w:val="24"/>
        </w:rPr>
        <w:t>建议</w:t>
      </w:r>
      <w:r>
        <w:rPr>
          <w:rFonts w:hint="eastAsia" w:ascii="Times New Roman" w:hAnsi="Times New Roman" w:eastAsia="楷体" w:cs="Times New Roman"/>
          <w:b/>
          <w:color w:val="823C0B"/>
          <w:sz w:val="24"/>
          <w:lang w:val="en-US" w:eastAsia="zh-CN"/>
        </w:rPr>
        <w:t>等</w:t>
      </w:r>
      <w:r>
        <w:rPr>
          <w:rFonts w:hint="eastAsia" w:ascii="Times New Roman" w:hAnsi="Times New Roman" w:eastAsia="楷体" w:cs="Times New Roman"/>
          <w:b/>
          <w:color w:val="823C0B"/>
          <w:sz w:val="24"/>
        </w:rPr>
        <w:t>仅供参考，并不构成操作依据！请阅读文末免责声明。</w:t>
      </w:r>
    </w:p>
    <w:p>
      <w:pPr>
        <w:rPr>
          <w:rFonts w:hint="eastAsia"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0" w:name="_Toc18033"/>
      <w:bookmarkStart w:id="1" w:name="_Toc19317"/>
      <w:bookmarkStart w:id="2" w:name="_Toc14298"/>
      <w:bookmarkStart w:id="3" w:name="金融"/>
      <w:r>
        <w:rPr>
          <w:rFonts w:hint="eastAsia" w:ascii="Times New Roman" w:hAnsi="Times New Roman" w:eastAsia="楷体"/>
          <w:b/>
          <w:color w:val="823C0B"/>
          <w:sz w:val="30"/>
          <w:szCs w:val="30"/>
        </w:rPr>
        <w:t>[金融]</w:t>
      </w:r>
      <w:bookmarkEnd w:id="0"/>
      <w:bookmarkEnd w:id="1"/>
      <w:bookmarkEnd w:id="2"/>
    </w:p>
    <w:bookmarkEnd w:id="3"/>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 w:name="_Toc965"/>
      <w:bookmarkStart w:id="5" w:name="_Toc16295"/>
      <w:bookmarkStart w:id="6" w:name="_Toc27026"/>
      <w:r>
        <w:rPr>
          <w:rFonts w:hint="eastAsia" w:ascii="Times New Roman" w:hAnsi="Times New Roman" w:eastAsia="楷体"/>
          <w:b/>
          <w:color w:val="000000" w:themeColor="text1"/>
          <w:sz w:val="24"/>
          <w:szCs w:val="24"/>
          <w14:textFill>
            <w14:solidFill>
              <w14:schemeClr w14:val="tx1"/>
            </w14:solidFill>
          </w14:textFill>
        </w:rPr>
        <w:t>股指：</w:t>
      </w:r>
      <w:bookmarkEnd w:id="4"/>
      <w:bookmarkEnd w:id="5"/>
      <w:r>
        <w:rPr>
          <w:rFonts w:hint="eastAsia" w:ascii="Times New Roman" w:hAnsi="Times New Roman" w:eastAsia="楷体"/>
          <w:b/>
          <w:color w:val="000000" w:themeColor="text1"/>
          <w:sz w:val="24"/>
          <w:szCs w:val="24"/>
          <w14:textFill>
            <w14:solidFill>
              <w14:schemeClr w14:val="tx1"/>
            </w14:solidFill>
          </w14:textFill>
        </w:rPr>
        <w:t>不建议追高，以低多IF思路为主</w:t>
      </w:r>
      <w:bookmarkEnd w:id="6"/>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近期受债市流动性紧张影响引发大幅抛售的行为，对股市存一定情绪扰动，但昨日央行单日逆回购净投放1230亿元补充流动性，债市有所反弹，料债市因素为短期扰动。目前，政策偏暖基调下，市场风险偏好未见转弱，北向继续单日净流入，但鉴于大盘 3150 以上平台压力较大且基本面形势并未发生明显转变，存量资金轮动加速，市场主线未完全明朗。 要想突破平台压力还需量能有效释放，不建议追高，以低多IF思路为主。</w:t>
      </w:r>
    </w:p>
    <w:p>
      <w:pPr>
        <w:pBdr>
          <w:top w:val="single" w:color="auto" w:sz="4" w:space="0"/>
        </w:pBdr>
        <w:outlineLvl w:val="0"/>
        <w:rPr>
          <w:rFonts w:ascii="Times New Roman" w:hAnsi="Times New Roman" w:eastAsia="楷体"/>
          <w:b/>
          <w:color w:val="823C0B"/>
          <w:sz w:val="30"/>
          <w:szCs w:val="30"/>
        </w:rPr>
      </w:pPr>
      <w:bookmarkStart w:id="7" w:name="_Toc20891"/>
      <w:bookmarkStart w:id="8" w:name="金属"/>
      <w:bookmarkStart w:id="9" w:name="_Toc3096"/>
      <w:bookmarkStart w:id="10" w:name="_Toc26626"/>
      <w:bookmarkStart w:id="11" w:name="农产品"/>
      <w:r>
        <w:rPr>
          <w:rFonts w:hint="eastAsia" w:ascii="Times New Roman" w:hAnsi="Times New Roman" w:eastAsia="楷体"/>
          <w:b/>
          <w:color w:val="823C0B"/>
          <w:sz w:val="30"/>
          <w:szCs w:val="30"/>
        </w:rPr>
        <w:t>[金属]</w:t>
      </w:r>
      <w:bookmarkEnd w:id="7"/>
      <w:bookmarkEnd w:id="8"/>
      <w:bookmarkEnd w:id="9"/>
      <w:bookmarkEnd w:id="10"/>
    </w:p>
    <w:p>
      <w:pPr>
        <w:ind w:left="420" w:leftChars="200"/>
        <w:outlineLvl w:val="1"/>
        <w:rPr>
          <w:rFonts w:ascii="楷体" w:hAnsi="楷体" w:eastAsia="楷体"/>
          <w:b/>
          <w:color w:val="000000" w:themeColor="text1"/>
          <w:sz w:val="24"/>
          <w:szCs w:val="24"/>
          <w14:textFill>
            <w14:solidFill>
              <w14:schemeClr w14:val="tx1"/>
            </w14:solidFill>
          </w14:textFill>
        </w:rPr>
      </w:pPr>
      <w:bookmarkStart w:id="12" w:name="_Toc5371"/>
      <w:bookmarkStart w:id="13" w:name="_Toc27831"/>
      <w:bookmarkStart w:id="14" w:name="_Toc30680"/>
      <w:r>
        <w:rPr>
          <w:rFonts w:hint="eastAsia" w:ascii="楷体" w:hAnsi="楷体" w:eastAsia="楷体"/>
          <w:b/>
          <w:color w:val="000000" w:themeColor="text1"/>
          <w:sz w:val="24"/>
          <w:szCs w:val="24"/>
          <w14:textFill>
            <w14:solidFill>
              <w14:schemeClr w14:val="tx1"/>
            </w14:solidFill>
          </w14:textFill>
        </w:rPr>
        <w:t>螺纹钢：</w:t>
      </w:r>
      <w:bookmarkEnd w:id="12"/>
      <w:bookmarkEnd w:id="13"/>
      <w:r>
        <w:rPr>
          <w:rFonts w:hint="eastAsia" w:ascii="楷体" w:hAnsi="楷体" w:eastAsia="楷体"/>
          <w:b/>
          <w:color w:val="000000" w:themeColor="text1"/>
          <w:sz w:val="24"/>
          <w:szCs w:val="24"/>
          <w14:textFill>
            <w14:solidFill>
              <w14:schemeClr w14:val="tx1"/>
            </w14:solidFill>
          </w14:textFill>
        </w:rPr>
        <w:t>需求不好不差，消息扰动情绪，盘面震荡运行</w:t>
      </w:r>
      <w:bookmarkEnd w:id="1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钢材现货成交相对偏差，价格下跌压制情绪，短期或继续维持震荡走势。但钢材产业处于淡季，需求积极性下行及行业资金偏紧下，现货价格上方具有较大压力。短期情绪偏强，但上方压力较大。预计本周RB01合约价格中枢上移至（3600,3850），其中（3750,3850）压力较强。建议关注螺纹钢1-5正套。</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5" w:name="_Toc4790"/>
      <w:bookmarkStart w:id="16" w:name="_Toc11356"/>
      <w:bookmarkStart w:id="17" w:name="_Toc5398"/>
      <w:r>
        <w:rPr>
          <w:rFonts w:hint="eastAsia" w:ascii="楷体" w:hAnsi="楷体" w:eastAsia="楷体"/>
          <w:b/>
          <w:color w:val="000000" w:themeColor="text1"/>
          <w:sz w:val="24"/>
          <w:szCs w:val="24"/>
          <w14:textFill>
            <w14:solidFill>
              <w14:schemeClr w14:val="tx1"/>
            </w14:solidFill>
          </w14:textFill>
        </w:rPr>
        <w:t>焦炭：</w:t>
      </w:r>
      <w:bookmarkEnd w:id="15"/>
      <w:bookmarkEnd w:id="16"/>
      <w:r>
        <w:rPr>
          <w:rFonts w:hint="eastAsia" w:ascii="楷体" w:hAnsi="楷体" w:eastAsia="楷体"/>
          <w:b/>
          <w:color w:val="000000" w:themeColor="text1"/>
          <w:sz w:val="24"/>
          <w:szCs w:val="24"/>
          <w14:textFill>
            <w14:solidFill>
              <w14:schemeClr w14:val="tx1"/>
            </w14:solidFill>
          </w14:textFill>
        </w:rPr>
        <w:t>短期贸易商补库为主，进入第一轮提涨博弈</w:t>
      </w:r>
      <w:bookmarkEnd w:id="17"/>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集港利润转正，贸易商库存偏低，但钢厂小幅度补库后有按需采购为主，贸易商集港或分流焦炭产量压力。焦企亏损下库存压力缩减，预计将博弈一段时间，第一轮提涨落地概率较大，但对3、4轮存在分歧，主要需要靠材打开空间，短期或在（2630,2830）区间震荡，近期或试探区间上方压力。</w:t>
      </w:r>
    </w:p>
    <w:p>
      <w:pPr>
        <w:ind w:left="210" w:leftChars="100"/>
        <w:rPr>
          <w:rFonts w:ascii="楷体" w:hAnsi="楷体" w:eastAsia="楷体"/>
          <w:bCs/>
          <w:sz w:val="24"/>
          <w:szCs w:val="24"/>
        </w:rPr>
      </w:pPr>
    </w:p>
    <w:p>
      <w:pPr>
        <w:ind w:left="420" w:leftChars="200"/>
        <w:outlineLvl w:val="1"/>
        <w:rPr>
          <w:rFonts w:ascii="楷体" w:hAnsi="楷体" w:eastAsia="楷体"/>
          <w:b/>
          <w:sz w:val="24"/>
          <w:szCs w:val="24"/>
        </w:rPr>
      </w:pPr>
      <w:bookmarkStart w:id="18" w:name="_Toc19600"/>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现货转强，偏强运行下上方空间视成材而定本</w:t>
      </w:r>
      <w:bookmarkEnd w:id="18"/>
    </w:p>
    <w:p>
      <w:pPr>
        <w:ind w:left="630" w:leftChars="300"/>
        <w:rPr>
          <w:rFonts w:ascii="楷体" w:hAnsi="楷体" w:eastAsia="楷体"/>
          <w:bCs/>
          <w:sz w:val="24"/>
          <w:szCs w:val="24"/>
        </w:rPr>
      </w:pPr>
      <w:r>
        <w:rPr>
          <w:rFonts w:hint="eastAsia" w:ascii="楷体" w:hAnsi="楷体" w:eastAsia="楷体"/>
          <w:sz w:val="24"/>
          <w:szCs w:val="24"/>
        </w:rPr>
        <w:t>周国内煤矿产量或偏稳，蒙煤通关数量持续上行，焦煤产量在11月或或偏稳有进，但高度或有限。中期冬储预期或支撑现货价格偏强运行，澳煤及蒙煤同比增量预期压制远期估值。焦煤或随成材波动，短期日耗上焦煤过剩下，焦化利润或有所修复，焦煤短期或试探前高压力。</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9" w:name="_Toc9719"/>
      <w:bookmarkStart w:id="20" w:name="_Toc25617"/>
      <w:bookmarkStart w:id="21" w:name="_Toc22581"/>
      <w:r>
        <w:rPr>
          <w:rFonts w:hint="eastAsia" w:ascii="楷体" w:hAnsi="楷体" w:eastAsia="楷体"/>
          <w:b/>
          <w:color w:val="000000" w:themeColor="text1"/>
          <w:sz w:val="24"/>
          <w:szCs w:val="24"/>
          <w14:textFill>
            <w14:solidFill>
              <w14:schemeClr w14:val="tx1"/>
            </w14:solidFill>
          </w14:textFill>
        </w:rPr>
        <w:t>铜：</w:t>
      </w:r>
      <w:bookmarkEnd w:id="19"/>
      <w:bookmarkEnd w:id="20"/>
      <w:r>
        <w:rPr>
          <w:rFonts w:hint="eastAsia" w:ascii="楷体" w:hAnsi="楷体" w:eastAsia="楷体"/>
          <w:b/>
          <w:color w:val="000000" w:themeColor="text1"/>
          <w:sz w:val="24"/>
          <w:szCs w:val="24"/>
          <w14:textFill>
            <w14:solidFill>
              <w14:schemeClr w14:val="tx1"/>
            </w14:solidFill>
          </w14:textFill>
        </w:rPr>
        <w:t>美元指数止跌反弹，铜价承压运行</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作为美联储鹰派官员的代表人物，布拉德认为，虽然美联储今年采取了积极的行动，但迄今为止，美联储加息“对观察到的通胀影响有限”，政策尚未处于“足够限制性”的范围内，不足以降低通胀，利率需要进一步提高以抑制通胀。</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(2)库存：11月17日，SHFE仓单库存59025吨，减2951吨。LME仓单库存89925吨，增250吨。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(3)精废价差：11月17日，Mysteel精废价差1928，收窄8。目前价差在合理价差1367之上。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隔夜联储官员发表鹰派言论，美元指数呈现止跌反弹迹象，整体有色承压运行。近期宏观利多集中释放后，预计铜价上涨已达阶段性高位，全球经济持续走弱大背景下，当前铜价反弹持续性及空间受限。微观指标看，近期LME 及国内库存双双回升，但持续性仍有待观察，换月后沪铜升水再次走强，反应现货依然偏紧，预计短期铜价亦难有趋势性下跌，下方支撑位64000一线。</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2" w:name="_Toc8897"/>
      <w:bookmarkStart w:id="23" w:name="_Toc6247"/>
      <w:bookmarkStart w:id="24" w:name="_Toc16379"/>
      <w:r>
        <w:rPr>
          <w:rFonts w:hint="eastAsia" w:ascii="楷体" w:hAnsi="楷体" w:eastAsia="楷体"/>
          <w:b/>
          <w:color w:val="000000" w:themeColor="text1"/>
          <w:sz w:val="24"/>
          <w:szCs w:val="24"/>
          <w14:textFill>
            <w14:solidFill>
              <w14:schemeClr w14:val="tx1"/>
            </w14:solidFill>
          </w14:textFill>
        </w:rPr>
        <w:t>铝：</w:t>
      </w:r>
      <w:bookmarkEnd w:id="22"/>
      <w:bookmarkEnd w:id="23"/>
      <w:r>
        <w:rPr>
          <w:rFonts w:hint="eastAsia" w:ascii="楷体" w:hAnsi="楷体" w:eastAsia="楷体"/>
          <w:b/>
          <w:color w:val="000000" w:themeColor="text1"/>
          <w:sz w:val="24"/>
          <w:szCs w:val="24"/>
          <w14:textFill>
            <w14:solidFill>
              <w14:schemeClr w14:val="tx1"/>
            </w14:solidFill>
          </w14:textFill>
        </w:rPr>
        <w:t>宏观情绪转弱，建议谨慎看多</w:t>
      </w:r>
      <w:bookmarkEnd w:id="24"/>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联储官员发表鹰派言论，美元指数企稳走高，欧元区10月CPI终值冲历史新高，宏观面再度承压。海外再传减产消息，市场预期海外减产产能约200万吨，欧美高通胀压力仍存，需求提振乏力。国内延续宽松货币环境叠加疫情精准防控政策，消费仍有向好预期，1-10月全国房地产开发投资同比下降8.8%，房地产板块仍是经济消费拖累。疫情影响仍未消减，部门地区已完全放开管控，河南、山东受疫情及铝产利润低迷影响当地产能预期部分减产，铝交易所库存及社会库存低位去库，中游冶炼加工开工率环比略有上涨，下游仍以刚需采购为主，需求端未见明显改善。短期震荡偏多，注意价格高位回落风险。</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5" w:name="_Toc17849"/>
      <w:r>
        <w:rPr>
          <w:rFonts w:hint="eastAsia" w:ascii="楷体" w:hAnsi="楷体" w:eastAsia="楷体"/>
          <w:b/>
          <w:color w:val="000000" w:themeColor="text1"/>
          <w:sz w:val="24"/>
          <w:szCs w:val="24"/>
          <w14:textFill>
            <w14:solidFill>
              <w14:schemeClr w14:val="tx1"/>
            </w14:solidFill>
          </w14:textFill>
        </w:rPr>
        <w:t>锌：基本面供弱需疲，锌价持续走高需谨慎看待</w:t>
      </w:r>
      <w:bookmarkEnd w:id="2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17日沪锌隔夜收盘价格24310元/吨，涨幅0.27%，上海有色网0#锌锭（Zn99.995）现货报价24680元/吨，较上一统计日报价下跌20元/吨。联储鹰派发言，美元企稳走高。欧洲所有锌厂限产，Nyrstar宣布11月重启位于荷兰的锌厂，涉及产能约30万吨，海外供应有走好预期，近期欧洲天气气温下降，天然气价格再度攀升，海外经济陷入衰退，需求表现仍旧疲弱。国内货币政策延续宽松，降息降准仍可期，国内罗平锌电计划复产开矿3000万吨，国家三部门联合发布有色金属碳达峰实施方案，四川部分炼厂因不符合环保要求进行减停产，国内10月房地产数据表现不佳，多地疫情高发影响生产消费，国内锌产量持续上升，下游采购情绪略有转好但仍未明显改善。海内外库存维持历史低位仍在去库阶段，价格有低库存强支撑，但需求疲弱抑制价格上行，谨慎看多。</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26" w:name="_Toc9665"/>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供需双弱，预计短期仍将趋稳运行</w:t>
      </w:r>
      <w:bookmarkEnd w:id="26"/>
    </w:p>
    <w:p>
      <w:pPr>
        <w:ind w:left="630" w:leftChars="300"/>
        <w:rPr>
          <w:rFonts w:ascii="楷体" w:hAnsi="楷体" w:eastAsia="楷体"/>
          <w:sz w:val="24"/>
          <w:szCs w:val="24"/>
        </w:rPr>
      </w:pPr>
      <w:r>
        <w:rPr>
          <w:rFonts w:hint="eastAsia" w:ascii="楷体" w:hAnsi="楷体" w:eastAsia="楷体"/>
          <w:sz w:val="24"/>
          <w:szCs w:val="24"/>
        </w:rPr>
        <w:t>11月17日，华东地区553（通氧）20650元/吨，较上个统计日下降200元/吨，因下游需求低迷，市场整体略有下降。供应方面，新疆疫情仍旧严峻，受交通管控影响硅厂原材料供应稍显紧张，开炉整体大幅减少，同时产品运输疆外也较为困难。云南地区因疫情执行交通管制，叠加11月硅厂电价上调，电力成本增加，以及有进一步限电限产可能性。需求方面，当前市场需求整体仍旧低迷，以刚需采购为主。综合来看，短期市场整体呈供需双弱，预计硅价将阶段性企稳。</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7" w:name="化工"/>
      <w:r>
        <w:rPr>
          <w:rFonts w:hint="eastAsia" w:ascii="Times New Roman" w:hAnsi="Times New Roman" w:eastAsia="楷体"/>
          <w:b/>
          <w:color w:val="823C0B"/>
          <w:sz w:val="30"/>
          <w:szCs w:val="30"/>
        </w:rPr>
        <w:t xml:space="preserve"> </w:t>
      </w:r>
      <w:bookmarkStart w:id="28" w:name="_Toc30865"/>
      <w:r>
        <w:rPr>
          <w:rFonts w:hint="eastAsia" w:ascii="Times New Roman" w:hAnsi="Times New Roman" w:eastAsia="楷体"/>
          <w:b/>
          <w:color w:val="823C0B"/>
          <w:sz w:val="30"/>
          <w:szCs w:val="30"/>
        </w:rPr>
        <w:t>[化工]</w:t>
      </w:r>
      <w:bookmarkEnd w:id="27"/>
      <w:bookmarkEnd w:id="28"/>
    </w:p>
    <w:p>
      <w:pPr>
        <w:ind w:firstLine="482" w:firstLineChars="200"/>
        <w:outlineLvl w:val="1"/>
        <w:rPr>
          <w:rFonts w:ascii="Times New Roman" w:hAnsi="Times New Roman" w:eastAsia="楷体"/>
          <w:b/>
          <w:sz w:val="24"/>
          <w:szCs w:val="24"/>
        </w:rPr>
      </w:pPr>
      <w:bookmarkStart w:id="29" w:name="_Toc4947"/>
      <w:r>
        <w:rPr>
          <w:rFonts w:hint="eastAsia" w:ascii="Times New Roman" w:hAnsi="Times New Roman" w:eastAsia="楷体"/>
          <w:b/>
          <w:color w:val="000000" w:themeColor="text1"/>
          <w:sz w:val="24"/>
          <w:szCs w:val="24"/>
          <w14:textFill>
            <w14:solidFill>
              <w14:schemeClr w14:val="tx1"/>
            </w14:solidFill>
          </w14:textFill>
        </w:rPr>
        <w:t>乙二醇：</w:t>
      </w:r>
      <w:r>
        <w:rPr>
          <w:rFonts w:hint="eastAsia" w:ascii="Times New Roman" w:hAnsi="Times New Roman" w:eastAsia="楷体"/>
          <w:b/>
          <w:sz w:val="24"/>
          <w:szCs w:val="24"/>
        </w:rPr>
        <w:t>供增需减 建议轻仓空单持有</w:t>
      </w:r>
      <w:bookmarkEnd w:id="29"/>
    </w:p>
    <w:p>
      <w:pPr>
        <w:ind w:left="630" w:leftChars="300"/>
        <w:rPr>
          <w:rFonts w:ascii="楷体" w:hAnsi="楷体" w:eastAsia="楷体"/>
          <w:sz w:val="24"/>
          <w:szCs w:val="24"/>
        </w:rPr>
      </w:pPr>
      <w:r>
        <w:rPr>
          <w:rFonts w:hint="eastAsia" w:ascii="楷体" w:hAnsi="楷体" w:eastAsia="楷体"/>
          <w:sz w:val="24"/>
          <w:szCs w:val="24"/>
        </w:rPr>
        <w:t>供需情况，11.14华东主港地区MEG港口库存约86.4万吨附近，环比上期减少1.4万吨。供需情况，中国大陆地区乙二醇整体开工负荷在55.14%（-1.25%），其中煤制乙二醇开工负荷在32.43%（-0.65%），乙二醇负荷小幅回落。从聚酯需求端来看，本周装置变动仍体现在长丝环节，工厂继续减产检修，而短纤瓶片则保持稳定。截至本周四，初步核算国内大陆地区聚酯负荷在78%。除了短纤工厂库存水平偏低外，涤纶长丝及终端坯布库存均有30天以上。终端需求疲软现状难改，下游开工持续下滑。截至11.17，江浙加弹开工率57%（-3%）、江浙织机开工率49%（-3%）、浙江印染开工率50%（-2%）。少数加弹、织造、印染企业甚至开始安排放年假的计划，预估进入12月份以后下游放年假的现象会进一步增多。供应恢复叠加聚酯负荷走低，供需矛盾加剧。综合来看，聚酯及终端已经开启降负，部分聚酯工厂陆续落实减产动作，需求环节支撑逐步下滑。后期新装置货源陆续兑现市场后现货端口依旧承压明显，维持高位布空思路。仅供参考。</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0" w:name="_Toc1448"/>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：受油价走低及需求疲软拖累  PTA走势偏空</w:t>
      </w:r>
      <w:bookmarkEnd w:id="30"/>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从PTA成本端来看，PX开工率提升至76%，新装置投产在即，PX价格回落。PTA供需方面，部分PTA装置开启停车或检修，如恒力2#、逸盛225万吨装置后期有停车计划，英力士近期负荷降至7成偏下，其一套产能110万吨的装置11月中计划停车检修降负，亚东石化75万吨装置11月底停车。综合来看，PTA整体负荷在72~73%附近波动。聚酯方面，本周装置变动仍体现在长丝环节，工厂继续减产检修，而短纤瓶片则保持稳定。截至本周四，初步核算国内大陆地区聚酯负荷在78%（-1%）。终端方面，坯布订单和出货氛围均偏弱维持，染厂和织造环节开工持续走弱，涤丝缺乏需求。综合来看，近期石脑油价格强势，PXN的价差大幅收缩，PTA的成本端走低带动加工费较前期大幅提升。然下游聚酯减产幅度扩大，TA高加工费不可持续。受油价走低及需求疲软拖累，PTA走势偏空。</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31" w:name="_Toc12869"/>
      <w:r>
        <w:rPr>
          <w:rFonts w:hint="eastAsia" w:ascii="Times New Roman" w:hAnsi="Times New Roman" w:eastAsia="楷体"/>
          <w:b/>
          <w:color w:val="823C0B"/>
          <w:sz w:val="30"/>
          <w:szCs w:val="30"/>
        </w:rPr>
        <w:t>[农产品]</w:t>
      </w:r>
      <w:bookmarkEnd w:id="11"/>
      <w:bookmarkEnd w:id="31"/>
    </w:p>
    <w:p>
      <w:pPr>
        <w:ind w:left="420" w:leftChars="200"/>
        <w:outlineLvl w:val="1"/>
        <w:rPr>
          <w:rFonts w:ascii="楷体" w:hAnsi="楷体" w:eastAsia="楷体"/>
          <w:b/>
          <w:sz w:val="24"/>
          <w:szCs w:val="24"/>
        </w:rPr>
      </w:pPr>
      <w:bookmarkStart w:id="32" w:name="_Toc32588"/>
      <w:r>
        <w:rPr>
          <w:rFonts w:hint="eastAsia" w:ascii="楷体" w:hAnsi="楷体" w:eastAsia="楷体"/>
          <w:b/>
          <w:color w:val="000000" w:themeColor="text1"/>
          <w:sz w:val="24"/>
          <w:szCs w:val="24"/>
          <w14:textFill>
            <w14:solidFill>
              <w14:schemeClr w14:val="tx1"/>
            </w14:solidFill>
          </w14:textFill>
        </w:rPr>
        <w:t>豆粕：</w:t>
      </w:r>
      <w:r>
        <w:rPr>
          <w:rFonts w:hint="eastAsia" w:ascii="楷体" w:hAnsi="楷体" w:eastAsia="楷体"/>
          <w:b/>
          <w:sz w:val="24"/>
          <w:szCs w:val="24"/>
        </w:rPr>
        <w:t>基差开始松动，暂看下方4100支撑</w:t>
      </w:r>
      <w:bookmarkEnd w:id="32"/>
    </w:p>
    <w:p>
      <w:pPr>
        <w:ind w:left="630" w:leftChars="300"/>
        <w:rPr>
          <w:rFonts w:ascii="楷体" w:hAnsi="楷体" w:eastAsia="楷体"/>
          <w:sz w:val="24"/>
          <w:szCs w:val="24"/>
        </w:rPr>
      </w:pPr>
      <w:r>
        <w:rPr>
          <w:rFonts w:hint="eastAsia" w:ascii="楷体" w:hAnsi="楷体" w:eastAsia="楷体"/>
          <w:sz w:val="24"/>
          <w:szCs w:val="24"/>
        </w:rPr>
        <w:t>外盘方面，虽美豆出口及压榨数据强劲，最新出口净销售303万吨，高于前一周，但对中国装船量继续下滑，对中国需求的担忧以及南美大部地区降水播种速度加快使得CBOT大豆继续走弱。当前巴西播种完成67%，符合5年均值进度，而阿根廷在降雨后，种植情况有所改善。国内市场，近几日豆粕国内现货价格有所松动，基差收敛。海关数据显示，1-10月份进口大豆7319.6万吨，较上年同期的7909.85万吨减少了590.25万吨，因油厂榨利较差影响买船，但11月大豆陆续到港，港口库存低点已现，库存回升，关注后续豆粕供给及油厂压榨恢复情况。下游养殖利润良好，在年底生猪集中出栏前以及当前各地疫情反扑，下游担忧供应，饲企和养殖企业等维持刚需补库保持安全库存。虽预期供应增加压力显现，但连粕短期在高基差低库存下仍有支撑，预计维持宽幅震荡，关注油厂开工率及豆粕库存的修复情况，短线操作为主；中长期维持供给恢复预期，美豆及豆粕价格重心下移观点不变，关注南美种植情况，待丰产落地。</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33" w:name="_Toc18065"/>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外盘走弱，短期拖累油脂走势</w:t>
      </w:r>
      <w:bookmarkEnd w:id="33"/>
    </w:p>
    <w:p>
      <w:pPr>
        <w:ind w:left="630" w:leftChars="300"/>
        <w:rPr>
          <w:rFonts w:ascii="楷体" w:hAnsi="楷体" w:eastAsia="楷体"/>
          <w:sz w:val="24"/>
          <w:szCs w:val="24"/>
        </w:rPr>
      </w:pPr>
      <w:r>
        <w:rPr>
          <w:rFonts w:hint="eastAsia" w:ascii="楷体" w:hAnsi="楷体" w:eastAsia="楷体"/>
          <w:sz w:val="24"/>
          <w:szCs w:val="24"/>
        </w:rPr>
        <w:t>宏观方面，俄罗斯同意将黑海粮食出口协议再度延长120天，这对谷物及油脂油料市场构成利空；其次，近日国际原油价下挫，带动油脂走弱。棕榈油方面支撑主要来自产地供需，东南亚棕榈油进入减产周期，叠加强降雨预估，产量担忧仍存。而印尼政策或有变化，计划于11月下半月提高毛棕油参考定价，出口税费或恢复。而国内棕榈油供应较宽松，9月份进口棕榈油61万吨，环比增加102.4%，港口库存持续回升至81.5万吨。虽近期棕榈油进口利润出现倒挂，11月份后进口或减少。但冬季为棕榈油季节性消费淡季，因此国内消费端难形成支撑。豆油整体下游需求在近期疫情反复下较为疲软，成交下滑，棕榈油进入季节性消费淡季或提振豆油替代。短期在美豆成本端支撑以及供应紧张下，维持近紧远松格局，当前进口大豆到港陆续增加，港口大豆库存开始累库，关注后续油厂压榨情况，在供应预期增加及消费疲软下，豆油基差逐渐回归。菜油在低库存和高基差下支撑较强，加籽收割进度进入尾声，已陆续出口装船，国内第四季度预估到港为180万吨。当前菜籽库存已你明显增加，但菜油库存仍维持历史低位，油厂压榨偏低，导致菜油库存迟迟得不到修复。预计油脂在四季度供应边际增加下，上方空间有限，短期维持宽幅震荡，建议短线顺势操作，在后续油料到港预期下豆油及菜油走势预计相对偏弱，但菜油有收储预期，因此油脂单边走势预计不会太顺畅，可逢高布空菜棕价差。</w:t>
      </w:r>
    </w:p>
    <w:p>
      <w:pPr>
        <w:ind w:firstLine="480" w:firstLineChars="200"/>
        <w:rPr>
          <w:rFonts w:ascii="楷体" w:hAnsi="楷体" w:eastAsia="楷体"/>
          <w:bCs/>
          <w:sz w:val="24"/>
          <w:szCs w:val="24"/>
        </w:rPr>
      </w:pPr>
    </w:p>
    <w:p>
      <w:pPr>
        <w:pStyle w:val="12"/>
        <w:spacing w:before="60" w:beforeAutospacing="0" w:after="60" w:afterAutospacing="0"/>
        <w:ind w:left="420" w:leftChars="200"/>
        <w:outlineLvl w:val="1"/>
        <w:rPr>
          <w:rFonts w:ascii="楷体" w:hAnsi="楷体" w:eastAsia="楷体"/>
          <w:b/>
        </w:rPr>
      </w:pPr>
      <w:bookmarkStart w:id="34" w:name="_Toc12520"/>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淀粉-玉米价差大幅回落</w:t>
      </w:r>
      <w:bookmarkEnd w:id="34"/>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玉米而言，近期表现为内强外弱，由于深加工行业原料和产成品库存去化，现货生产利润改善之下带动原料补库，东北产区与华北产区现货强势，带动南北方港口现货稳中上涨，通过基差对期价构成支撑。而USDA11月供需报告上调美玉米单产及其对应的产量预期，虽未如市场预期下调美玉米需求特别是出口需求，但美玉米期价持续震荡回落，且人民币汇率快速回落，加上中国进口巴西玉米逐步明朗，后期进口谷物性价比有望逐步提升。在这种情况下，考虑到下游缺乏持续补库动力，新作上市压力仍有待释放，对应国内玉米期价有望出现类似去年同期的调整阶段，据此维持谨慎看空判断，建议谨慎投资者观望，激进投资者可以轻仓做空或买入虚值看跌期权。</w:t>
      </w:r>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淀粉而言，在三大影响因素中，行业供需层面可以看到出库量持续下滑，带动行业库存出现回升；原料成本层面华北-东北玉米价差近期收窄，且后期上市压力或影响淀粉成本支撑；副产品层面受蛋白粕现货依然坚挺带动维持高位，甚至仍有小幅上涨。由此可以看出，行业供需端和原料成本端对价差走扩的驱动减弱，后期更多依赖淀粉副产品的带动，建议投资者可以考虑继续持有淀粉-玉米价差套利。</w:t>
      </w:r>
    </w:p>
    <w:p>
      <w:pPr>
        <w:pStyle w:val="12"/>
        <w:spacing w:before="60" w:beforeAutospacing="0" w:after="60" w:afterAutospacing="0"/>
        <w:ind w:left="630" w:leftChars="300"/>
        <w:rPr>
          <w:rFonts w:hint="eastAsia" w:ascii="楷体" w:hAnsi="楷体" w:eastAsia="楷体"/>
        </w:rPr>
      </w:pPr>
    </w:p>
    <w:p>
      <w:pPr>
        <w:pStyle w:val="12"/>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5" w:name="_Toc4068"/>
      <w:r>
        <w:rPr>
          <w:rFonts w:hint="eastAsia" w:ascii="楷体" w:hAnsi="楷体" w:eastAsia="楷体"/>
          <w:b/>
          <w:bCs/>
          <w:color w:val="000000" w:themeColor="text1"/>
          <w14:textFill>
            <w14:solidFill>
              <w14:schemeClr w14:val="tx1"/>
            </w14:solidFill>
          </w14:textFill>
        </w:rPr>
        <w:t>畜禽养殖：期价继续弱势震荡运行</w:t>
      </w:r>
      <w:bookmarkEnd w:id="35"/>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生猪而言，目前期价呈现远月贴水结构，接下来需要关注价格拐点出现的时间，这需要重点留意四个方面，即二次育肥、出栏节奏，需求变动和进口增量。由于猪价于10月下旬见到目前已知高点，与2019年相比提前10天左右的时间，市场纠结之处在于10月下旬下跌的定性，是季节性回调还是周期性拐点？总体来看，接下来是供需两增的阶段，之前通过二次育肥和压栏而积压的供应需要释放，与此同时，熏腊制品和春节前备货也将带动需求环比大增。具体而言，今年供应包括进口、储备和冷冻库存均相对低于2019年，而需求端存在较大变数，特别是疫情因素。综上所述，我们暂维持谨慎看多观点，倾向于认为10月下旬以来的现货下跌更多属于季节性回调，猪价拐点尚未出现，但需要特别留意疫情情况。</w:t>
      </w:r>
    </w:p>
    <w:p>
      <w:pPr>
        <w:pStyle w:val="12"/>
        <w:spacing w:before="60" w:beforeAutospacing="0" w:after="60" w:afterAutospacing="0"/>
        <w:ind w:left="630" w:leftChars="300"/>
        <w:rPr>
          <w:rFonts w:ascii="楷体" w:hAnsi="楷体" w:eastAsia="楷体"/>
        </w:rPr>
      </w:pPr>
      <w:r>
        <w:rPr>
          <w:rFonts w:hint="eastAsia" w:ascii="楷体" w:hAnsi="楷体" w:eastAsia="楷体"/>
        </w:rPr>
        <w:t>对于鸡蛋而言，在我们看来，动物蛋白供应格局类似于2019年，而鸡蛋供需两弱格局则类似于去年，接下来需要关注两个方面，一方面基于动物蛋白供应格局需要关注接下来的猪价走势节奏，这主要源于生猪高价下的替代需求；另一方面基于鸡蛋供需格局则需要留意养殖户淘汰和补栏意愿，及其接下来疫情等因素对需求端的影响。基于饲料成本、动物蛋白供应和鸡蛋自身供需格局，继续持中期看多观点，10月底现货回落或更多定性为季节性调整，考虑到基差因素，我们建议谨慎投资者观望，激进投资者可以轻仓试多。</w:t>
      </w:r>
    </w:p>
    <w:p>
      <w:pPr>
        <w:ind w:firstLine="480" w:firstLineChars="200"/>
        <w:rPr>
          <w:rFonts w:ascii="楷体" w:hAnsi="楷体" w:eastAsia="楷体"/>
          <w:sz w:val="24"/>
          <w:szCs w:val="24"/>
        </w:rPr>
      </w:pPr>
    </w:p>
    <w:p>
      <w:pPr>
        <w:ind w:left="420" w:leftChars="200"/>
        <w:outlineLvl w:val="1"/>
        <w:rPr>
          <w:rFonts w:ascii="楷体" w:hAnsi="楷体" w:eastAsia="楷体"/>
          <w:b/>
          <w:sz w:val="24"/>
          <w:szCs w:val="24"/>
        </w:rPr>
      </w:pPr>
      <w:bookmarkStart w:id="36" w:name="_Toc15769"/>
      <w:r>
        <w:rPr>
          <w:rFonts w:hint="eastAsia" w:ascii="楷体" w:hAnsi="楷体" w:eastAsia="楷体"/>
          <w:b/>
          <w:sz w:val="24"/>
          <w:szCs w:val="24"/>
        </w:rPr>
        <w:t>郑棉：因美元走强和出口数据极差表现，美棉震荡偏弱</w:t>
      </w:r>
      <w:bookmarkEnd w:id="36"/>
    </w:p>
    <w:p>
      <w:pPr>
        <w:ind w:left="630" w:leftChars="300"/>
        <w:rPr>
          <w:rFonts w:hint="eastAsia" w:ascii="楷体" w:hAnsi="楷体" w:eastAsia="楷体"/>
          <w:sz w:val="24"/>
          <w:szCs w:val="24"/>
        </w:rPr>
      </w:pPr>
      <w:r>
        <w:rPr>
          <w:rFonts w:hint="eastAsia" w:ascii="楷体" w:hAnsi="楷体" w:eastAsia="楷体"/>
          <w:sz w:val="24"/>
          <w:szCs w:val="24"/>
        </w:rPr>
        <w:t>郑棉因旧棉仓单到期集中注销出现反弹，逢高布局空单或空单继续持有</w:t>
      </w:r>
    </w:p>
    <w:p>
      <w:pPr>
        <w:ind w:left="630" w:leftChars="300"/>
        <w:rPr>
          <w:rFonts w:ascii="楷体" w:hAnsi="楷体" w:eastAsia="楷体"/>
          <w:sz w:val="24"/>
          <w:szCs w:val="24"/>
        </w:rPr>
      </w:pPr>
      <w:r>
        <w:rPr>
          <w:rFonts w:hint="eastAsia" w:ascii="楷体" w:hAnsi="楷体" w:eastAsia="楷体"/>
          <w:sz w:val="24"/>
          <w:szCs w:val="24"/>
        </w:rPr>
        <w:t>据美国农业部（USDA），11.4-11.10日一周美国2022/23年度陆地棉净签约5693吨（含签约6192吨，取消前期签约499吨），较前一周减少83%；装运陆地棉41504吨，较前一周增加69%。新年度陆地棉签约1837吨，无新年度皮马棉签约。当周中国对本年度陆地棉净签约量1293吨，较前一周减少90%；装运20140吨，较前一周增加141%。无新增皮马棉签约，装运皮马棉45吨。</w:t>
      </w:r>
    </w:p>
    <w:p>
      <w:pPr>
        <w:ind w:firstLine="480" w:firstLineChars="200"/>
        <w:rPr>
          <w:rFonts w:ascii="楷体" w:hAnsi="楷体" w:eastAsia="楷体"/>
          <w:bCs/>
          <w:sz w:val="24"/>
          <w:szCs w:val="24"/>
        </w:rPr>
      </w:pP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7" w:name="_Toc19667"/>
      <w:bookmarkStart w:id="38" w:name="_Toc72481108"/>
      <w:bookmarkStart w:id="39" w:name="_Toc98426751"/>
      <w:bookmarkStart w:id="40" w:name="_Toc12779"/>
      <w:bookmarkStart w:id="41" w:name="_Toc71212556"/>
      <w:r>
        <w:rPr>
          <w:rFonts w:ascii="Times New Roman" w:hAnsi="Times New Roman" w:eastAsia="楷体"/>
          <w:b/>
          <w:color w:val="411D05"/>
          <w:sz w:val="30"/>
          <w:szCs w:val="30"/>
        </w:rPr>
        <w:t>免责声明</w:t>
      </w:r>
      <w:bookmarkEnd w:id="37"/>
      <w:bookmarkEnd w:id="38"/>
      <w:bookmarkEnd w:id="39"/>
      <w:bookmarkEnd w:id="40"/>
      <w:bookmarkEnd w:id="41"/>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7"/>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hint="default" w:ascii="Times New Roman" w:hAnsi="Times New Roman" w:eastAsia="楷体"/>
                <w:b/>
                <w:bCs/>
                <w:color w:val="823C0B"/>
                <w:lang w:val="en-US" w:eastAsia="zh-CN"/>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4"/>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4"/>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2022年11月18日星期五</w:t>
    </w:r>
    <w:r>
      <w:rPr>
        <w:rFonts w:ascii="Times New Roman" w:hAnsi="Times New Roman" w:eastAsia="楷体"/>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lN2RlMzFiYjYxYmYyMmEzZDc5YTA3NDAxNTVlZmYifQ=="/>
  </w:docVars>
  <w:rsids>
    <w:rsidRoot w:val="3B3306F0"/>
    <w:rsid w:val="0000534E"/>
    <w:rsid w:val="000058D8"/>
    <w:rsid w:val="00006269"/>
    <w:rsid w:val="00012A9A"/>
    <w:rsid w:val="00020E82"/>
    <w:rsid w:val="0005286B"/>
    <w:rsid w:val="00076420"/>
    <w:rsid w:val="000820C6"/>
    <w:rsid w:val="000D36DC"/>
    <w:rsid w:val="000E0C15"/>
    <w:rsid w:val="001B1904"/>
    <w:rsid w:val="001B2D4C"/>
    <w:rsid w:val="001B6394"/>
    <w:rsid w:val="001C77D0"/>
    <w:rsid w:val="001F5438"/>
    <w:rsid w:val="002074A1"/>
    <w:rsid w:val="002A0670"/>
    <w:rsid w:val="002B2257"/>
    <w:rsid w:val="002F075C"/>
    <w:rsid w:val="002F6AD1"/>
    <w:rsid w:val="00323550"/>
    <w:rsid w:val="00332F22"/>
    <w:rsid w:val="003416C2"/>
    <w:rsid w:val="00341727"/>
    <w:rsid w:val="003471F4"/>
    <w:rsid w:val="00375F0B"/>
    <w:rsid w:val="00376AF1"/>
    <w:rsid w:val="003A3DB4"/>
    <w:rsid w:val="003C5F91"/>
    <w:rsid w:val="003D3A9E"/>
    <w:rsid w:val="004230AC"/>
    <w:rsid w:val="00440FBE"/>
    <w:rsid w:val="00461147"/>
    <w:rsid w:val="00485A3F"/>
    <w:rsid w:val="004977A9"/>
    <w:rsid w:val="004A65B5"/>
    <w:rsid w:val="004E58A5"/>
    <w:rsid w:val="00541F3F"/>
    <w:rsid w:val="005818A8"/>
    <w:rsid w:val="00591B89"/>
    <w:rsid w:val="00593B03"/>
    <w:rsid w:val="00593F40"/>
    <w:rsid w:val="005B5BDF"/>
    <w:rsid w:val="005C05F7"/>
    <w:rsid w:val="005C05FA"/>
    <w:rsid w:val="005E1CE0"/>
    <w:rsid w:val="005F45A8"/>
    <w:rsid w:val="00610C41"/>
    <w:rsid w:val="00657B01"/>
    <w:rsid w:val="006B4A5D"/>
    <w:rsid w:val="006D21ED"/>
    <w:rsid w:val="00710028"/>
    <w:rsid w:val="0072164F"/>
    <w:rsid w:val="007253E7"/>
    <w:rsid w:val="007315D8"/>
    <w:rsid w:val="00743CFD"/>
    <w:rsid w:val="007A66FE"/>
    <w:rsid w:val="007D29EC"/>
    <w:rsid w:val="007D4BBD"/>
    <w:rsid w:val="007F1327"/>
    <w:rsid w:val="007F140C"/>
    <w:rsid w:val="00806F4A"/>
    <w:rsid w:val="00815011"/>
    <w:rsid w:val="00815817"/>
    <w:rsid w:val="00822591"/>
    <w:rsid w:val="00867CA5"/>
    <w:rsid w:val="00873ECE"/>
    <w:rsid w:val="0087785E"/>
    <w:rsid w:val="008A1D22"/>
    <w:rsid w:val="008B361D"/>
    <w:rsid w:val="008E2B15"/>
    <w:rsid w:val="00906E0C"/>
    <w:rsid w:val="00907943"/>
    <w:rsid w:val="00916E97"/>
    <w:rsid w:val="009316EC"/>
    <w:rsid w:val="009644D9"/>
    <w:rsid w:val="009870E4"/>
    <w:rsid w:val="009A12FA"/>
    <w:rsid w:val="009B591A"/>
    <w:rsid w:val="009D5253"/>
    <w:rsid w:val="009D64FE"/>
    <w:rsid w:val="009E4452"/>
    <w:rsid w:val="009F5C7B"/>
    <w:rsid w:val="00A63022"/>
    <w:rsid w:val="00A96E37"/>
    <w:rsid w:val="00A97444"/>
    <w:rsid w:val="00AA29E5"/>
    <w:rsid w:val="00AB0678"/>
    <w:rsid w:val="00AC7ECD"/>
    <w:rsid w:val="00AD009F"/>
    <w:rsid w:val="00B15418"/>
    <w:rsid w:val="00B443CE"/>
    <w:rsid w:val="00B53C56"/>
    <w:rsid w:val="00B618F8"/>
    <w:rsid w:val="00B72E2D"/>
    <w:rsid w:val="00B805BD"/>
    <w:rsid w:val="00BC71D6"/>
    <w:rsid w:val="00BF3137"/>
    <w:rsid w:val="00C240C3"/>
    <w:rsid w:val="00C66C6C"/>
    <w:rsid w:val="00C82E4D"/>
    <w:rsid w:val="00CB1F18"/>
    <w:rsid w:val="00CB3015"/>
    <w:rsid w:val="00CC3E40"/>
    <w:rsid w:val="00CD5DE8"/>
    <w:rsid w:val="00CE7903"/>
    <w:rsid w:val="00CF6C71"/>
    <w:rsid w:val="00D00D60"/>
    <w:rsid w:val="00D01A19"/>
    <w:rsid w:val="00D309C4"/>
    <w:rsid w:val="00D75630"/>
    <w:rsid w:val="00D87130"/>
    <w:rsid w:val="00DF56EC"/>
    <w:rsid w:val="00E020F2"/>
    <w:rsid w:val="00E12059"/>
    <w:rsid w:val="00E25D21"/>
    <w:rsid w:val="00E55B22"/>
    <w:rsid w:val="00E64502"/>
    <w:rsid w:val="00E928BB"/>
    <w:rsid w:val="00EB56F2"/>
    <w:rsid w:val="00F234BF"/>
    <w:rsid w:val="00F31CCA"/>
    <w:rsid w:val="00F43E0E"/>
    <w:rsid w:val="00F622ED"/>
    <w:rsid w:val="00F65EEA"/>
    <w:rsid w:val="00FB3956"/>
    <w:rsid w:val="09F160E3"/>
    <w:rsid w:val="100732C8"/>
    <w:rsid w:val="10DA6205"/>
    <w:rsid w:val="15D52593"/>
    <w:rsid w:val="1B8A2034"/>
    <w:rsid w:val="1BC72FF7"/>
    <w:rsid w:val="1D5030CD"/>
    <w:rsid w:val="219F3EE2"/>
    <w:rsid w:val="26F95364"/>
    <w:rsid w:val="373F75CC"/>
    <w:rsid w:val="3B3306F0"/>
    <w:rsid w:val="3B563B4D"/>
    <w:rsid w:val="3C2825B0"/>
    <w:rsid w:val="3C2B26B7"/>
    <w:rsid w:val="3EE0186C"/>
    <w:rsid w:val="441077D2"/>
    <w:rsid w:val="44396064"/>
    <w:rsid w:val="51266B84"/>
    <w:rsid w:val="548642E9"/>
    <w:rsid w:val="56DD4D3A"/>
    <w:rsid w:val="5D5617A6"/>
    <w:rsid w:val="5EA7685B"/>
    <w:rsid w:val="62710E5F"/>
    <w:rsid w:val="64C32497"/>
    <w:rsid w:val="713E0334"/>
    <w:rsid w:val="73735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99"/>
    <w:rPr>
      <w:color w:val="0563C1" w:themeColor="hyperlink"/>
      <w:u w:val="single"/>
      <w14:textFill>
        <w14:solidFill>
          <w14:schemeClr w14:val="hlink"/>
        </w14:solidFill>
      </w14:textFill>
    </w:rPr>
  </w:style>
  <w:style w:type="paragraph" w:customStyle="1" w:styleId="1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标题 1 字符"/>
    <w:basedOn w:val="9"/>
    <w:link w:val="2"/>
    <w:qFormat/>
    <w:uiPriority w:val="0"/>
    <w:rPr>
      <w:rFonts w:asciiTheme="minorHAnsi" w:hAnsiTheme="minorHAnsi" w:cstheme="minorBidi"/>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B271F-CE5D-421B-9A46-E52BFC81BD46}">
  <ds:schemaRefs/>
</ds:datastoreItem>
</file>

<file path=docProps/app.xml><?xml version="1.0" encoding="utf-8"?>
<Properties xmlns="http://schemas.openxmlformats.org/officeDocument/2006/extended-properties" xmlns:vt="http://schemas.openxmlformats.org/officeDocument/2006/docPropsVTypes">
  <Template>Normal</Template>
  <Pages>7</Pages>
  <Words>1052</Words>
  <Characters>6002</Characters>
  <Lines>50</Lines>
  <Paragraphs>14</Paragraphs>
  <TotalTime>0</TotalTime>
  <ScaleCrop>false</ScaleCrop>
  <LinksUpToDate>false</LinksUpToDate>
  <CharactersWithSpaces>7040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2022-07-01T02:28:00Z</cp:lastPrinted>
  <dcterms:modified xsi:type="dcterms:W3CDTF">2022-11-18T02:46:32Z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2AD6C5347C844179B2458C2E14054CF3</vt:lpwstr>
  </property>
</Properties>
</file>