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rPr>
              <w:b/>
              <w:bCs/>
            </w:rPr>
          </w:pPr>
          <w:r>
            <w:rPr>
              <w:b/>
              <w:bCs/>
            </w:rPr>
            <w:fldChar w:fldCharType="begin"/>
          </w:r>
          <w:r>
            <w:rPr>
              <w:b/>
              <w:bCs/>
            </w:rPr>
            <w:instrText xml:space="preserve"> TOC \o "1-3" \n \h \z \u </w:instrText>
          </w:r>
          <w:r>
            <w:rPr>
              <w:b/>
              <w:bCs/>
            </w:rPr>
            <w:fldChar w:fldCharType="separate"/>
          </w:r>
          <w:r>
            <w:rPr>
              <w:b/>
              <w:bCs/>
            </w:rPr>
            <w:fldChar w:fldCharType="begin"/>
          </w:r>
          <w:r>
            <w:rPr>
              <w:b/>
              <w:bCs/>
            </w:rPr>
            <w:instrText xml:space="preserve"> HYPERLINK \l _Toc14298 </w:instrText>
          </w:r>
          <w:r>
            <w:rPr>
              <w:b/>
              <w:bCs/>
            </w:rPr>
            <w:fldChar w:fldCharType="separate"/>
          </w:r>
          <w:r>
            <w:rPr>
              <w:rFonts w:hint="eastAsia" w:ascii="Times New Roman" w:hAnsi="Times New Roman" w:eastAsia="楷体"/>
              <w:b/>
              <w:bCs/>
              <w:szCs w:val="30"/>
            </w:rPr>
            <w:t>[金融]</w:t>
          </w:r>
          <w:r>
            <w:rPr>
              <w:b/>
              <w:bCs/>
            </w:rPr>
            <w:fldChar w:fldCharType="end"/>
          </w:r>
        </w:p>
        <w:p>
          <w:pPr>
            <w:pStyle w:val="6"/>
            <w:tabs>
              <w:tab w:val="right" w:leader="dot" w:pos="8306"/>
            </w:tabs>
            <w:rPr>
              <w:b/>
              <w:bCs/>
            </w:rPr>
          </w:pPr>
          <w:r>
            <w:rPr>
              <w:b/>
              <w:bCs/>
            </w:rPr>
            <w:fldChar w:fldCharType="begin"/>
          </w:r>
          <w:r>
            <w:rPr>
              <w:b/>
              <w:bCs/>
            </w:rPr>
            <w:instrText xml:space="preserve"> HYPERLINK \l _Toc27026 </w:instrText>
          </w:r>
          <w:r>
            <w:rPr>
              <w:b/>
              <w:bCs/>
            </w:rPr>
            <w:fldChar w:fldCharType="separate"/>
          </w:r>
          <w:r>
            <w:rPr>
              <w:rFonts w:hint="eastAsia" w:ascii="Times New Roman" w:hAnsi="Times New Roman" w:eastAsia="楷体"/>
              <w:b/>
              <w:bCs/>
              <w:szCs w:val="24"/>
            </w:rPr>
            <w:t>股指：不建议追高，以低多IF思路为主</w:t>
          </w:r>
          <w:r>
            <w:rPr>
              <w:b/>
              <w:bCs/>
            </w:rPr>
            <w:fldChar w:fldCharType="end"/>
          </w:r>
        </w:p>
        <w:p>
          <w:pPr>
            <w:pStyle w:val="5"/>
            <w:tabs>
              <w:tab w:val="right" w:leader="dot" w:pos="8306"/>
            </w:tabs>
            <w:rPr>
              <w:b/>
              <w:bCs/>
            </w:rPr>
          </w:pPr>
          <w:r>
            <w:rPr>
              <w:b/>
              <w:bCs/>
            </w:rPr>
            <w:fldChar w:fldCharType="begin"/>
          </w:r>
          <w:r>
            <w:rPr>
              <w:b/>
              <w:bCs/>
            </w:rPr>
            <w:instrText xml:space="preserve"> HYPERLINK \l _Toc26626 </w:instrText>
          </w:r>
          <w:r>
            <w:rPr>
              <w:b/>
              <w:bCs/>
            </w:rPr>
            <w:fldChar w:fldCharType="separate"/>
          </w:r>
          <w:r>
            <w:rPr>
              <w:rFonts w:hint="eastAsia" w:ascii="Times New Roman" w:hAnsi="Times New Roman" w:eastAsia="楷体"/>
              <w:b/>
              <w:bCs/>
              <w:szCs w:val="30"/>
            </w:rPr>
            <w:t>[金属]</w:t>
          </w:r>
          <w:r>
            <w:rPr>
              <w:b/>
              <w:bCs/>
            </w:rPr>
            <w:fldChar w:fldCharType="end"/>
          </w:r>
        </w:p>
        <w:p>
          <w:pPr>
            <w:pStyle w:val="6"/>
            <w:tabs>
              <w:tab w:val="right" w:leader="dot" w:pos="8306"/>
            </w:tabs>
            <w:rPr>
              <w:b/>
              <w:bCs/>
            </w:rPr>
          </w:pPr>
          <w:r>
            <w:rPr>
              <w:b/>
              <w:bCs/>
            </w:rPr>
            <w:fldChar w:fldCharType="begin"/>
          </w:r>
          <w:r>
            <w:rPr>
              <w:b/>
              <w:bCs/>
            </w:rPr>
            <w:instrText xml:space="preserve"> HYPERLINK \l _Toc30680 </w:instrText>
          </w:r>
          <w:r>
            <w:rPr>
              <w:b/>
              <w:bCs/>
            </w:rPr>
            <w:fldChar w:fldCharType="separate"/>
          </w:r>
          <w:r>
            <w:rPr>
              <w:rFonts w:hint="eastAsia" w:ascii="楷体" w:hAnsi="楷体" w:eastAsia="楷体"/>
              <w:b/>
              <w:bCs/>
              <w:szCs w:val="24"/>
            </w:rPr>
            <w:t>螺纹钢：需求不好不差，消息扰动情绪，盘面震荡运行</w:t>
          </w:r>
          <w:r>
            <w:rPr>
              <w:b/>
              <w:bCs/>
            </w:rPr>
            <w:fldChar w:fldCharType="end"/>
          </w:r>
        </w:p>
        <w:p>
          <w:pPr>
            <w:pStyle w:val="6"/>
            <w:tabs>
              <w:tab w:val="right" w:leader="dot" w:pos="8306"/>
            </w:tabs>
            <w:rPr>
              <w:b/>
              <w:bCs/>
            </w:rPr>
          </w:pPr>
          <w:r>
            <w:rPr>
              <w:b/>
              <w:bCs/>
            </w:rPr>
            <w:fldChar w:fldCharType="begin"/>
          </w:r>
          <w:r>
            <w:rPr>
              <w:b/>
              <w:bCs/>
            </w:rPr>
            <w:instrText xml:space="preserve"> HYPERLINK \l _Toc5398 </w:instrText>
          </w:r>
          <w:r>
            <w:rPr>
              <w:b/>
              <w:bCs/>
            </w:rPr>
            <w:fldChar w:fldCharType="separate"/>
          </w:r>
          <w:r>
            <w:rPr>
              <w:rFonts w:hint="eastAsia" w:ascii="楷体" w:hAnsi="楷体" w:eastAsia="楷体"/>
              <w:b/>
              <w:bCs/>
              <w:szCs w:val="24"/>
            </w:rPr>
            <w:t>焦炭：短期贸易商补库为主，进入第一轮提涨博弈</w:t>
          </w:r>
          <w:r>
            <w:rPr>
              <w:b/>
              <w:bCs/>
            </w:rPr>
            <w:fldChar w:fldCharType="end"/>
          </w:r>
        </w:p>
        <w:p>
          <w:pPr>
            <w:pStyle w:val="6"/>
            <w:tabs>
              <w:tab w:val="right" w:leader="dot" w:pos="8306"/>
            </w:tabs>
            <w:rPr>
              <w:b/>
              <w:bCs/>
            </w:rPr>
          </w:pPr>
          <w:r>
            <w:rPr>
              <w:b/>
              <w:bCs/>
            </w:rPr>
            <w:fldChar w:fldCharType="begin"/>
          </w:r>
          <w:r>
            <w:rPr>
              <w:b/>
              <w:bCs/>
            </w:rPr>
            <w:instrText xml:space="preserve"> HYPERLINK \l _Toc19600 </w:instrText>
          </w:r>
          <w:r>
            <w:rPr>
              <w:b/>
              <w:bCs/>
            </w:rPr>
            <w:fldChar w:fldCharType="separate"/>
          </w:r>
          <w:r>
            <w:rPr>
              <w:rFonts w:hint="eastAsia" w:ascii="楷体" w:hAnsi="楷体" w:eastAsia="楷体"/>
              <w:b/>
              <w:bCs/>
              <w:szCs w:val="24"/>
            </w:rPr>
            <w:t>焦煤：现货转强，偏强运行下上方空间视成材而定本</w:t>
          </w:r>
          <w:r>
            <w:rPr>
              <w:b/>
              <w:bCs/>
            </w:rPr>
            <w:fldChar w:fldCharType="end"/>
          </w:r>
        </w:p>
        <w:p>
          <w:pPr>
            <w:pStyle w:val="6"/>
            <w:tabs>
              <w:tab w:val="right" w:leader="dot" w:pos="8306"/>
            </w:tabs>
            <w:rPr>
              <w:b/>
              <w:bCs/>
            </w:rPr>
          </w:pPr>
          <w:r>
            <w:rPr>
              <w:b/>
              <w:bCs/>
            </w:rPr>
            <w:fldChar w:fldCharType="begin"/>
          </w:r>
          <w:r>
            <w:rPr>
              <w:b/>
              <w:bCs/>
            </w:rPr>
            <w:instrText xml:space="preserve"> HYPERLINK \l _Toc22581 </w:instrText>
          </w:r>
          <w:r>
            <w:rPr>
              <w:b/>
              <w:bCs/>
            </w:rPr>
            <w:fldChar w:fldCharType="separate"/>
          </w:r>
          <w:r>
            <w:rPr>
              <w:rFonts w:hint="eastAsia" w:ascii="楷体" w:hAnsi="楷体" w:eastAsia="楷体"/>
              <w:b/>
              <w:bCs/>
              <w:szCs w:val="24"/>
            </w:rPr>
            <w:t>铜：美元指数止跌反弹，铜价承压运行</w:t>
          </w:r>
          <w:r>
            <w:rPr>
              <w:b/>
              <w:bCs/>
            </w:rPr>
            <w:fldChar w:fldCharType="end"/>
          </w:r>
        </w:p>
        <w:p>
          <w:pPr>
            <w:pStyle w:val="6"/>
            <w:tabs>
              <w:tab w:val="right" w:leader="dot" w:pos="8306"/>
            </w:tabs>
            <w:rPr>
              <w:b/>
              <w:bCs/>
            </w:rPr>
          </w:pPr>
          <w:r>
            <w:rPr>
              <w:b/>
              <w:bCs/>
            </w:rPr>
            <w:fldChar w:fldCharType="begin"/>
          </w:r>
          <w:r>
            <w:rPr>
              <w:b/>
              <w:bCs/>
            </w:rPr>
            <w:instrText xml:space="preserve"> HYPERLINK \l _Toc16379 </w:instrText>
          </w:r>
          <w:r>
            <w:rPr>
              <w:b/>
              <w:bCs/>
            </w:rPr>
            <w:fldChar w:fldCharType="separate"/>
          </w:r>
          <w:r>
            <w:rPr>
              <w:rFonts w:hint="eastAsia" w:ascii="楷体" w:hAnsi="楷体" w:eastAsia="楷体"/>
              <w:b/>
              <w:bCs/>
              <w:szCs w:val="24"/>
            </w:rPr>
            <w:t>铝：宏观情绪转弱，建议谨慎看多</w:t>
          </w:r>
          <w:r>
            <w:rPr>
              <w:b/>
              <w:bCs/>
            </w:rPr>
            <w:fldChar w:fldCharType="end"/>
          </w:r>
        </w:p>
        <w:p>
          <w:pPr>
            <w:pStyle w:val="6"/>
            <w:tabs>
              <w:tab w:val="right" w:leader="dot" w:pos="8306"/>
            </w:tabs>
            <w:rPr>
              <w:b/>
              <w:bCs/>
            </w:rPr>
          </w:pPr>
          <w:r>
            <w:rPr>
              <w:b/>
              <w:bCs/>
            </w:rPr>
            <w:fldChar w:fldCharType="begin"/>
          </w:r>
          <w:r>
            <w:rPr>
              <w:b/>
              <w:bCs/>
            </w:rPr>
            <w:instrText xml:space="preserve"> HYPERLINK \l _Toc17849 </w:instrText>
          </w:r>
          <w:r>
            <w:rPr>
              <w:b/>
              <w:bCs/>
            </w:rPr>
            <w:fldChar w:fldCharType="separate"/>
          </w:r>
          <w:r>
            <w:rPr>
              <w:rFonts w:hint="eastAsia" w:ascii="楷体" w:hAnsi="楷体" w:eastAsia="楷体"/>
              <w:b/>
              <w:bCs/>
              <w:szCs w:val="24"/>
            </w:rPr>
            <w:t>锌：基本面供弱需疲，锌价持续走高需谨慎看待</w:t>
          </w:r>
          <w:r>
            <w:rPr>
              <w:b/>
              <w:bCs/>
            </w:rPr>
            <w:fldChar w:fldCharType="end"/>
          </w:r>
        </w:p>
        <w:p>
          <w:pPr>
            <w:pStyle w:val="6"/>
            <w:tabs>
              <w:tab w:val="right" w:leader="dot" w:pos="8306"/>
            </w:tabs>
            <w:rPr>
              <w:b/>
              <w:bCs/>
            </w:rPr>
          </w:pPr>
          <w:r>
            <w:rPr>
              <w:b/>
              <w:bCs/>
            </w:rPr>
            <w:fldChar w:fldCharType="begin"/>
          </w:r>
          <w:r>
            <w:rPr>
              <w:b/>
              <w:bCs/>
            </w:rPr>
            <w:instrText xml:space="preserve"> HYPERLINK \l _Toc9665 </w:instrText>
          </w:r>
          <w:r>
            <w:rPr>
              <w:b/>
              <w:bCs/>
            </w:rPr>
            <w:fldChar w:fldCharType="separate"/>
          </w:r>
          <w:r>
            <w:rPr>
              <w:rFonts w:hint="eastAsia" w:ascii="楷体" w:hAnsi="楷体" w:eastAsia="楷体"/>
              <w:b/>
              <w:bCs/>
              <w:szCs w:val="24"/>
            </w:rPr>
            <w:t>工业硅：供需双弱，预计短期仍将趋稳运行</w:t>
          </w:r>
          <w:r>
            <w:rPr>
              <w:b/>
              <w:bCs/>
            </w:rPr>
            <w:fldChar w:fldCharType="end"/>
          </w:r>
        </w:p>
        <w:p>
          <w:pPr>
            <w:pStyle w:val="5"/>
            <w:tabs>
              <w:tab w:val="right" w:leader="dot" w:pos="8306"/>
            </w:tabs>
            <w:rPr>
              <w:b/>
              <w:bCs/>
            </w:rPr>
          </w:pPr>
          <w:r>
            <w:rPr>
              <w:b/>
              <w:bCs/>
            </w:rPr>
            <w:fldChar w:fldCharType="begin"/>
          </w:r>
          <w:r>
            <w:rPr>
              <w:b/>
              <w:bCs/>
            </w:rPr>
            <w:instrText xml:space="preserve"> HYPERLINK \l _Toc30865 </w:instrText>
          </w:r>
          <w:r>
            <w:rPr>
              <w:b/>
              <w:bCs/>
            </w:rPr>
            <w:fldChar w:fldCharType="separate"/>
          </w:r>
          <w:r>
            <w:rPr>
              <w:rFonts w:hint="eastAsia" w:ascii="Times New Roman" w:hAnsi="Times New Roman" w:eastAsia="楷体"/>
              <w:b/>
              <w:bCs/>
              <w:szCs w:val="30"/>
            </w:rPr>
            <w:t>[化工]</w:t>
          </w:r>
          <w:r>
            <w:rPr>
              <w:b/>
              <w:bCs/>
            </w:rPr>
            <w:fldChar w:fldCharType="end"/>
          </w:r>
        </w:p>
        <w:p>
          <w:pPr>
            <w:pStyle w:val="6"/>
            <w:tabs>
              <w:tab w:val="right" w:leader="dot" w:pos="8306"/>
            </w:tabs>
            <w:rPr>
              <w:b/>
              <w:bCs/>
            </w:rPr>
          </w:pPr>
          <w:r>
            <w:rPr>
              <w:b/>
              <w:bCs/>
            </w:rPr>
            <w:fldChar w:fldCharType="begin"/>
          </w:r>
          <w:r>
            <w:rPr>
              <w:b/>
              <w:bCs/>
            </w:rPr>
            <w:instrText xml:space="preserve"> HYPERLINK \l _Toc4947 </w:instrText>
          </w:r>
          <w:r>
            <w:rPr>
              <w:b/>
              <w:bCs/>
            </w:rPr>
            <w:fldChar w:fldCharType="separate"/>
          </w:r>
          <w:r>
            <w:rPr>
              <w:rFonts w:hint="eastAsia" w:ascii="Times New Roman" w:hAnsi="Times New Roman" w:eastAsia="楷体"/>
              <w:b/>
              <w:bCs/>
              <w:szCs w:val="24"/>
            </w:rPr>
            <w:t>乙二醇：供增需减 建议轻仓空单持有</w:t>
          </w:r>
          <w:r>
            <w:rPr>
              <w:b/>
              <w:bCs/>
            </w:rPr>
            <w:fldChar w:fldCharType="end"/>
          </w:r>
        </w:p>
        <w:p>
          <w:pPr>
            <w:pStyle w:val="6"/>
            <w:tabs>
              <w:tab w:val="right" w:leader="dot" w:pos="8306"/>
            </w:tabs>
            <w:rPr>
              <w:b/>
              <w:bCs/>
            </w:rPr>
          </w:pPr>
          <w:r>
            <w:rPr>
              <w:b/>
              <w:bCs/>
            </w:rPr>
            <w:fldChar w:fldCharType="begin"/>
          </w:r>
          <w:r>
            <w:rPr>
              <w:b/>
              <w:bCs/>
            </w:rPr>
            <w:instrText xml:space="preserve"> HYPERLINK \l _Toc1448 </w:instrText>
          </w:r>
          <w:r>
            <w:rPr>
              <w:b/>
              <w:bCs/>
            </w:rPr>
            <w:fldChar w:fldCharType="separate"/>
          </w:r>
          <w:r>
            <w:rPr>
              <w:rFonts w:ascii="楷体" w:hAnsi="楷体" w:eastAsia="楷体"/>
              <w:b/>
              <w:bCs/>
              <w:szCs w:val="24"/>
            </w:rPr>
            <w:t>PTA</w:t>
          </w:r>
          <w:r>
            <w:rPr>
              <w:rFonts w:hint="eastAsia" w:ascii="楷体" w:hAnsi="楷体" w:eastAsia="楷体"/>
              <w:b/>
              <w:bCs/>
              <w:szCs w:val="24"/>
            </w:rPr>
            <w:t>：受油价走低及需求疲软拖累  PTA走势偏空</w:t>
          </w:r>
          <w:r>
            <w:rPr>
              <w:b/>
              <w:bCs/>
            </w:rPr>
            <w:fldChar w:fldCharType="end"/>
          </w:r>
        </w:p>
        <w:p>
          <w:pPr>
            <w:pStyle w:val="5"/>
            <w:tabs>
              <w:tab w:val="right" w:leader="dot" w:pos="8306"/>
            </w:tabs>
            <w:rPr>
              <w:b/>
              <w:bCs/>
            </w:rPr>
          </w:pPr>
          <w:r>
            <w:rPr>
              <w:b/>
              <w:bCs/>
            </w:rPr>
            <w:fldChar w:fldCharType="begin"/>
          </w:r>
          <w:r>
            <w:rPr>
              <w:b/>
              <w:bCs/>
            </w:rPr>
            <w:instrText xml:space="preserve"> HYPERLINK \l _Toc12869 </w:instrText>
          </w:r>
          <w:r>
            <w:rPr>
              <w:b/>
              <w:bCs/>
            </w:rPr>
            <w:fldChar w:fldCharType="separate"/>
          </w:r>
          <w:r>
            <w:rPr>
              <w:rFonts w:hint="eastAsia" w:ascii="Times New Roman" w:hAnsi="Times New Roman" w:eastAsia="楷体"/>
              <w:b/>
              <w:bCs/>
              <w:szCs w:val="30"/>
            </w:rPr>
            <w:t>[农产品]</w:t>
          </w:r>
          <w:r>
            <w:rPr>
              <w:b/>
              <w:bCs/>
            </w:rPr>
            <w:fldChar w:fldCharType="end"/>
          </w:r>
        </w:p>
        <w:p>
          <w:pPr>
            <w:pStyle w:val="6"/>
            <w:tabs>
              <w:tab w:val="right" w:leader="dot" w:pos="8306"/>
            </w:tabs>
            <w:rPr>
              <w:b/>
              <w:bCs/>
            </w:rPr>
          </w:pPr>
          <w:r>
            <w:rPr>
              <w:b/>
              <w:bCs/>
            </w:rPr>
            <w:fldChar w:fldCharType="begin"/>
          </w:r>
          <w:r>
            <w:rPr>
              <w:b/>
              <w:bCs/>
            </w:rPr>
            <w:instrText xml:space="preserve"> HYPERLINK \l _Toc32588 </w:instrText>
          </w:r>
          <w:r>
            <w:rPr>
              <w:b/>
              <w:bCs/>
            </w:rPr>
            <w:fldChar w:fldCharType="separate"/>
          </w:r>
          <w:r>
            <w:rPr>
              <w:rFonts w:hint="eastAsia" w:ascii="楷体" w:hAnsi="楷体" w:eastAsia="楷体"/>
              <w:b/>
              <w:bCs/>
              <w:szCs w:val="24"/>
            </w:rPr>
            <w:t>豆粕：基差开始松动，暂看下方4100支撑</w:t>
          </w:r>
          <w:r>
            <w:rPr>
              <w:b/>
              <w:bCs/>
            </w:rPr>
            <w:fldChar w:fldCharType="end"/>
          </w:r>
        </w:p>
        <w:p>
          <w:pPr>
            <w:pStyle w:val="6"/>
            <w:tabs>
              <w:tab w:val="right" w:leader="dot" w:pos="8306"/>
            </w:tabs>
            <w:rPr>
              <w:b/>
              <w:bCs/>
            </w:rPr>
          </w:pPr>
          <w:r>
            <w:rPr>
              <w:b/>
              <w:bCs/>
            </w:rPr>
            <w:fldChar w:fldCharType="begin"/>
          </w:r>
          <w:r>
            <w:rPr>
              <w:b/>
              <w:bCs/>
            </w:rPr>
            <w:instrText xml:space="preserve"> HYPERLINK \l _Toc18065 </w:instrText>
          </w:r>
          <w:r>
            <w:rPr>
              <w:b/>
              <w:bCs/>
            </w:rPr>
            <w:fldChar w:fldCharType="separate"/>
          </w:r>
          <w:r>
            <w:rPr>
              <w:rFonts w:hint="eastAsia" w:ascii="楷体" w:hAnsi="楷体" w:eastAsia="楷体"/>
              <w:b/>
              <w:bCs/>
              <w:szCs w:val="24"/>
            </w:rPr>
            <w:t>油脂：外盘走弱，短期拖累油脂走势</w:t>
          </w:r>
          <w:r>
            <w:rPr>
              <w:b/>
              <w:bCs/>
            </w:rPr>
            <w:fldChar w:fldCharType="end"/>
          </w:r>
        </w:p>
        <w:p>
          <w:pPr>
            <w:pStyle w:val="6"/>
            <w:tabs>
              <w:tab w:val="right" w:leader="dot" w:pos="8306"/>
            </w:tabs>
            <w:rPr>
              <w:b/>
              <w:bCs/>
            </w:rPr>
          </w:pPr>
          <w:r>
            <w:rPr>
              <w:b/>
              <w:bCs/>
            </w:rPr>
            <w:fldChar w:fldCharType="begin"/>
          </w:r>
          <w:r>
            <w:rPr>
              <w:b/>
              <w:bCs/>
            </w:rPr>
            <w:instrText xml:space="preserve"> HYPERLINK \l _Toc12520 </w:instrText>
          </w:r>
          <w:r>
            <w:rPr>
              <w:b/>
              <w:bCs/>
            </w:rPr>
            <w:fldChar w:fldCharType="separate"/>
          </w:r>
          <w:r>
            <w:rPr>
              <w:rFonts w:hint="eastAsia" w:ascii="楷体" w:hAnsi="楷体" w:eastAsia="楷体"/>
              <w:b/>
              <w:bCs/>
            </w:rPr>
            <w:t>玉米与淀粉：淀粉-玉米价差大幅回落</w:t>
          </w:r>
          <w:r>
            <w:rPr>
              <w:b/>
              <w:bCs/>
            </w:rPr>
            <w:fldChar w:fldCharType="end"/>
          </w:r>
        </w:p>
        <w:p>
          <w:pPr>
            <w:pStyle w:val="6"/>
            <w:tabs>
              <w:tab w:val="right" w:leader="dot" w:pos="8306"/>
            </w:tabs>
            <w:rPr>
              <w:b/>
              <w:bCs/>
            </w:rPr>
          </w:pPr>
          <w:r>
            <w:rPr>
              <w:b/>
              <w:bCs/>
            </w:rPr>
            <w:fldChar w:fldCharType="begin"/>
          </w:r>
          <w:r>
            <w:rPr>
              <w:b/>
              <w:bCs/>
            </w:rPr>
            <w:instrText xml:space="preserve"> HYPERLINK \l _Toc4068 </w:instrText>
          </w:r>
          <w:r>
            <w:rPr>
              <w:b/>
              <w:bCs/>
            </w:rPr>
            <w:fldChar w:fldCharType="separate"/>
          </w:r>
          <w:r>
            <w:rPr>
              <w:rFonts w:hint="eastAsia" w:ascii="楷体" w:hAnsi="楷体" w:eastAsia="楷体"/>
              <w:b/>
              <w:bCs/>
            </w:rPr>
            <w:t>畜禽养殖：期价继续弱势震荡运行</w:t>
          </w:r>
          <w:r>
            <w:rPr>
              <w:b/>
              <w:bCs/>
            </w:rPr>
            <w:fldChar w:fldCharType="end"/>
          </w:r>
        </w:p>
        <w:p>
          <w:pPr>
            <w:pStyle w:val="6"/>
            <w:tabs>
              <w:tab w:val="right" w:leader="dot" w:pos="8306"/>
            </w:tabs>
            <w:rPr>
              <w:b/>
              <w:bCs/>
            </w:rPr>
          </w:pPr>
          <w:r>
            <w:rPr>
              <w:b/>
              <w:bCs/>
            </w:rPr>
            <w:fldChar w:fldCharType="begin"/>
          </w:r>
          <w:r>
            <w:rPr>
              <w:b/>
              <w:bCs/>
            </w:rPr>
            <w:instrText xml:space="preserve"> HYPERLINK \l _Toc15769 </w:instrText>
          </w:r>
          <w:r>
            <w:rPr>
              <w:b/>
              <w:bCs/>
            </w:rPr>
            <w:fldChar w:fldCharType="separate"/>
          </w:r>
          <w:r>
            <w:rPr>
              <w:rFonts w:hint="eastAsia" w:ascii="楷体" w:hAnsi="楷体" w:eastAsia="楷体"/>
              <w:b/>
              <w:bCs/>
              <w:szCs w:val="24"/>
            </w:rPr>
            <w:t>郑棉：因美元走强和出口数据极差表现，美棉震荡偏弱</w:t>
          </w:r>
          <w:r>
            <w:rPr>
              <w:b/>
              <w:bCs/>
            </w:rPr>
            <w:fldChar w:fldCharType="end"/>
          </w:r>
        </w:p>
        <w:p>
          <w:r>
            <w:rPr>
              <w:b/>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4298"/>
      <w:bookmarkStart w:id="2" w:name="_Toc18033"/>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702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bookmarkEnd w:id="6"/>
      <w:r>
        <w:rPr>
          <w:rFonts w:hint="eastAsia" w:ascii="Times New Roman" w:hAnsi="Times New Roman" w:eastAsia="楷体"/>
          <w:b/>
          <w:color w:val="000000" w:themeColor="text1"/>
          <w:sz w:val="24"/>
          <w:szCs w:val="24"/>
          <w14:textFill>
            <w14:solidFill>
              <w14:schemeClr w14:val="tx1"/>
            </w14:solidFill>
          </w14:textFill>
        </w:rPr>
        <w:t>短线风偏有所提振，不建议追高，观望为主</w:t>
      </w:r>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昨日一行两会一局对房地产、股债汇、实体经济等方面均发表重要讲话，其中，针对前期一些房企风险暴露导致逾期交房，央行出台2000亿元“保交楼”专项借款，支持已售住房的建设交付，并研究设立鼓励商业银行支持“保交楼”结构性政策工具。短线而言，会议和政策的出台一定程度提振市场风偏，但前期疫情和房地产政策充分计价，且多地疫情反弹引发担忧，不建议盲目追高。市场新共识还需看到政策刺激预期的远期效果及合理的外推逻辑。建议前期多单可逢高止赢，尚未入场的暂观望。</w:t>
      </w:r>
    </w:p>
    <w:p>
      <w:pPr>
        <w:pBdr>
          <w:top w:val="single" w:color="auto" w:sz="4" w:space="0"/>
        </w:pBdr>
        <w:outlineLvl w:val="0"/>
        <w:rPr>
          <w:rFonts w:ascii="Times New Roman" w:hAnsi="Times New Roman" w:eastAsia="楷体"/>
          <w:b/>
          <w:color w:val="823C0B"/>
          <w:sz w:val="30"/>
          <w:szCs w:val="30"/>
        </w:rPr>
      </w:pPr>
      <w:bookmarkStart w:id="7" w:name="金属"/>
      <w:bookmarkStart w:id="8" w:name="_Toc3096"/>
      <w:bookmarkStart w:id="9" w:name="_Toc20891"/>
      <w:bookmarkStart w:id="10" w:name="_Toc26626"/>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5371"/>
      <w:bookmarkStart w:id="13" w:name="_Toc27831"/>
      <w:bookmarkStart w:id="14" w:name="_Toc30680"/>
      <w:r>
        <w:rPr>
          <w:rFonts w:hint="eastAsia" w:ascii="楷体" w:hAnsi="楷体" w:eastAsia="楷体"/>
          <w:b/>
          <w:color w:val="000000" w:themeColor="text1"/>
          <w:sz w:val="24"/>
          <w:szCs w:val="24"/>
          <w14:textFill>
            <w14:solidFill>
              <w14:schemeClr w14:val="tx1"/>
            </w14:solidFill>
          </w14:textFill>
        </w:rPr>
        <w:t>螺纹钢：</w:t>
      </w:r>
      <w:bookmarkEnd w:id="12"/>
      <w:bookmarkEnd w:id="13"/>
      <w:bookmarkEnd w:id="14"/>
      <w:r>
        <w:rPr>
          <w:rFonts w:hint="eastAsia" w:ascii="楷体" w:hAnsi="楷体" w:eastAsia="楷体"/>
          <w:b/>
          <w:color w:val="000000" w:themeColor="text1"/>
          <w:sz w:val="24"/>
          <w:szCs w:val="24"/>
          <w14:textFill>
            <w14:solidFill>
              <w14:schemeClr w14:val="tx1"/>
            </w14:solidFill>
          </w14:textFill>
        </w:rPr>
        <w:t>过度乐观情绪开始修正，现实压力下回调</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在政策利好集中释放下对未来预期过于乐观，成本端主要是铁矿及港口焦炭价格涨幅过快，目前过度乐观情绪开始修正，价格开始回调。看现实矛盾并不突出，冬储前原料价格支撑较强，钢价较难大跌。预计RB01合约价格中枢在（3500,3800），目前正处于前期乐观预期修正过程，价格从上半区间向下半区间调整过程中。05合约受预期影响较大，1-5正套建议继续持有。01合约的强支撑在（3500,3600），从弹性上看05逢低做多价值更大，建议关注05合约（3400,3500）区间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5398"/>
      <w:r>
        <w:rPr>
          <w:rFonts w:hint="eastAsia" w:ascii="楷体" w:hAnsi="楷体" w:eastAsia="楷体"/>
          <w:b/>
          <w:color w:val="000000" w:themeColor="text1"/>
          <w:sz w:val="24"/>
          <w:szCs w:val="24"/>
          <w14:textFill>
            <w14:solidFill>
              <w14:schemeClr w14:val="tx1"/>
            </w14:solidFill>
          </w14:textFill>
        </w:rPr>
        <w:t>焦炭：</w:t>
      </w:r>
      <w:bookmarkEnd w:id="15"/>
      <w:bookmarkEnd w:id="16"/>
      <w:bookmarkEnd w:id="17"/>
      <w:r>
        <w:rPr>
          <w:rFonts w:hint="eastAsia" w:ascii="楷体" w:hAnsi="楷体" w:eastAsia="楷体"/>
          <w:b/>
          <w:color w:val="000000" w:themeColor="text1"/>
          <w:sz w:val="24"/>
          <w:szCs w:val="24"/>
          <w14:textFill>
            <w14:solidFill>
              <w14:schemeClr w14:val="tx1"/>
            </w14:solidFill>
          </w14:textFill>
        </w:rPr>
        <w:t>现货企稳但过度乐观预期修正阶段，焦炭随成材震荡</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集港利润转正下，钢厂补库及贸易商补库分担焦化厂的库存压力，焦化厂有所复产，从而对焦煤补库力度有所上升，提涨未落地下，焦化厂静态亏损有所扩大。前期乐观预期推动盘面下，利多集中释放后现实压力推动盘面回落，盘面有所回落。后续随成材波动。焦炭01合约短期依旧在（2630，2830）波动，若小幅度调整下或围绕中枢2730上下50点波动。</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18" w:name="_Toc19600"/>
      <w:r>
        <w:rPr>
          <w:rFonts w:hint="eastAsia" w:ascii="楷体" w:hAnsi="楷体" w:eastAsia="楷体"/>
          <w:b/>
          <w:color w:val="000000" w:themeColor="text1"/>
          <w:sz w:val="24"/>
          <w:szCs w:val="24"/>
          <w14:textFill>
            <w14:solidFill>
              <w14:schemeClr w14:val="tx1"/>
            </w14:solidFill>
          </w14:textFill>
        </w:rPr>
        <w:t>焦煤：</w:t>
      </w:r>
      <w:bookmarkEnd w:id="18"/>
      <w:r>
        <w:rPr>
          <w:rFonts w:hint="eastAsia" w:ascii="楷体" w:hAnsi="楷体" w:eastAsia="楷体"/>
          <w:b/>
          <w:sz w:val="24"/>
          <w:szCs w:val="24"/>
        </w:rPr>
        <w:t>冬储预期支撑现货，盘面过度乐观预期阶段性修正</w:t>
      </w:r>
    </w:p>
    <w:p>
      <w:pPr>
        <w:ind w:left="630" w:leftChars="300"/>
        <w:rPr>
          <w:rFonts w:ascii="楷体" w:hAnsi="楷体" w:eastAsia="楷体"/>
          <w:bCs/>
          <w:sz w:val="24"/>
          <w:szCs w:val="24"/>
        </w:rPr>
      </w:pPr>
      <w:r>
        <w:rPr>
          <w:rFonts w:hint="eastAsia" w:ascii="楷体" w:hAnsi="楷体" w:eastAsia="楷体"/>
          <w:sz w:val="24"/>
          <w:szCs w:val="24"/>
        </w:rPr>
        <w:t>国内煤矿产量或继续修复，蒙煤通关数量持续上行，整体供应或偏稳有进，但高度或有限。铁水需求阶段性见底，海外焦炭出口下滑缓解国内碳元素供应压力。从日耗角度看看，碳元素在日耗上相对平衡，总库存小幅度累积。焦煤01合约或在（1950，2200）波动，若小幅度调整或围绕2100上下50点波动，若大幅度调整下，01合约以前底为支撑，焦煤05合约强支撑约在（1550,1600）。</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2581"/>
      <w:r>
        <w:rPr>
          <w:rFonts w:hint="eastAsia" w:ascii="楷体" w:hAnsi="楷体" w:eastAsia="楷体"/>
          <w:b/>
          <w:color w:val="000000" w:themeColor="text1"/>
          <w:sz w:val="24"/>
          <w:szCs w:val="24"/>
          <w14:textFill>
            <w14:solidFill>
              <w14:schemeClr w14:val="tx1"/>
            </w14:solidFill>
          </w14:textFill>
        </w:rPr>
        <w:t>铜：</w:t>
      </w:r>
      <w:bookmarkEnd w:id="19"/>
      <w:bookmarkEnd w:id="20"/>
      <w:bookmarkEnd w:id="21"/>
      <w:r>
        <w:rPr>
          <w:rFonts w:hint="eastAsia" w:ascii="楷体" w:hAnsi="楷体" w:eastAsia="楷体"/>
          <w:b/>
          <w:color w:val="000000" w:themeColor="text1"/>
          <w:sz w:val="24"/>
          <w:szCs w:val="24"/>
          <w14:textFill>
            <w14:solidFill>
              <w14:schemeClr w14:val="tx1"/>
            </w14:solidFill>
          </w14:textFill>
        </w:rPr>
        <w:t>铜价承压运行，上周空单逐步止盈</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(1)库存：11月21日，SHFE仓单库存45840吨，减3324吨。LME仓单库存91250吨，增1500吨。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(2)精废价差：11月21日，Mysteel精废价差1598，收窄172。目前价差在合理价差1355之上。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预期反复对短期价格形成扰动，但海外经济持续走弱大背景下，铜价仍将受到压制，当前仍需等待数据的进一步验证，包含美国通胀、制造业PMI、失业率及欧洲等经济体的经济数据表现。微观指标看，基本面存转弱迹象，但低库存格局仍然存在，且持续性有待观察，短期无法给价格带来明显压力。操作上，上周空单可逐步止盈。</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16379"/>
      <w:r>
        <w:rPr>
          <w:rFonts w:hint="eastAsia" w:ascii="楷体" w:hAnsi="楷体" w:eastAsia="楷体"/>
          <w:b/>
          <w:color w:val="000000" w:themeColor="text1"/>
          <w:sz w:val="24"/>
          <w:szCs w:val="24"/>
          <w14:textFill>
            <w14:solidFill>
              <w14:schemeClr w14:val="tx1"/>
            </w14:solidFill>
          </w14:textFill>
        </w:rPr>
        <w:t>铝：</w:t>
      </w:r>
      <w:bookmarkEnd w:id="22"/>
      <w:bookmarkEnd w:id="23"/>
      <w:bookmarkEnd w:id="24"/>
      <w:r>
        <w:rPr>
          <w:rFonts w:hint="eastAsia" w:ascii="楷体" w:hAnsi="楷体" w:eastAsia="楷体"/>
          <w:b/>
          <w:color w:val="000000" w:themeColor="text1"/>
          <w:sz w:val="24"/>
          <w:szCs w:val="24"/>
          <w14:textFill>
            <w14:solidFill>
              <w14:schemeClr w14:val="tx1"/>
            </w14:solidFill>
          </w14:textFill>
        </w:rPr>
        <w:t>宏观情绪转空，铝价高位回调</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止跌反弹，有色承压普跌。国际地缘政治冲突持续，欧洲前期金半数铝业减产，欧美主要工业国经济数据低迷，消费支撑乏力。国内精准防控疫情“二十条”政策出台，房地产利好政策频出，银保监会支持民营企业债券融资，“保交楼”2000亿专款投放，市场仍有消费向好预期但暂未见消费明显改善拐点。国内三部门联合发布《有色金属行业碳达峰方案》，后续落后产能将加速淘汰，市场对未来国内火电铝供应有减产担忧，川渝产能遇枯水期短期难以满产，广西公布复产鼓励政策预计复产进度提速，河南已完成8万吨减产任务，供应有增有减，两大交易所及社库库存低位去库，库存量再刷新低，叠加国内多地疫情高发，供应物流受阻导致现货偏紧，中游加工开工率向弱，下游消费维持刚需，沪铝受宏观利多及低位库存支撑价格攀升，但整体供需仍处弱势状态，预计价格偏强上行后高位回调，仍以宽幅震荡行情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5" w:name="_Toc17849"/>
      <w:r>
        <w:rPr>
          <w:rFonts w:hint="eastAsia" w:ascii="楷体" w:hAnsi="楷体" w:eastAsia="楷体"/>
          <w:b/>
          <w:color w:val="000000" w:themeColor="text1"/>
          <w:sz w:val="24"/>
          <w:szCs w:val="24"/>
          <w14:textFill>
            <w14:solidFill>
              <w14:schemeClr w14:val="tx1"/>
            </w14:solidFill>
          </w14:textFill>
        </w:rPr>
        <w:t>锌：</w:t>
      </w:r>
      <w:bookmarkEnd w:id="25"/>
      <w:r>
        <w:rPr>
          <w:rFonts w:hint="eastAsia" w:ascii="楷体" w:hAnsi="楷体" w:eastAsia="楷体"/>
          <w:b/>
          <w:color w:val="000000" w:themeColor="text1"/>
          <w:sz w:val="24"/>
          <w:szCs w:val="24"/>
          <w14:textFill>
            <w14:solidFill>
              <w14:schemeClr w14:val="tx1"/>
            </w14:solidFill>
          </w14:textFill>
        </w:rPr>
        <w:t>宏观承压锌价高位回调，持续关注库存增长拐点</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21日沪锌隔夜收盘价格23655元/吨，跌幅2.77%，上海有色网0#锌锭（Zn99.995）现货报价24490元/吨，较上一统计日报价下跌320元/吨。联储鹰派发言，美元企稳走高，有色板块承压。欧洲所有锌厂限产，Nyrstar宣布11月重启位于荷兰的锌厂，涉及产能约30万吨，海外供应有走好预期，近期欧洲天气气温下降，天然气价格再度攀升，海外经济陷入衰退，需求表现仍旧疲弱。国内货币政策延续宽松，降息降准仍可期，央行、银保监会召开会议表示加强重点领域信贷支持力度，央行拟向商业英航提供2000亿免息再贷款用于支持“保交楼”，未来国内地产拉动消费预期向好。国内罗平锌电计划复产开矿3000万吨，国家三部门联合发布有色金属碳达峰实施方案，四川部分炼厂因不符合环保要求进行减停产，广东、广西、云南、湖南计划恢复生产，供应有增有减，国内多地疫情高发影响生产消费，国内锌产量10月同比增加一成，下游采购情绪略有转好但仍未明显改善，需求疲弱抑制价格上行。LME库存维持历史低位仍在去库阶段，沪锌库存略有垒库，关注库存增长拐点。</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26" w:name="_Toc9665"/>
      <w:r>
        <w:rPr>
          <w:rFonts w:hint="eastAsia" w:ascii="楷体" w:hAnsi="楷体" w:eastAsia="楷体"/>
          <w:b/>
          <w:color w:val="000000" w:themeColor="text1"/>
          <w:sz w:val="24"/>
          <w:szCs w:val="24"/>
          <w14:textFill>
            <w14:solidFill>
              <w14:schemeClr w14:val="tx1"/>
            </w14:solidFill>
          </w14:textFill>
        </w:rPr>
        <w:t>工业硅：</w:t>
      </w:r>
      <w:bookmarkEnd w:id="26"/>
      <w:r>
        <w:rPr>
          <w:rFonts w:hint="eastAsia" w:ascii="楷体" w:hAnsi="楷体" w:eastAsia="楷体"/>
          <w:b/>
          <w:sz w:val="24"/>
          <w:szCs w:val="24"/>
        </w:rPr>
        <w:t>供应扰动仍未好转，需求预期支撑硅价高位震荡运行</w:t>
      </w:r>
    </w:p>
    <w:p>
      <w:pPr>
        <w:ind w:left="630" w:leftChars="300"/>
        <w:rPr>
          <w:rFonts w:ascii="楷体" w:hAnsi="楷体" w:eastAsia="楷体"/>
          <w:sz w:val="24"/>
          <w:szCs w:val="24"/>
        </w:rPr>
      </w:pPr>
      <w:r>
        <w:rPr>
          <w:rFonts w:hint="eastAsia" w:ascii="楷体" w:hAnsi="楷体" w:eastAsia="楷体"/>
          <w:sz w:val="24"/>
          <w:szCs w:val="24"/>
        </w:rPr>
        <w:t>11月21日，华东地区553（通氧）20400元/吨，较上个统计日下降100元/吨，因下游需刚需采购为主，市场价格略有下降。供应方面，新疆地区生产受疫情影响仍旧部分停炉，以及川滇地区步入枯水期电价上调，整体成本有所上升。需求方面，有机硅、铝合金以及出口仍旧偏弱，多晶硅产能逐步释放对市场仍有支撑。 综合来看，当前市场仍有支撑，但行业高库存将压制硅价大幅反弹，预计短期市场将高位震荡运行。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30865"/>
      <w:r>
        <w:rPr>
          <w:rFonts w:hint="eastAsia" w:ascii="Times New Roman" w:hAnsi="Times New Roman" w:eastAsia="楷体"/>
          <w:b/>
          <w:color w:val="823C0B"/>
          <w:sz w:val="30"/>
          <w:szCs w:val="30"/>
        </w:rPr>
        <w:t>[化工]</w:t>
      </w:r>
      <w:bookmarkEnd w:id="27"/>
      <w:bookmarkEnd w:id="28"/>
    </w:p>
    <w:p>
      <w:pPr>
        <w:ind w:firstLine="482" w:firstLineChars="200"/>
        <w:outlineLvl w:val="1"/>
        <w:rPr>
          <w:rFonts w:ascii="Times New Roman" w:hAnsi="Times New Roman" w:eastAsia="楷体"/>
          <w:b/>
          <w:sz w:val="24"/>
          <w:szCs w:val="24"/>
        </w:rPr>
      </w:pPr>
      <w:bookmarkStart w:id="29" w:name="_Toc4947"/>
      <w:r>
        <w:rPr>
          <w:rFonts w:hint="eastAsia" w:ascii="Times New Roman" w:hAnsi="Times New Roman" w:eastAsia="楷体"/>
          <w:b/>
          <w:color w:val="000000" w:themeColor="text1"/>
          <w:sz w:val="24"/>
          <w:szCs w:val="24"/>
          <w14:textFill>
            <w14:solidFill>
              <w14:schemeClr w14:val="tx1"/>
            </w14:solidFill>
          </w14:textFill>
        </w:rPr>
        <w:t>乙二醇：</w:t>
      </w:r>
      <w:bookmarkEnd w:id="29"/>
      <w:r>
        <w:rPr>
          <w:rFonts w:hint="eastAsia" w:ascii="Times New Roman" w:hAnsi="Times New Roman" w:eastAsia="楷体"/>
          <w:b/>
          <w:sz w:val="24"/>
          <w:szCs w:val="24"/>
        </w:rPr>
        <w:t>成本端走弱叠加供增需减  建议轻仓空单持有</w:t>
      </w:r>
    </w:p>
    <w:p>
      <w:pPr>
        <w:ind w:left="630" w:leftChars="300"/>
        <w:rPr>
          <w:rFonts w:ascii="楷体" w:hAnsi="楷体" w:eastAsia="楷体"/>
          <w:sz w:val="24"/>
          <w:szCs w:val="24"/>
        </w:rPr>
      </w:pPr>
      <w:r>
        <w:rPr>
          <w:rFonts w:hint="eastAsia" w:ascii="楷体" w:hAnsi="楷体" w:eastAsia="楷体"/>
          <w:sz w:val="24"/>
          <w:szCs w:val="24"/>
        </w:rPr>
        <w:t>供需情况，11.21华东主港地区MEG港口库存约85万吨附近，环比上期减少1.4万吨。供需情况，中国大陆地区乙二醇整体开工负荷在55.14%（-1.25%），其中煤制乙二醇开工负荷在32.43%（-0.65%），乙二醇负荷小幅回落。从聚酯需求端来看，上周装置变动仍体现在长丝环节，工厂继续减产检修，而短纤瓶片则保持稳定。截至11.17初步核算国内大陆地区聚酯负荷在78%。除了短纤工厂库存水平偏低外，涤纶长丝及终端坯布库存均有30天以上。终端需求疲软现状难改，下游开工持续下滑。截至11.17，江浙加弹开工率57%（-3%）、江浙织机开工率49%（-3%）、浙江印染开工率50%（-2%）。少数加弹、织造、印染企业甚至开始安排放年假的计划，预估进入12月份以后下游放年假的现象会进一步增多。供应恢复叠加聚酯负荷走低，供需矛盾加剧。综合来看，聚酯及终端已经开启降负，部分聚酯工厂陆续落实减产动作，需求环节支撑逐步下滑。后期新装置货源陆续兑现市场后现货端口依旧承压明显，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448"/>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bookmarkEnd w:id="30"/>
      <w:r>
        <w:rPr>
          <w:rFonts w:hint="eastAsia" w:ascii="楷体" w:hAnsi="楷体" w:eastAsia="楷体"/>
          <w:b/>
          <w:color w:val="000000" w:themeColor="text1"/>
          <w:sz w:val="24"/>
          <w:szCs w:val="24"/>
          <w14:textFill>
            <w14:solidFill>
              <w14:schemeClr w14:val="tx1"/>
            </w14:solidFill>
          </w14:textFill>
        </w:rPr>
        <w:t>受油价走低及需求疲软拖累  PTA走势偏空</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从PTA成本端来看，PX开工率提升至76%，新装置投产在即，PX价格回落。PTA供需方面，部分PTA装置开启停车或检修，如恒力2#、逸盛225万吨装置后期有停车计划，英力士近期负荷降至7成偏下，其一套产能110万吨的装置11月中计划停车检修降负，亚东石化75万吨装置11月底停车。综合来看，PTA整体负荷在72~73%附近波动。聚酯方面，本周装置变动仍体现在长丝环节，工厂继续减产检修，而短纤瓶片则保持稳定。截至11.17，初步核算国内大陆地区聚酯负荷在78%（-1%）。终端方面，坯布订单和出货氛围均偏弱维持，染厂和织造环节开工持续走弱，涤丝缺乏需求。综合来看，PXN的价差大幅收缩，PTA的成本端走低带动加工费较前期大幅提升。然下游聚酯减产幅度扩大，TA高加工费不可持续。受油价走低及需求疲软拖累，PTA走势偏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1" w:name="_Toc12869"/>
      <w:r>
        <w:rPr>
          <w:rFonts w:hint="eastAsia" w:ascii="Times New Roman" w:hAnsi="Times New Roman" w:eastAsia="楷体"/>
          <w:b/>
          <w:color w:val="823C0B"/>
          <w:sz w:val="30"/>
          <w:szCs w:val="30"/>
        </w:rPr>
        <w:t>[农产品]</w:t>
      </w:r>
      <w:bookmarkEnd w:id="11"/>
      <w:bookmarkEnd w:id="31"/>
    </w:p>
    <w:p>
      <w:pPr>
        <w:ind w:left="420" w:leftChars="200"/>
        <w:outlineLvl w:val="1"/>
        <w:rPr>
          <w:rFonts w:ascii="楷体" w:hAnsi="楷体" w:eastAsia="楷体"/>
          <w:b/>
          <w:sz w:val="24"/>
          <w:szCs w:val="24"/>
        </w:rPr>
      </w:pPr>
      <w:bookmarkStart w:id="32" w:name="_Toc32588"/>
      <w:r>
        <w:rPr>
          <w:rFonts w:hint="eastAsia" w:ascii="楷体" w:hAnsi="楷体" w:eastAsia="楷体"/>
          <w:b/>
          <w:color w:val="000000" w:themeColor="text1"/>
          <w:sz w:val="24"/>
          <w:szCs w:val="24"/>
          <w14:textFill>
            <w14:solidFill>
              <w14:schemeClr w14:val="tx1"/>
            </w14:solidFill>
          </w14:textFill>
        </w:rPr>
        <w:t>豆粕：</w:t>
      </w:r>
      <w:bookmarkEnd w:id="32"/>
      <w:r>
        <w:rPr>
          <w:rFonts w:hint="eastAsia" w:ascii="楷体" w:hAnsi="楷体" w:eastAsia="楷体"/>
          <w:b/>
          <w:sz w:val="24"/>
          <w:szCs w:val="24"/>
        </w:rPr>
        <w:t>短期下方支撑较强，建议观望</w:t>
      </w:r>
    </w:p>
    <w:p>
      <w:pPr>
        <w:ind w:left="630" w:leftChars="300"/>
        <w:rPr>
          <w:rFonts w:ascii="楷体" w:hAnsi="楷体" w:eastAsia="楷体"/>
          <w:sz w:val="24"/>
          <w:szCs w:val="24"/>
        </w:rPr>
      </w:pPr>
      <w:r>
        <w:rPr>
          <w:rFonts w:hint="eastAsia" w:ascii="楷体" w:hAnsi="楷体" w:eastAsia="楷体"/>
          <w:sz w:val="24"/>
          <w:szCs w:val="24"/>
        </w:rPr>
        <w:t>外盘方面，阿根廷或恢复特别汇率制度，若制度恢复将不利于美豆出口。当前市场对南美仍保持增产预期，巴西播种已过半，完成进度80%，符合5年均值，而阿根廷播种进度偏慢，在降雨后种植情况有所改善，后续仍需关注产区种植情况。国内市场，近几日豆粕国内现货价格有所松动，基差收敛。随着11月进口大豆陆续到港，港口库存低点已现，库存回升，但在压榨偏低及刚需下，豆粕库存再创新低，仅14.92万吨。下游养殖利润良好，在年底生猪集中出栏前以及当前各地疫情反扑，下游担忧供应，饲企和养殖企业等维持刚需补库保持安全库存。虽预期供应增加压力显现，但连粕短期在高基差低库存下仍有支撑，暂看下方4100一线支撑，关注油厂开工率及豆粕库存的修复情况，短线操作为主，激进者可逢高布局01空单；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3" w:name="_Toc18065"/>
      <w:r>
        <w:rPr>
          <w:rFonts w:hint="eastAsia" w:ascii="楷体" w:hAnsi="楷体" w:eastAsia="楷体"/>
          <w:b/>
          <w:color w:val="000000" w:themeColor="text1"/>
          <w:sz w:val="24"/>
          <w:szCs w:val="24"/>
          <w14:textFill>
            <w14:solidFill>
              <w14:schemeClr w14:val="tx1"/>
            </w14:solidFill>
          </w14:textFill>
        </w:rPr>
        <w:t>油脂：</w:t>
      </w:r>
      <w:bookmarkEnd w:id="33"/>
      <w:r>
        <w:rPr>
          <w:rFonts w:hint="eastAsia" w:ascii="楷体" w:hAnsi="楷体" w:eastAsia="楷体"/>
          <w:b/>
          <w:sz w:val="24"/>
          <w:szCs w:val="24"/>
        </w:rPr>
        <w:t>原油持续走弱，拖累油脂走势</w:t>
      </w:r>
    </w:p>
    <w:p>
      <w:pPr>
        <w:ind w:left="630" w:leftChars="300"/>
        <w:rPr>
          <w:rFonts w:ascii="楷体" w:hAnsi="楷体" w:eastAsia="楷体"/>
          <w:sz w:val="24"/>
          <w:szCs w:val="24"/>
        </w:rPr>
      </w:pPr>
      <w:r>
        <w:rPr>
          <w:rFonts w:hint="eastAsia" w:ascii="楷体" w:hAnsi="楷体" w:eastAsia="楷体"/>
          <w:sz w:val="24"/>
          <w:szCs w:val="24"/>
        </w:rPr>
        <w:t>宏观方面，国际原油价格持续走弱，叠加黑海协议恢复，带动内盘下跌。棕榈油方面支撑主要来自产地减产担忧，东南亚棕榈油进入减产周期，叠加强降雨预估，产量担忧仍存。同时生柴政策利好，能源价格高位仍提振生柴消费需求。而国内棕榈油供应较宽松，港口库存持续回升至81.5万吨。国内需求疲软，冬季为棕榈油季节性消费淡季，因此国内消费端难形成支撑。近期豆油下游成交有所回暖，表观消费增加，棕榈油进入季节性消费淡季或提振豆油替代。短期在美豆成本端支撑以及供应紧张下，维持近紧远松格局。随着11月进口大豆到港陆续增加，港口大豆库存开始累库，关注后续油厂压榨情况，在供应预期增加及消费疲软下，豆油基差预计逐渐回归。菜油在供应边际</w:t>
      </w:r>
      <w:bookmarkStart w:id="42" w:name="_GoBack"/>
      <w:bookmarkEnd w:id="42"/>
      <w:r>
        <w:rPr>
          <w:rFonts w:hint="eastAsia" w:ascii="楷体" w:hAnsi="楷体" w:eastAsia="楷体"/>
          <w:sz w:val="24"/>
          <w:szCs w:val="24"/>
        </w:rPr>
        <w:t>预期改善下，现货价大幅回落，基差松动。随着加籽大量上市，国内第四季进口度预估到港为180万吨。11月菜籽到港逐渐增加，当前菜籽库存已明显增加，但菜油库存仍维持历史低位。因油厂压榨偏低，导致菜油库存迟迟得不到修复。预计油脂在四季度供应边际增加下，上方空间有限，短期维持宽幅震荡，建议短线顺势操作，在后续油料到港预期下豆油及菜油走势预计相对偏弱，但菜油有收储预期，因此油脂单边走势预计不会太顺畅，逢高布空菜棕价差可继续持有。</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34" w:name="_Toc12520"/>
      <w:r>
        <w:rPr>
          <w:rFonts w:hint="eastAsia" w:ascii="楷体" w:hAnsi="楷体" w:eastAsia="楷体"/>
          <w:b/>
          <w:bCs/>
          <w:color w:val="000000" w:themeColor="text1"/>
          <w14:textFill>
            <w14:solidFill>
              <w14:schemeClr w14:val="tx1"/>
            </w14:solidFill>
          </w14:textFill>
        </w:rPr>
        <w:t>玉米与淀粉：</w:t>
      </w:r>
      <w:bookmarkEnd w:id="34"/>
      <w:r>
        <w:rPr>
          <w:rFonts w:hint="eastAsia" w:ascii="楷体" w:hAnsi="楷体" w:eastAsia="楷体"/>
          <w:b/>
        </w:rPr>
        <w:t>现货通过基差带动期价反弹</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表现为期现背离，即期价持续下跌，这主要源于美玉米期价持续震荡回落，且人民币汇率近期升值，加上中国进口巴西玉米逐步明朗，俄罗斯同意延长黑海谷物四方协议，后期进口谷物性价比有望逐步提升；而国内现货相对强势，因渠道库存去化后处于低位，而受天气、疫情及其农户惜售心理影响玉米上量。在这种情况下，我们回到前期的逻辑上，一方面需要留意外盘走势，另一方面需要关注国内新作上市压力能否带动国内现货走弱。维持谨慎看空观点，建议投资者继续持有前期玉米单边空单或看跌期权。</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上周淀粉-玉米价差大幅收窄主要源于成本端下跌的带动，但近期蛋白粕现货价格大幅下跌，有望带动淀粉副产品现货出现较大幅度下跌，继而通过淀粉期现货加工利润影响行业开机率，促进行业供需改善。在这种情况下，我们继续看多淀粉-玉米价差，特别留意淀粉副产品价格走势，建议投资者可以考虑继续持有淀粉-玉米价差套利。</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4068"/>
      <w:r>
        <w:rPr>
          <w:rFonts w:hint="eastAsia" w:ascii="楷体" w:hAnsi="楷体" w:eastAsia="楷体"/>
          <w:b/>
          <w:bCs/>
          <w:color w:val="000000" w:themeColor="text1"/>
          <w14:textFill>
            <w14:solidFill>
              <w14:schemeClr w14:val="tx1"/>
            </w14:solidFill>
          </w14:textFill>
        </w:rPr>
        <w:t>畜禽养殖：</w:t>
      </w:r>
      <w:bookmarkEnd w:id="35"/>
      <w:r>
        <w:rPr>
          <w:rFonts w:hint="eastAsia" w:ascii="楷体" w:hAnsi="楷体" w:eastAsia="楷体"/>
          <w:b/>
          <w:bCs/>
          <w:color w:val="000000" w:themeColor="text1"/>
          <w14:textFill>
            <w14:solidFill>
              <w14:schemeClr w14:val="tx1"/>
            </w14:solidFill>
          </w14:textFill>
        </w:rPr>
        <w:t>继续跟踪现货走势</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10月下旬下跌的定性，是季节性回调还是周期性拐点？总体来看，接下来是供需两增的阶段，之前通过二次育肥和压栏而积压的供应需要释放，与此同时，熏腊制品和春节前备货也将带动需求环比大增。具体而言，今年供应包括进口、储备和冷冻库存均相对低于2019年，而需求端存在较大变数，特别是疫情因素。综上所述，我们暂维持谨慎看多观点，倾向于认为10月下旬以来的现货下跌更多属于季节性回调，猪价拐点尚未出现，但需要特别留意疫情情况。</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饲料成本、动物蛋白供应和鸡蛋自身供需格局，继续持中期看多观点，建议谨慎投资者观望，激进投资者可以前低作为止损轻仓试多。</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36" w:name="_Toc15769"/>
      <w:r>
        <w:rPr>
          <w:rFonts w:hint="eastAsia" w:ascii="楷体" w:hAnsi="楷体" w:eastAsia="楷体"/>
          <w:b/>
          <w:sz w:val="24"/>
          <w:szCs w:val="24"/>
        </w:rPr>
        <w:t>郑棉：</w:t>
      </w:r>
      <w:bookmarkEnd w:id="36"/>
      <w:r>
        <w:rPr>
          <w:rFonts w:hint="eastAsia" w:ascii="楷体" w:hAnsi="楷体" w:eastAsia="楷体"/>
          <w:b/>
          <w:sz w:val="24"/>
          <w:szCs w:val="24"/>
        </w:rPr>
        <w:t>宏观压制下国际金融市场再入下行阶段</w:t>
      </w:r>
    </w:p>
    <w:p>
      <w:pPr>
        <w:ind w:left="630" w:leftChars="300"/>
        <w:rPr>
          <w:rFonts w:hint="eastAsia" w:ascii="楷体" w:hAnsi="楷体" w:eastAsia="楷体"/>
          <w:sz w:val="24"/>
          <w:szCs w:val="24"/>
        </w:rPr>
      </w:pPr>
      <w:r>
        <w:rPr>
          <w:rFonts w:hint="eastAsia" w:ascii="楷体" w:hAnsi="楷体" w:eastAsia="楷体"/>
          <w:sz w:val="24"/>
          <w:szCs w:val="24"/>
        </w:rPr>
        <w:t>叠加本身收割进度较快和美元反弹的压力，美棉跌停。郑棉则继续在12600-13500区间内震荡，空单持有</w:t>
      </w:r>
    </w:p>
    <w:p>
      <w:pPr>
        <w:ind w:left="630" w:leftChars="300"/>
        <w:rPr>
          <w:rFonts w:ascii="楷体" w:hAnsi="楷体" w:eastAsia="楷体"/>
          <w:sz w:val="24"/>
          <w:szCs w:val="24"/>
        </w:rPr>
      </w:pPr>
      <w:r>
        <w:rPr>
          <w:rFonts w:hint="eastAsia" w:ascii="楷体" w:hAnsi="楷体" w:eastAsia="楷体"/>
          <w:sz w:val="24"/>
          <w:szCs w:val="24"/>
        </w:rPr>
        <w:t>美国农业部（ USDA ）在每周作物生长报告中公布称，截至2022年11月20日当周，美国棉花收割率为79%，之前一周为71%，去年同期为74%，五年均值为71%。</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19667"/>
      <w:bookmarkStart w:id="38" w:name="_Toc72481108"/>
      <w:bookmarkStart w:id="39" w:name="_Toc98426751"/>
      <w:bookmarkStart w:id="40" w:name="_Toc71212556"/>
      <w:bookmarkStart w:id="41" w:name="_Toc12779"/>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2022年11月22日星期二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lN2RlMzFiYjYxYmYyMmEzZDc5YTA3NDAxNTVlZmY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5D52593"/>
    <w:rsid w:val="1B8A2034"/>
    <w:rsid w:val="1BC72FF7"/>
    <w:rsid w:val="1D5030CD"/>
    <w:rsid w:val="219F3EE2"/>
    <w:rsid w:val="26F95364"/>
    <w:rsid w:val="373F75CC"/>
    <w:rsid w:val="3B3306F0"/>
    <w:rsid w:val="3B563B4D"/>
    <w:rsid w:val="3C2825B0"/>
    <w:rsid w:val="3C2B26B7"/>
    <w:rsid w:val="3EE0186C"/>
    <w:rsid w:val="441077D2"/>
    <w:rsid w:val="44396064"/>
    <w:rsid w:val="51266B84"/>
    <w:rsid w:val="548642E9"/>
    <w:rsid w:val="56DD4D3A"/>
    <w:rsid w:val="5D5617A6"/>
    <w:rsid w:val="5EA7685B"/>
    <w:rsid w:val="62710E5F"/>
    <w:rsid w:val="64C32497"/>
    <w:rsid w:val="713E0334"/>
    <w:rsid w:val="737357AF"/>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1052</Words>
  <Characters>6002</Characters>
  <Lines>50</Lines>
  <Paragraphs>14</Paragraphs>
  <TotalTime>7</TotalTime>
  <ScaleCrop>false</ScaleCrop>
  <LinksUpToDate>false</LinksUpToDate>
  <CharactersWithSpaces>7040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2022-11-22T02:26:11Z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