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pPr>
        </w:p>
        <w:p>
          <w:pPr>
            <w:pStyle w:val="5"/>
            <w:tabs>
              <w:tab w:val="right" w:leader="dot" w:pos="8306"/>
            </w:tabs>
            <w:rPr>
              <w:b/>
              <w:bCs/>
            </w:rPr>
          </w:pPr>
          <w:r>
            <w:rPr>
              <w:b/>
              <w:bCs/>
            </w:rPr>
            <w:fldChar w:fldCharType="begin"/>
          </w:r>
          <w:r>
            <w:rPr>
              <w:b/>
              <w:bCs/>
            </w:rPr>
            <w:instrText xml:space="preserve"> TOC \o "1-3" \n \h \z \u </w:instrText>
          </w:r>
          <w:r>
            <w:rPr>
              <w:b/>
              <w:bCs/>
            </w:rPr>
            <w:fldChar w:fldCharType="separate"/>
          </w:r>
          <w:r>
            <w:rPr>
              <w:b/>
              <w:bCs/>
            </w:rPr>
            <w:fldChar w:fldCharType="begin"/>
          </w:r>
          <w:r>
            <w:rPr>
              <w:b/>
              <w:bCs/>
            </w:rPr>
            <w:instrText xml:space="preserve"> HYPERLINK \l _Toc9694 </w:instrText>
          </w:r>
          <w:r>
            <w:rPr>
              <w:b/>
              <w:bCs/>
            </w:rPr>
            <w:fldChar w:fldCharType="separate"/>
          </w:r>
          <w:r>
            <w:rPr>
              <w:rFonts w:hint="eastAsia" w:ascii="Times New Roman" w:hAnsi="Times New Roman" w:eastAsia="楷体"/>
              <w:b/>
              <w:bCs/>
              <w:szCs w:val="30"/>
            </w:rPr>
            <w:t>[金融]</w:t>
          </w:r>
          <w:r>
            <w:rPr>
              <w:b/>
              <w:bCs/>
            </w:rPr>
            <w:fldChar w:fldCharType="end"/>
          </w:r>
        </w:p>
        <w:p>
          <w:pPr>
            <w:pStyle w:val="6"/>
            <w:tabs>
              <w:tab w:val="right" w:leader="dot" w:pos="8306"/>
            </w:tabs>
            <w:rPr>
              <w:b/>
              <w:bCs/>
            </w:rPr>
          </w:pPr>
          <w:r>
            <w:rPr>
              <w:b/>
              <w:bCs/>
            </w:rPr>
            <w:fldChar w:fldCharType="begin"/>
          </w:r>
          <w:r>
            <w:rPr>
              <w:b/>
              <w:bCs/>
            </w:rPr>
            <w:instrText xml:space="preserve"> HYPERLINK \l _Toc17687 </w:instrText>
          </w:r>
          <w:r>
            <w:rPr>
              <w:b/>
              <w:bCs/>
            </w:rPr>
            <w:fldChar w:fldCharType="separate"/>
          </w:r>
          <w:r>
            <w:rPr>
              <w:rFonts w:hint="eastAsia" w:ascii="Times New Roman" w:hAnsi="Times New Roman" w:eastAsia="楷体"/>
              <w:b/>
              <w:bCs/>
              <w:szCs w:val="24"/>
            </w:rPr>
            <w:t>股指：低多IF</w:t>
          </w:r>
          <w:r>
            <w:rPr>
              <w:b/>
              <w:bCs/>
            </w:rPr>
            <w:fldChar w:fldCharType="end"/>
          </w:r>
        </w:p>
        <w:p>
          <w:pPr>
            <w:pStyle w:val="5"/>
            <w:tabs>
              <w:tab w:val="right" w:leader="dot" w:pos="8306"/>
            </w:tabs>
            <w:rPr>
              <w:b/>
              <w:bCs/>
            </w:rPr>
          </w:pPr>
          <w:r>
            <w:rPr>
              <w:b/>
              <w:bCs/>
            </w:rPr>
            <w:fldChar w:fldCharType="begin"/>
          </w:r>
          <w:r>
            <w:rPr>
              <w:b/>
              <w:bCs/>
            </w:rPr>
            <w:instrText xml:space="preserve"> HYPERLINK \l _Toc765 </w:instrText>
          </w:r>
          <w:r>
            <w:rPr>
              <w:b/>
              <w:bCs/>
            </w:rPr>
            <w:fldChar w:fldCharType="separate"/>
          </w:r>
          <w:r>
            <w:rPr>
              <w:rFonts w:hint="eastAsia" w:ascii="Times New Roman" w:hAnsi="Times New Roman" w:eastAsia="楷体"/>
              <w:b/>
              <w:bCs/>
              <w:szCs w:val="30"/>
            </w:rPr>
            <w:t>[金属]</w:t>
          </w:r>
          <w:r>
            <w:rPr>
              <w:b/>
              <w:bCs/>
            </w:rPr>
            <w:fldChar w:fldCharType="end"/>
          </w:r>
        </w:p>
        <w:p>
          <w:pPr>
            <w:pStyle w:val="6"/>
            <w:tabs>
              <w:tab w:val="right" w:leader="dot" w:pos="8306"/>
            </w:tabs>
            <w:rPr>
              <w:b/>
              <w:bCs/>
            </w:rPr>
          </w:pPr>
          <w:r>
            <w:rPr>
              <w:b/>
              <w:bCs/>
            </w:rPr>
            <w:fldChar w:fldCharType="begin"/>
          </w:r>
          <w:r>
            <w:rPr>
              <w:b/>
              <w:bCs/>
            </w:rPr>
            <w:instrText xml:space="preserve"> HYPERLINK \l _Toc17296 </w:instrText>
          </w:r>
          <w:r>
            <w:rPr>
              <w:b/>
              <w:bCs/>
            </w:rPr>
            <w:fldChar w:fldCharType="separate"/>
          </w:r>
          <w:r>
            <w:rPr>
              <w:rFonts w:hint="eastAsia" w:ascii="楷体" w:hAnsi="楷体" w:eastAsia="楷体"/>
              <w:b/>
              <w:bCs/>
              <w:szCs w:val="24"/>
            </w:rPr>
            <w:t>螺纹钢：回归基本面定价，1-5正套继续持有</w:t>
          </w:r>
          <w:r>
            <w:rPr>
              <w:b/>
              <w:bCs/>
            </w:rPr>
            <w:fldChar w:fldCharType="end"/>
          </w:r>
        </w:p>
        <w:p>
          <w:pPr>
            <w:pStyle w:val="6"/>
            <w:tabs>
              <w:tab w:val="right" w:leader="dot" w:pos="8306"/>
            </w:tabs>
            <w:rPr>
              <w:b/>
              <w:bCs/>
            </w:rPr>
          </w:pPr>
          <w:r>
            <w:rPr>
              <w:b/>
              <w:bCs/>
            </w:rPr>
            <w:fldChar w:fldCharType="begin"/>
          </w:r>
          <w:r>
            <w:rPr>
              <w:b/>
              <w:bCs/>
            </w:rPr>
            <w:instrText xml:space="preserve"> HYPERLINK \l _Toc27705 </w:instrText>
          </w:r>
          <w:r>
            <w:rPr>
              <w:b/>
              <w:bCs/>
            </w:rPr>
            <w:fldChar w:fldCharType="separate"/>
          </w:r>
          <w:r>
            <w:rPr>
              <w:rFonts w:hint="eastAsia" w:ascii="楷体" w:hAnsi="楷体" w:eastAsia="楷体"/>
              <w:b/>
              <w:bCs/>
              <w:szCs w:val="24"/>
            </w:rPr>
            <w:t>焦炭：短期贸易商补库为主，进入第一轮提涨博弈</w:t>
          </w:r>
          <w:r>
            <w:rPr>
              <w:b/>
              <w:bCs/>
            </w:rPr>
            <w:fldChar w:fldCharType="end"/>
          </w:r>
        </w:p>
        <w:p>
          <w:pPr>
            <w:pStyle w:val="6"/>
            <w:tabs>
              <w:tab w:val="right" w:leader="dot" w:pos="8306"/>
            </w:tabs>
            <w:rPr>
              <w:b/>
              <w:bCs/>
            </w:rPr>
          </w:pPr>
          <w:r>
            <w:rPr>
              <w:b/>
              <w:bCs/>
            </w:rPr>
            <w:fldChar w:fldCharType="begin"/>
          </w:r>
          <w:r>
            <w:rPr>
              <w:b/>
              <w:bCs/>
            </w:rPr>
            <w:instrText xml:space="preserve"> HYPERLINK \l _Toc26503 </w:instrText>
          </w:r>
          <w:r>
            <w:rPr>
              <w:b/>
              <w:bCs/>
            </w:rPr>
            <w:fldChar w:fldCharType="separate"/>
          </w:r>
          <w:r>
            <w:rPr>
              <w:rFonts w:hint="eastAsia" w:ascii="楷体" w:hAnsi="楷体" w:eastAsia="楷体"/>
              <w:b/>
              <w:bCs/>
              <w:szCs w:val="24"/>
            </w:rPr>
            <w:t>焦煤：短期贸易商补库为主，偏强运行下上方空间视成材而定</w:t>
          </w:r>
          <w:r>
            <w:rPr>
              <w:b/>
              <w:bCs/>
            </w:rPr>
            <w:fldChar w:fldCharType="end"/>
          </w:r>
        </w:p>
        <w:p>
          <w:pPr>
            <w:pStyle w:val="6"/>
            <w:tabs>
              <w:tab w:val="right" w:leader="dot" w:pos="8306"/>
            </w:tabs>
            <w:rPr>
              <w:b/>
              <w:bCs/>
            </w:rPr>
          </w:pPr>
          <w:r>
            <w:rPr>
              <w:b/>
              <w:bCs/>
            </w:rPr>
            <w:fldChar w:fldCharType="begin"/>
          </w:r>
          <w:r>
            <w:rPr>
              <w:b/>
              <w:bCs/>
            </w:rPr>
            <w:instrText xml:space="preserve"> HYPERLINK \l _Toc14450 </w:instrText>
          </w:r>
          <w:r>
            <w:rPr>
              <w:b/>
              <w:bCs/>
            </w:rPr>
            <w:fldChar w:fldCharType="separate"/>
          </w:r>
          <w:r>
            <w:rPr>
              <w:rFonts w:hint="eastAsia" w:ascii="楷体" w:hAnsi="楷体" w:eastAsia="楷体"/>
              <w:b/>
              <w:bCs/>
              <w:szCs w:val="24"/>
            </w:rPr>
            <w:t>铜：逢高布局空单，区间操作为主</w:t>
          </w:r>
          <w:r>
            <w:rPr>
              <w:b/>
              <w:bCs/>
            </w:rPr>
            <w:fldChar w:fldCharType="end"/>
          </w:r>
        </w:p>
        <w:p>
          <w:pPr>
            <w:pStyle w:val="6"/>
            <w:tabs>
              <w:tab w:val="right" w:leader="dot" w:pos="8306"/>
            </w:tabs>
            <w:rPr>
              <w:b/>
              <w:bCs/>
            </w:rPr>
          </w:pPr>
          <w:r>
            <w:rPr>
              <w:b/>
              <w:bCs/>
            </w:rPr>
            <w:fldChar w:fldCharType="begin"/>
          </w:r>
          <w:r>
            <w:rPr>
              <w:b/>
              <w:bCs/>
            </w:rPr>
            <w:instrText xml:space="preserve"> HYPERLINK \l _Toc21792 </w:instrText>
          </w:r>
          <w:r>
            <w:rPr>
              <w:b/>
              <w:bCs/>
            </w:rPr>
            <w:fldChar w:fldCharType="separate"/>
          </w:r>
          <w:r>
            <w:rPr>
              <w:rFonts w:hint="eastAsia" w:ascii="楷体" w:hAnsi="楷体" w:eastAsia="楷体"/>
              <w:b/>
              <w:bCs/>
              <w:szCs w:val="24"/>
            </w:rPr>
            <w:t>铝：多空交织情绪扰动，铝价区间震荡为主</w:t>
          </w:r>
          <w:r>
            <w:rPr>
              <w:b/>
              <w:bCs/>
            </w:rPr>
            <w:fldChar w:fldCharType="end"/>
          </w:r>
        </w:p>
        <w:p>
          <w:pPr>
            <w:pStyle w:val="6"/>
            <w:tabs>
              <w:tab w:val="right" w:leader="dot" w:pos="8306"/>
            </w:tabs>
            <w:rPr>
              <w:b/>
              <w:bCs/>
            </w:rPr>
          </w:pPr>
          <w:r>
            <w:rPr>
              <w:b/>
              <w:bCs/>
            </w:rPr>
            <w:fldChar w:fldCharType="begin"/>
          </w:r>
          <w:r>
            <w:rPr>
              <w:b/>
              <w:bCs/>
            </w:rPr>
            <w:instrText xml:space="preserve"> HYPERLINK \l _Toc2295 </w:instrText>
          </w:r>
          <w:r>
            <w:rPr>
              <w:b/>
              <w:bCs/>
            </w:rPr>
            <w:fldChar w:fldCharType="separate"/>
          </w:r>
          <w:r>
            <w:rPr>
              <w:rFonts w:hint="eastAsia" w:ascii="楷体" w:hAnsi="楷体" w:eastAsia="楷体"/>
              <w:b/>
              <w:bCs/>
              <w:szCs w:val="24"/>
            </w:rPr>
            <w:t>锌：基本面低库存支撑但需求拖累，价格冲高注意回落风险</w:t>
          </w:r>
          <w:r>
            <w:rPr>
              <w:b/>
              <w:bCs/>
            </w:rPr>
            <w:fldChar w:fldCharType="end"/>
          </w:r>
        </w:p>
        <w:p>
          <w:pPr>
            <w:pStyle w:val="6"/>
            <w:tabs>
              <w:tab w:val="right" w:leader="dot" w:pos="8306"/>
            </w:tabs>
            <w:rPr>
              <w:b/>
              <w:bCs/>
            </w:rPr>
          </w:pPr>
          <w:r>
            <w:rPr>
              <w:b/>
              <w:bCs/>
            </w:rPr>
            <w:fldChar w:fldCharType="begin"/>
          </w:r>
          <w:r>
            <w:rPr>
              <w:b/>
              <w:bCs/>
            </w:rPr>
            <w:instrText xml:space="preserve"> HYPERLINK \l _Toc26436 </w:instrText>
          </w:r>
          <w:r>
            <w:rPr>
              <w:b/>
              <w:bCs/>
            </w:rPr>
            <w:fldChar w:fldCharType="separate"/>
          </w:r>
          <w:r>
            <w:rPr>
              <w:rFonts w:hint="eastAsia" w:ascii="楷体" w:hAnsi="楷体" w:eastAsia="楷体"/>
              <w:b/>
              <w:bCs/>
              <w:szCs w:val="24"/>
            </w:rPr>
            <w:t>工业硅：供需双弱，预计短期仍将趋稳运行</w:t>
          </w:r>
          <w:r>
            <w:rPr>
              <w:b/>
              <w:bCs/>
            </w:rPr>
            <w:fldChar w:fldCharType="end"/>
          </w:r>
        </w:p>
        <w:p>
          <w:pPr>
            <w:pStyle w:val="5"/>
            <w:tabs>
              <w:tab w:val="right" w:leader="dot" w:pos="8306"/>
            </w:tabs>
            <w:rPr>
              <w:b/>
              <w:bCs/>
            </w:rPr>
          </w:pPr>
          <w:r>
            <w:rPr>
              <w:b/>
              <w:bCs/>
            </w:rPr>
            <w:fldChar w:fldCharType="begin"/>
          </w:r>
          <w:r>
            <w:rPr>
              <w:b/>
              <w:bCs/>
            </w:rPr>
            <w:instrText xml:space="preserve"> HYPERLINK \l _Toc22676 </w:instrText>
          </w:r>
          <w:r>
            <w:rPr>
              <w:b/>
              <w:bCs/>
            </w:rPr>
            <w:fldChar w:fldCharType="separate"/>
          </w:r>
          <w:r>
            <w:rPr>
              <w:rFonts w:hint="eastAsia" w:ascii="Times New Roman" w:hAnsi="Times New Roman" w:eastAsia="楷体"/>
              <w:b/>
              <w:bCs/>
              <w:szCs w:val="30"/>
            </w:rPr>
            <w:t>[化工]</w:t>
          </w:r>
          <w:r>
            <w:rPr>
              <w:b/>
              <w:bCs/>
            </w:rPr>
            <w:fldChar w:fldCharType="end"/>
          </w:r>
        </w:p>
        <w:p>
          <w:pPr>
            <w:pStyle w:val="6"/>
            <w:tabs>
              <w:tab w:val="right" w:leader="dot" w:pos="8306"/>
            </w:tabs>
            <w:rPr>
              <w:b/>
              <w:bCs/>
            </w:rPr>
          </w:pPr>
          <w:r>
            <w:rPr>
              <w:b/>
              <w:bCs/>
            </w:rPr>
            <w:fldChar w:fldCharType="begin"/>
          </w:r>
          <w:r>
            <w:rPr>
              <w:b/>
              <w:bCs/>
            </w:rPr>
            <w:instrText xml:space="preserve"> HYPERLINK \l _Toc13036 </w:instrText>
          </w:r>
          <w:r>
            <w:rPr>
              <w:b/>
              <w:bCs/>
            </w:rPr>
            <w:fldChar w:fldCharType="separate"/>
          </w:r>
          <w:r>
            <w:rPr>
              <w:rFonts w:hint="eastAsia" w:ascii="Times New Roman" w:hAnsi="Times New Roman" w:eastAsia="楷体"/>
              <w:b/>
              <w:bCs/>
              <w:szCs w:val="24"/>
            </w:rPr>
            <w:t>乙二醇：供增需减 建议轻仓空单持有</w:t>
          </w:r>
          <w:r>
            <w:rPr>
              <w:b/>
              <w:bCs/>
            </w:rPr>
            <w:fldChar w:fldCharType="end"/>
          </w:r>
        </w:p>
        <w:p>
          <w:pPr>
            <w:pStyle w:val="6"/>
            <w:tabs>
              <w:tab w:val="right" w:leader="dot" w:pos="8306"/>
            </w:tabs>
            <w:rPr>
              <w:b/>
              <w:bCs/>
            </w:rPr>
          </w:pPr>
          <w:r>
            <w:rPr>
              <w:b/>
              <w:bCs/>
            </w:rPr>
            <w:fldChar w:fldCharType="begin"/>
          </w:r>
          <w:r>
            <w:rPr>
              <w:b/>
              <w:bCs/>
            </w:rPr>
            <w:instrText xml:space="preserve"> HYPERLINK \l _Toc24636 </w:instrText>
          </w:r>
          <w:r>
            <w:rPr>
              <w:b/>
              <w:bCs/>
            </w:rPr>
            <w:fldChar w:fldCharType="separate"/>
          </w:r>
          <w:r>
            <w:rPr>
              <w:rFonts w:ascii="楷体" w:hAnsi="楷体" w:eastAsia="楷体"/>
              <w:b/>
              <w:bCs/>
              <w:szCs w:val="24"/>
            </w:rPr>
            <w:t>PTA</w:t>
          </w:r>
          <w:r>
            <w:rPr>
              <w:rFonts w:hint="eastAsia" w:ascii="楷体" w:hAnsi="楷体" w:eastAsia="楷体"/>
              <w:b/>
              <w:bCs/>
              <w:szCs w:val="24"/>
            </w:rPr>
            <w:t>：维持区间操作思路</w:t>
          </w:r>
          <w:r>
            <w:rPr>
              <w:b/>
              <w:bCs/>
            </w:rPr>
            <w:fldChar w:fldCharType="end"/>
          </w:r>
        </w:p>
        <w:p>
          <w:pPr>
            <w:pStyle w:val="5"/>
            <w:tabs>
              <w:tab w:val="right" w:leader="dot" w:pos="8306"/>
            </w:tabs>
            <w:rPr>
              <w:b/>
              <w:bCs/>
            </w:rPr>
          </w:pPr>
          <w:r>
            <w:rPr>
              <w:b/>
              <w:bCs/>
            </w:rPr>
            <w:fldChar w:fldCharType="begin"/>
          </w:r>
          <w:r>
            <w:rPr>
              <w:b/>
              <w:bCs/>
            </w:rPr>
            <w:instrText xml:space="preserve"> HYPERLINK \l _Toc3509 </w:instrText>
          </w:r>
          <w:r>
            <w:rPr>
              <w:b/>
              <w:bCs/>
            </w:rPr>
            <w:fldChar w:fldCharType="separate"/>
          </w:r>
          <w:r>
            <w:rPr>
              <w:rFonts w:hint="eastAsia" w:ascii="Times New Roman" w:hAnsi="Times New Roman" w:eastAsia="楷体"/>
              <w:b/>
              <w:bCs/>
              <w:szCs w:val="30"/>
            </w:rPr>
            <w:t>[农产品]</w:t>
          </w:r>
          <w:r>
            <w:rPr>
              <w:b/>
              <w:bCs/>
            </w:rPr>
            <w:fldChar w:fldCharType="end"/>
          </w:r>
        </w:p>
        <w:p>
          <w:pPr>
            <w:pStyle w:val="6"/>
            <w:tabs>
              <w:tab w:val="right" w:leader="dot" w:pos="8306"/>
            </w:tabs>
            <w:rPr>
              <w:b/>
              <w:bCs/>
            </w:rPr>
          </w:pPr>
          <w:r>
            <w:rPr>
              <w:b/>
              <w:bCs/>
            </w:rPr>
            <w:fldChar w:fldCharType="begin"/>
          </w:r>
          <w:r>
            <w:rPr>
              <w:b/>
              <w:bCs/>
            </w:rPr>
            <w:instrText xml:space="preserve"> HYPERLINK \l _Toc26047 </w:instrText>
          </w:r>
          <w:r>
            <w:rPr>
              <w:b/>
              <w:bCs/>
            </w:rPr>
            <w:fldChar w:fldCharType="separate"/>
          </w:r>
          <w:r>
            <w:rPr>
              <w:rFonts w:hint="eastAsia" w:ascii="楷体" w:hAnsi="楷体" w:eastAsia="楷体"/>
              <w:b/>
              <w:bCs/>
              <w:szCs w:val="24"/>
            </w:rPr>
            <w:t>豆粕：基差高企，暂看下方4100支撑</w:t>
          </w:r>
          <w:r>
            <w:rPr>
              <w:b/>
              <w:bCs/>
            </w:rPr>
            <w:fldChar w:fldCharType="end"/>
          </w:r>
        </w:p>
        <w:p>
          <w:pPr>
            <w:pStyle w:val="6"/>
            <w:tabs>
              <w:tab w:val="right" w:leader="dot" w:pos="8306"/>
            </w:tabs>
            <w:rPr>
              <w:b/>
              <w:bCs/>
            </w:rPr>
          </w:pPr>
          <w:r>
            <w:rPr>
              <w:b/>
              <w:bCs/>
            </w:rPr>
            <w:fldChar w:fldCharType="begin"/>
          </w:r>
          <w:r>
            <w:rPr>
              <w:b/>
              <w:bCs/>
            </w:rPr>
            <w:instrText xml:space="preserve"> HYPERLINK \l _Toc31279 </w:instrText>
          </w:r>
          <w:r>
            <w:rPr>
              <w:b/>
              <w:bCs/>
            </w:rPr>
            <w:fldChar w:fldCharType="separate"/>
          </w:r>
          <w:r>
            <w:rPr>
              <w:rFonts w:hint="eastAsia" w:ascii="楷体" w:hAnsi="楷体" w:eastAsia="楷体"/>
              <w:b/>
              <w:bCs/>
              <w:szCs w:val="24"/>
            </w:rPr>
            <w:t>油脂：外盘走弱，短期拖累油脂走势</w:t>
          </w:r>
          <w:r>
            <w:rPr>
              <w:b/>
              <w:bCs/>
            </w:rPr>
            <w:fldChar w:fldCharType="end"/>
          </w:r>
        </w:p>
        <w:p>
          <w:pPr>
            <w:pStyle w:val="6"/>
            <w:tabs>
              <w:tab w:val="right" w:leader="dot" w:pos="8306"/>
            </w:tabs>
            <w:rPr>
              <w:b/>
              <w:bCs/>
            </w:rPr>
          </w:pPr>
          <w:r>
            <w:rPr>
              <w:b/>
              <w:bCs/>
            </w:rPr>
            <w:fldChar w:fldCharType="begin"/>
          </w:r>
          <w:r>
            <w:rPr>
              <w:b/>
              <w:bCs/>
            </w:rPr>
            <w:instrText xml:space="preserve"> HYPERLINK \l _Toc28011 </w:instrText>
          </w:r>
          <w:r>
            <w:rPr>
              <w:b/>
              <w:bCs/>
            </w:rPr>
            <w:fldChar w:fldCharType="separate"/>
          </w:r>
          <w:r>
            <w:rPr>
              <w:rFonts w:hint="eastAsia" w:ascii="楷体" w:hAnsi="楷体" w:eastAsia="楷体"/>
              <w:b/>
              <w:bCs/>
            </w:rPr>
            <w:t>玉米与淀粉：夜盘淀粉-玉米价差大幅回落</w:t>
          </w:r>
          <w:r>
            <w:rPr>
              <w:b/>
              <w:bCs/>
            </w:rPr>
            <w:fldChar w:fldCharType="end"/>
          </w:r>
        </w:p>
        <w:p>
          <w:pPr>
            <w:pStyle w:val="6"/>
            <w:tabs>
              <w:tab w:val="right" w:leader="dot" w:pos="8306"/>
            </w:tabs>
            <w:rPr>
              <w:b/>
              <w:bCs/>
            </w:rPr>
          </w:pPr>
          <w:r>
            <w:rPr>
              <w:b/>
              <w:bCs/>
            </w:rPr>
            <w:fldChar w:fldCharType="begin"/>
          </w:r>
          <w:r>
            <w:rPr>
              <w:b/>
              <w:bCs/>
            </w:rPr>
            <w:instrText xml:space="preserve"> HYPERLINK \l _Toc12161 </w:instrText>
          </w:r>
          <w:r>
            <w:rPr>
              <w:b/>
              <w:bCs/>
            </w:rPr>
            <w:fldChar w:fldCharType="separate"/>
          </w:r>
          <w:r>
            <w:rPr>
              <w:rFonts w:hint="eastAsia" w:ascii="楷体" w:hAnsi="楷体" w:eastAsia="楷体"/>
              <w:b/>
              <w:bCs/>
            </w:rPr>
            <w:t>畜禽养殖：期价继续震荡分化运行</w:t>
          </w:r>
          <w:r>
            <w:rPr>
              <w:b/>
              <w:bCs/>
            </w:rPr>
            <w:fldChar w:fldCharType="end"/>
          </w:r>
        </w:p>
        <w:p>
          <w:pPr>
            <w:pStyle w:val="6"/>
            <w:tabs>
              <w:tab w:val="right" w:leader="dot" w:pos="8306"/>
            </w:tabs>
            <w:rPr>
              <w:b/>
              <w:bCs/>
            </w:rPr>
          </w:pPr>
          <w:r>
            <w:rPr>
              <w:b/>
              <w:bCs/>
            </w:rPr>
            <w:fldChar w:fldCharType="begin"/>
          </w:r>
          <w:r>
            <w:rPr>
              <w:b/>
              <w:bCs/>
            </w:rPr>
            <w:instrText xml:space="preserve"> HYPERLINK \l _Toc19857 </w:instrText>
          </w:r>
          <w:r>
            <w:rPr>
              <w:b/>
              <w:bCs/>
            </w:rPr>
            <w:fldChar w:fldCharType="separate"/>
          </w:r>
          <w:r>
            <w:rPr>
              <w:rFonts w:hint="eastAsia" w:ascii="楷体" w:hAnsi="楷体" w:eastAsia="楷体"/>
              <w:b/>
              <w:bCs/>
              <w:szCs w:val="24"/>
            </w:rPr>
            <w:t>郑棉：库存数据发布。</w:t>
          </w:r>
          <w:r>
            <w:rPr>
              <w:b/>
              <w:bCs/>
            </w:rPr>
            <w:fldChar w:fldCharType="end"/>
          </w:r>
        </w:p>
        <w:p>
          <w:pPr>
            <w:rPr>
              <w:b/>
              <w:bCs/>
            </w:rPr>
          </w:pPr>
          <w:r>
            <w:rPr>
              <w:b/>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9694"/>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17687"/>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低多IF</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昨日A股市场缩量回调，或与近期债市流动性压力有关。从风格表现看，短线市场板块轮动较快，尚未形成明确主线。技术上，短线大盘在3150点压力较为明显，但大盘缺口连续4个交易日未回补，强势特征保持。目前大盘以到均线压力位，而基本面态势尚未发生实质性转变，不建议追高，关注市场量能能否有效释放，以低多IF思路为主。</w:t>
      </w:r>
    </w:p>
    <w:p>
      <w:pPr>
        <w:pBdr>
          <w:top w:val="single" w:color="auto" w:sz="4" w:space="0"/>
        </w:pBdr>
        <w:outlineLvl w:val="0"/>
        <w:rPr>
          <w:rFonts w:ascii="Times New Roman" w:hAnsi="Times New Roman" w:eastAsia="楷体"/>
          <w:b/>
          <w:color w:val="823C0B"/>
          <w:sz w:val="30"/>
          <w:szCs w:val="30"/>
        </w:rPr>
      </w:pPr>
      <w:bookmarkStart w:id="7" w:name="_Toc3096"/>
      <w:bookmarkStart w:id="8" w:name="_Toc20891"/>
      <w:bookmarkStart w:id="9" w:name="金属"/>
      <w:bookmarkStart w:id="10" w:name="_Toc765"/>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17296"/>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14:textFill>
            <w14:solidFill>
              <w14:schemeClr w14:val="tx1"/>
            </w14:solidFill>
          </w14:textFill>
        </w:rPr>
        <w:t>回归基本面定价，1-5正套继续持有</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钢材现货成交一般，北京地区低价下，情绪高涨下投机性需求促成交，下游贸易商仍在观望。但钢材产业处于淡季，需求积极性下行及行业资金偏紧下，现货价格上方具有较大压力。短期情绪偏强，但上方压力较大。预计本周RB01合约价格中枢上移（3600,3850），其中（3750,3850）压力较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27705"/>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短期贸易商补库为主，进入第一轮提涨博弈</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集港利润转正，贸易商库存偏低，但钢厂小幅度补库后有按需采购为主，贸易商集港或分流焦炭产量压力。焦企亏损下库存压力缩减，西北部分焦企提涨第一轮200元/吨，预计将博弈一段时间，港口报价不断太高，或在（2630,2830）区间震荡，近期或试探区间上方压力。</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26503"/>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短期贸易商补库为主，偏强运行下上方空间视成材而定</w:t>
      </w:r>
      <w:bookmarkEnd w:id="18"/>
    </w:p>
    <w:p>
      <w:pPr>
        <w:ind w:left="630" w:leftChars="300"/>
        <w:rPr>
          <w:rFonts w:ascii="楷体" w:hAnsi="楷体" w:eastAsia="楷体"/>
          <w:bCs/>
          <w:sz w:val="24"/>
          <w:szCs w:val="24"/>
        </w:rPr>
      </w:pPr>
      <w:r>
        <w:rPr>
          <w:rFonts w:hint="eastAsia" w:ascii="楷体" w:hAnsi="楷体" w:eastAsia="楷体"/>
          <w:sz w:val="24"/>
          <w:szCs w:val="24"/>
        </w:rPr>
        <w:t>国内煤矿产量或继续修复，蒙煤通关数量持续上行，焦煤产量在11月或保持修复态势，整体供应或偏稳有进，但高度或有限。中期冬储预期或支撑现货价格偏强运行，澳煤及蒙煤同比增量预期压制远期估值。焦煤或随成材波动，短期日耗上焦煤过剩下，焦化利润或有所修复，焦煤短期或试探前高压力。</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25617"/>
      <w:bookmarkStart w:id="20" w:name="_Toc9719"/>
      <w:bookmarkStart w:id="21" w:name="_Toc14450"/>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逢高布局空单，区间操作为主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(1)宏观：据英国国家统计局（ONS）周三的报告，英国10月消费者价格指数（CPI）升至11.1%，高于经济学家预期的10.7%，前值为10.1%，并创下英国41年新高。</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(2)库存：11月16日，SHFE仓单库存61976吨，增315吨。LME仓单库存89675吨，减300吨。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(3)精废价差：11月16日，Mysteel精废价差1936，收窄220。目前价差在合理价差1369之上。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综述：近期宏观利多集中释放后，预计铜价上涨已达阶段性高位，全球经济持续走弱大背景下，当前铜价反弹持续性及空间或面临较大压力。微观指标看，LME 库存止跌返升，国内库存持续增加，back结构收敛，现货紧张局面有所缓解。预计铜价或进入宽幅震荡格局，主波动区间64000-68000。操作上，逢高布局空单，暂以区间操作为主。</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21792"/>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多空交织情绪扰动，铝价区间震荡为主</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再度走弱，宏观偏强。盘面铝价上摸万九关口承压，基本面因素供弱需疲，价格上行支撑动力不足。欧美受能源短缺及消费低迷影响近一半产能减产，短期海外供应难以恢复，海外需求提振乏力。国内延续宽松货币环境叠加疫情精准防控政策，消费仍有向好预期，多地疫情高发未解，市场生产消费受到抑制影响，三部联合发布有色金属碳达峰实施方案，引导高电耗产业转向低碳冶炼，部分低效产能进入加速淘汰期，叠加河南、山东受疫情及铝产利润低迷影响当地产能预期减产，铝交易所库存及社会库存低位去库，供应端再受扰动。1-10月全国房地产开发投资同比下降8.8%，房地产板块仍是经济消费拖累，下游仍以刚需采购为主，需求端未见明显改善。短期铝价震荡运行，建议逢高做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5" w:name="_Toc2295"/>
      <w:r>
        <w:rPr>
          <w:rFonts w:hint="eastAsia" w:ascii="楷体" w:hAnsi="楷体" w:eastAsia="楷体"/>
          <w:b/>
          <w:color w:val="000000" w:themeColor="text1"/>
          <w:sz w:val="24"/>
          <w:szCs w:val="24"/>
          <w14:textFill>
            <w14:solidFill>
              <w14:schemeClr w14:val="tx1"/>
            </w14:solidFill>
          </w14:textFill>
        </w:rPr>
        <w:t>锌：基本面低库存支撑但需求拖累，价格冲高注意回落风险</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16日沪锌隔夜收盘价格24190元/吨，跌幅0.7%，上海有色网0#锌锭（Zn99.995）现货报价24700元/吨，较上一统计日报价下跌40元/吨。欧美预期加息降温，美元指数疲软，锌价持续震荡走高。欧洲所有锌厂限产，Nyrstar宣布11月重启位于荷兰的锌厂，涉及产能约30万吨，海外供应有走好预期，近期欧洲天气气温下降，天然气价格再度攀升，刺激外盘锌价走强，海外经济陷入衰退，需求表现仍旧疲弱。国内货币政策延续宽松，降息降准仍可期，国内罗平锌电计划复产开矿3000万吨，国家三部门联合发布有色金属碳达峰实施方案，四川部分炼厂因不符合环保要求进行减停产，国内10月房地产数据表现不佳，多地疫情高发影响生产消费，国内锌产量持续上升，下游采购情绪略有转好但仍未明显改善。海内外库存维持历史低位仍在去库阶段，价格仍有强支撑但上行空间不足，谨慎看多。</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6" w:name="_Toc2643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供需双弱，预计短期仍将趋稳运行</w:t>
      </w:r>
      <w:bookmarkEnd w:id="26"/>
    </w:p>
    <w:p>
      <w:pPr>
        <w:ind w:left="630" w:leftChars="300"/>
        <w:rPr>
          <w:rFonts w:ascii="楷体" w:hAnsi="楷体" w:eastAsia="楷体"/>
          <w:sz w:val="24"/>
          <w:szCs w:val="24"/>
        </w:rPr>
      </w:pPr>
      <w:r>
        <w:rPr>
          <w:rFonts w:hint="eastAsia" w:ascii="楷体" w:hAnsi="楷体" w:eastAsia="楷体"/>
          <w:sz w:val="24"/>
          <w:szCs w:val="24"/>
        </w:rPr>
        <w:t>11月16日，华东地区553（通氧）20850元/吨，较上个统计日持平，因下游需求低迷，其他牌号价格略有下降。供应方面，新疆疫情仍旧严峻，受交通管控影响硅厂原材料供应稍显紧张，开炉整体大幅减少，同时产品运输疆外也较为困难。云南地区因疫情执行交通管制，叠加11月硅厂电价上调，电力成本增加，以及有进一步限电限产可能性。需求方面，当前市场需求整体仍旧低迷，以刚需采购为主。短期市场整体呈供需双弱，预计硅价将阶段性企稳。</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22676"/>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sz w:val="24"/>
          <w:szCs w:val="24"/>
        </w:rPr>
      </w:pPr>
      <w:bookmarkStart w:id="29" w:name="_Toc13036"/>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建议轻仓空单持有</w:t>
      </w:r>
      <w:bookmarkEnd w:id="29"/>
    </w:p>
    <w:p>
      <w:pPr>
        <w:ind w:left="630" w:leftChars="300"/>
        <w:rPr>
          <w:rFonts w:ascii="楷体" w:hAnsi="楷体" w:eastAsia="楷体"/>
          <w:sz w:val="24"/>
          <w:szCs w:val="24"/>
        </w:rPr>
      </w:pPr>
      <w:r>
        <w:rPr>
          <w:rFonts w:hint="eastAsia" w:ascii="楷体" w:hAnsi="楷体" w:eastAsia="楷体"/>
          <w:sz w:val="24"/>
          <w:szCs w:val="24"/>
        </w:rPr>
        <w:t>供需情况，11.14华东主港地区MEG港口库存约86.4万吨附近，环比上期减少1.4万吨。截至11月10日，中国大陆地区乙二醇整体开工负荷在56.39%（+1.13%），其中煤制乙二醇开工负荷在33.08%（+2.16%）。因整体的检修体量及检修时间都不多，乙二醇负荷在持续减负后再度回升。从聚酯需求端来看，聚酯方面，本周长丝工厂减产继续增多，同时有切片减量，导致直纺长丝负荷近一步降至65%附近，短纤瓶片负荷变动不是太大。截止11.11 初步核算国内大陆地区聚酯负荷在79.5%（-2.5%）。除了短纤工厂库存水平偏低外，涤纶长丝及终端坯布库存均有30天以上。终端需求方面，截至11.11，江浙加弹开工率60%（-3%）、织造开工率52%（-4%）、印染开工率52%（-16%）。少数加弹、织造、印染企业甚至开始安排放年假的计划，预估进入12月份以后下游放年假的现象会进一步增多。供应恢复叠加聚酯负荷走低，供需矛盾加剧。综合来看，聚酯及终端已经开启降负，部分聚酯工厂陆续落实减产动作，需求环节支撑逐步下滑。后期新装置货源陆续兑现市场后现货端口依旧承压明显，维持3700-4000区间操作。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4636"/>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：维持区间操作思路</w:t>
      </w:r>
      <w:bookmarkEnd w:id="3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从PTA成本端来看，因 MX到PX效益差，福佳、辽阳石化、新疆中泰等装置维持低负荷，丽东、中金、福建联合负荷降低，PX整体开工率72.56%（-3.52%），目前供应仍偏紧。PTA供需方面，截止11.14  中泰120万吨PTA装置提负，英力士235万吨降负，个别装置负荷提升，PTA负荷小幅回升至73.1%（+1%）。聚酯方面，本周长丝工厂减产继续增多，同时有切片减量，导致直纺长丝负荷近一步降至65%附近，短纤瓶片负荷变动不是太大。截至11.11 国内大陆地区聚酯负荷在79.5%（-2.5%）。聚酯企业经营压力较大，据悉聚酯大厂已确定进行新一轮联合减产，预估本周统计聚酯负荷的时候，聚酯负荷将大幅下降。终端方面，江浙终端开工率继续下降，染厂下降加速。综合来看，受供应的恢复和新产能投放PX端利润重心将进一步下滑，目前盘面走势在宏观偏暖、油价高位震荡、供给端减产VS下游降负、提前放假博弈，盘面相对抗跌。在PTA投产落实之前，供需双减，供应面压力尚可，是否有趋势性的行情暂受宏观面及油价走势制约。目前现货价格维持在5600-5700左右，01合约预估会走一基差收敛行情。油价近月呈区间震荡格局，预估PTA维持5200-5500区间走势。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1" w:name="_Toc3509"/>
      <w:r>
        <w:rPr>
          <w:rFonts w:hint="eastAsia" w:ascii="Times New Roman" w:hAnsi="Times New Roman" w:eastAsia="楷体"/>
          <w:b/>
          <w:color w:val="823C0B"/>
          <w:sz w:val="30"/>
          <w:szCs w:val="30"/>
        </w:rPr>
        <w:t>[农产品]</w:t>
      </w:r>
      <w:bookmarkEnd w:id="11"/>
      <w:bookmarkEnd w:id="31"/>
    </w:p>
    <w:p>
      <w:pPr>
        <w:ind w:left="420" w:leftChars="200"/>
        <w:outlineLvl w:val="1"/>
        <w:rPr>
          <w:rFonts w:ascii="楷体" w:hAnsi="楷体" w:eastAsia="楷体"/>
          <w:b/>
          <w:sz w:val="24"/>
          <w:szCs w:val="24"/>
        </w:rPr>
      </w:pPr>
      <w:bookmarkStart w:id="32" w:name="_Toc26047"/>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基差高企，暂看下方4100支撑</w:t>
      </w:r>
      <w:bookmarkEnd w:id="32"/>
    </w:p>
    <w:p>
      <w:pPr>
        <w:ind w:left="630" w:leftChars="300"/>
        <w:rPr>
          <w:rFonts w:ascii="楷体" w:hAnsi="楷体" w:eastAsia="楷体"/>
          <w:sz w:val="24"/>
          <w:szCs w:val="24"/>
        </w:rPr>
      </w:pPr>
      <w:r>
        <w:rPr>
          <w:rFonts w:hint="eastAsia" w:ascii="楷体" w:hAnsi="楷体" w:eastAsia="楷体"/>
          <w:sz w:val="24"/>
          <w:szCs w:val="24"/>
        </w:rPr>
        <w:t>外盘方面，美豆收割进度已达96%，高于五年均值，关注后续出口装船情况。同时，美豆国内压榨需求较强，NOPA数据显示10月份大豆压榨量为1.84亿蒲式耳，略高于去年同期，CBOT大豆维持高位震荡。当前市场重心逐渐转向南美，丰产落地仍需天气配合。巴西播种完成67%，符合5年均值进度，而阿根廷在降雨后，种植情况有所改善。国内市场，短期豆粕国内市场表现仍强于期货。海关数据显示，1-10月份进口大豆7319.6万吨，较上年同期的7909.85万吨减少了590.25万吨，因油厂榨利较差影响买船，关注11月中旬后供给及油厂压榨恢复情况。下游养殖利润良好，在年底生猪集中出栏前以及当前各地疫情反扑，下游担忧供应，饲企和养殖企业等维持刚需补库保持安全库存。虽预期供应增加压力显现，但连粕短期在高基差低库存下仍有支撑，预计维持宽幅震荡，关注油厂开工率及豆粕库存的修复情况，短线操作为主；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highlight w:val="yellow"/>
        </w:rPr>
      </w:pPr>
      <w:bookmarkStart w:id="33" w:name="_Toc3127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外盘走弱，短期拖累油脂走势</w:t>
      </w:r>
      <w:bookmarkEnd w:id="33"/>
    </w:p>
    <w:p>
      <w:pPr>
        <w:ind w:left="630" w:leftChars="300"/>
        <w:rPr>
          <w:rFonts w:ascii="楷体" w:hAnsi="楷体" w:eastAsia="楷体"/>
          <w:sz w:val="24"/>
          <w:szCs w:val="24"/>
          <w:highlight w:val="none"/>
        </w:rPr>
      </w:pPr>
      <w:r>
        <w:rPr>
          <w:rFonts w:hint="eastAsia" w:ascii="楷体" w:hAnsi="楷体" w:eastAsia="楷体"/>
          <w:sz w:val="24"/>
          <w:szCs w:val="24"/>
          <w:highlight w:val="none"/>
        </w:rPr>
        <w:t>宏观方面，夜盘国际原油价格下挫，拖累油脂走势，尤其是棕榈油；其次地缘政治关系仍趋于紧张，油脂下方存支撑。棕榈油方面，东南亚棕榈油进入减产周期，叠加强降雨预估，产量担忧仍存。而印尼政策或有变化，计划于11月下半月提高毛棕油参考定价，出口税费或恢复。而国内棕榈油供应较宽松，9月份进口棕榈油61万吨，环比增加102.4%，港口库存持续回升至81.5万吨。虽近期棕榈油进口利润出现倒挂，11月份后进口或减少。但冬季为棕榈油季节性消费淡季，因此国内消费端难形成支撑。豆油整体下游需求在近期疫情反复下较为疲软，成交下滑，棕榈油进入季节性消费淡季或提振豆油替代。短期在美豆成本端支撑以及供应紧张下，维持近紧远松格局，当前进口大豆到港陆续增加，港口大豆库存开始累库，关注后续油厂压榨情况，在供应预期增加及消费疲软下，豆油基差逐渐回归。菜油在低库存和高基差下支撑较强，加籽收割进度进入尾声，已陆续出口装船，国内第四季度预估到港为180万吨。当前菜籽库存已你明显增加，但菜油库存仍维持历史低位，油厂压榨偏低，导致菜油库存迟迟得不到修复。预计油脂在四季度供应边际增加下，上方空间有限，短期维持宽幅震荡，建议短线顺势操作，在后续油料到港预期下豆油及菜油走势预计相对偏弱，但菜油有收储预期，因此油脂单边走势预计不会太顺畅，可逢高布空菜棕价差。</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34" w:name="_Toc28011"/>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夜盘淀粉-玉米价差大幅回落</w:t>
      </w:r>
      <w:bookmarkEnd w:id="3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表现为内强外弱，由于深加工行业原料和产成品库存去化，现货生产利润改善之下带动原料补库，东北产区与华北产区现货强势，带动南北方港口现货稳中上涨，通过基差对期价构成支撑。而USDA11月供需报告上调美玉米单产及其对应的产量预期，虽未如市场预期下调美玉米需求特别是出口需求，但美玉米期价持续震荡回落，且人民币汇率快速回落，加上中国进口巴西玉米逐步明朗，后期进口谷物性价比有望逐步提升。在这种情况下，考虑到下游缺乏持续补库动力，新作上市压力仍有待释放，对应国内玉米期价有望出现类似去年同期的调整阶段，据此维持谨慎看空判断，建议谨慎投资者观望，激进投资者可以轻仓做空或买入虚值看跌期权。</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在三大影响因素中，行业供需层面可以看到出库量持续下滑，带动行业库存出现回升；原料成本层面华北-东北玉米价差近期收窄，且后期上市压力或影响淀粉成本支撑；副产品层面受蛋白粕现货依然坚挺带动维持高位，甚至仍有小幅上涨。由此可以看出，行业供需端和原料成本端对价差走扩的驱动减弱，后期更多依赖淀粉副产品的带动，建议投资者可以考虑继续持有淀粉-玉米价差套利。</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12161"/>
      <w:r>
        <w:rPr>
          <w:rFonts w:hint="eastAsia" w:ascii="楷体" w:hAnsi="楷体" w:eastAsia="楷体"/>
          <w:b/>
          <w:bCs/>
          <w:color w:val="000000" w:themeColor="text1"/>
          <w14:textFill>
            <w14:solidFill>
              <w14:schemeClr w14:val="tx1"/>
            </w14:solidFill>
          </w14:textFill>
        </w:rPr>
        <w:t>畜禽养殖：期价继续震荡分化运行</w:t>
      </w:r>
      <w:bookmarkEnd w:id="3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呈现远月贴水结构，接下来需要关注价格拐点出现的时间，这需要重点留意四个方面，即二次育肥、出栏节奏，需求变动和进口增量。由于猪价于10月下旬见到目前已知高点，与2019年相比提前10天左右的时间，市场纠结之处在于10月下旬下跌的定性，是季节性回调还是周期性拐点？总体来看，接下来是供需两增的阶段，之前通过二次育肥和压栏而积压的供应需要释放，与此同时，熏腊制品和春节前备货也将带动需求环比大增。具体而言，今年供应包括进口、储备和冷冻库存均相对低于2019年，而需求端存在较大变数，特别是疫情因素。综上所述，我们暂维持谨慎看多观点，倾向于认为10月下旬以来的现货下跌更多属于季节性回调，猪价拐点尚未出现，但需要特别留意疫情情况。</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饲料成本、动物蛋白供应和鸡蛋自身供需格局，继续持中期看多观点，10月底现货回落或更多定性为季节性调整，考虑到基差因素，我们建议谨慎投资者观望，激进投资者可以轻仓试多。</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36" w:name="_Toc19857"/>
      <w:r>
        <w:rPr>
          <w:rFonts w:hint="eastAsia" w:ascii="楷体" w:hAnsi="楷体" w:eastAsia="楷体"/>
          <w:b/>
          <w:sz w:val="24"/>
          <w:szCs w:val="24"/>
        </w:rPr>
        <w:t>郑棉：库存数据发布。</w:t>
      </w:r>
      <w:bookmarkEnd w:id="36"/>
    </w:p>
    <w:p>
      <w:pPr>
        <w:ind w:left="630" w:leftChars="300"/>
        <w:rPr>
          <w:rFonts w:hint="eastAsia" w:ascii="楷体" w:hAnsi="楷体" w:eastAsia="楷体"/>
          <w:sz w:val="24"/>
          <w:szCs w:val="24"/>
        </w:rPr>
      </w:pPr>
      <w:r>
        <w:rPr>
          <w:rFonts w:hint="eastAsia" w:ascii="楷体" w:hAnsi="楷体" w:eastAsia="楷体"/>
          <w:sz w:val="24"/>
          <w:szCs w:val="24"/>
        </w:rPr>
        <w:t>因新棉上市缓慢，商业库存同比减少，但下游纱线坯布库存再度进入累库周期。空单持有</w:t>
      </w:r>
    </w:p>
    <w:p>
      <w:pPr>
        <w:ind w:left="630" w:leftChars="300"/>
        <w:rPr>
          <w:rFonts w:ascii="楷体" w:hAnsi="楷体" w:eastAsia="楷体"/>
          <w:sz w:val="24"/>
          <w:szCs w:val="24"/>
        </w:rPr>
      </w:pPr>
      <w:r>
        <w:rPr>
          <w:rFonts w:hint="eastAsia" w:ascii="楷体" w:hAnsi="楷体" w:eastAsia="楷体"/>
          <w:sz w:val="24"/>
          <w:szCs w:val="24"/>
        </w:rPr>
        <w:t>根据棉花信息网调查数据，截至2022年10月末，国内商业库存为232.03万吨，环比增加39.02万吨，同比减少51.61万吨。截至10月末，棉花工业库存46.51万吨，环比减少7.05万吨。纺织企业纱线库存30.13天，较上月增加0.67天，坯布库存35.53天，较上月增加0.78天。</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19667"/>
      <w:bookmarkStart w:id="38" w:name="_Toc72481108"/>
      <w:bookmarkStart w:id="39" w:name="_Toc98426751"/>
      <w:bookmarkStart w:id="40" w:name="_Toc71212556"/>
      <w:bookmarkStart w:id="41" w:name="_Toc12779"/>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bookmarkStart w:id="42" w:name="_GoBack"/>
      <w:bookmarkEnd w:id="42"/>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2022年11月17日星期四</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N2RlMzFiYjYxYmYyMmEzZDc5YTA3NDAxNTVlZmY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3504FC8"/>
    <w:rsid w:val="09F160E3"/>
    <w:rsid w:val="100732C8"/>
    <w:rsid w:val="10DA6205"/>
    <w:rsid w:val="15D52593"/>
    <w:rsid w:val="1B8A2034"/>
    <w:rsid w:val="1BC72FF7"/>
    <w:rsid w:val="1D5030CD"/>
    <w:rsid w:val="219F3EE2"/>
    <w:rsid w:val="26F95364"/>
    <w:rsid w:val="373F75CC"/>
    <w:rsid w:val="3B3306F0"/>
    <w:rsid w:val="3B563B4D"/>
    <w:rsid w:val="3C2825B0"/>
    <w:rsid w:val="3C2B26B7"/>
    <w:rsid w:val="3EE0186C"/>
    <w:rsid w:val="44396064"/>
    <w:rsid w:val="51266B84"/>
    <w:rsid w:val="548642E9"/>
    <w:rsid w:val="56DD4D3A"/>
    <w:rsid w:val="5D5617A6"/>
    <w:rsid w:val="5EA7685B"/>
    <w:rsid w:val="62710E5F"/>
    <w:rsid w:val="64C32497"/>
    <w:rsid w:val="713E0334"/>
    <w:rsid w:val="737357AF"/>
    <w:rsid w:val="758F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23</TotalTime>
  <ScaleCrop>false</ScaleCrop>
  <LinksUpToDate>false</LinksUpToDate>
  <CharactersWithSpaces>7040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2022-11-17T02:05:40Z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45F93F53DA9E461188B959F87633D70D</vt:lpwstr>
  </property>
</Properties>
</file>