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55" w:rsidRPr="00037F1A" w:rsidRDefault="00B30C55" w:rsidP="00B30C55">
      <w:pPr>
        <w:spacing w:line="580" w:lineRule="exact"/>
        <w:contextualSpacing/>
        <w:jc w:val="left"/>
        <w:rPr>
          <w:rFonts w:eastAsia="黑体"/>
          <w:szCs w:val="32"/>
        </w:rPr>
      </w:pPr>
      <w:r w:rsidRPr="00037F1A">
        <w:rPr>
          <w:rFonts w:eastAsia="黑体"/>
          <w:szCs w:val="32"/>
        </w:rPr>
        <w:t>附件</w:t>
      </w:r>
      <w:r w:rsidRPr="00037F1A">
        <w:rPr>
          <w:rFonts w:eastAsia="黑体"/>
          <w:szCs w:val="32"/>
        </w:rPr>
        <w:t>1</w:t>
      </w:r>
    </w:p>
    <w:p w:rsidR="00B30C55" w:rsidRPr="00037F1A" w:rsidRDefault="00B30C55" w:rsidP="00B30C55">
      <w:pPr>
        <w:spacing w:line="580" w:lineRule="exact"/>
        <w:ind w:firstLineChars="177" w:firstLine="566"/>
        <w:contextualSpacing/>
        <w:jc w:val="left"/>
        <w:rPr>
          <w:rFonts w:eastAsia="宋体"/>
          <w:szCs w:val="32"/>
        </w:rPr>
      </w:pPr>
    </w:p>
    <w:p w:rsidR="00B30C55" w:rsidRPr="00037F1A" w:rsidRDefault="00B30C55" w:rsidP="00B30C55">
      <w:pPr>
        <w:spacing w:after="240" w:line="580" w:lineRule="exact"/>
        <w:contextualSpacing/>
        <w:jc w:val="center"/>
        <w:rPr>
          <w:rFonts w:eastAsia="宋体"/>
          <w:b/>
          <w:bCs/>
          <w:sz w:val="40"/>
          <w:szCs w:val="40"/>
        </w:rPr>
      </w:pPr>
      <w:r w:rsidRPr="00037F1A">
        <w:rPr>
          <w:rFonts w:eastAsia="宋体"/>
          <w:b/>
          <w:bCs/>
          <w:sz w:val="40"/>
          <w:szCs w:val="40"/>
        </w:rPr>
        <w:t>《大连商品交易所章程》修正案</w:t>
      </w:r>
    </w:p>
    <w:p w:rsidR="00B30C55" w:rsidRPr="00037F1A" w:rsidRDefault="00B30C55" w:rsidP="00B30C55">
      <w:pPr>
        <w:spacing w:line="580" w:lineRule="exact"/>
        <w:ind w:firstLineChars="200" w:firstLine="640"/>
        <w:contextualSpacing/>
        <w:rPr>
          <w:szCs w:val="32"/>
        </w:rPr>
      </w:pPr>
    </w:p>
    <w:p w:rsidR="00B30C55" w:rsidRPr="00037F1A" w:rsidRDefault="00B30C55" w:rsidP="00B30C55">
      <w:pPr>
        <w:spacing w:line="580" w:lineRule="exact"/>
        <w:ind w:firstLineChars="200" w:firstLine="640"/>
        <w:contextualSpacing/>
        <w:rPr>
          <w:szCs w:val="32"/>
        </w:rPr>
      </w:pPr>
      <w:bookmarkStart w:id="0" w:name="_Hlk56429531"/>
      <w:r w:rsidRPr="00037F1A">
        <w:rPr>
          <w:szCs w:val="32"/>
        </w:rPr>
        <w:t>第一条</w:t>
      </w:r>
      <w:r w:rsidRPr="00037F1A">
        <w:rPr>
          <w:szCs w:val="32"/>
        </w:rPr>
        <w:t xml:space="preserve"> </w:t>
      </w:r>
      <w:r w:rsidRPr="00037F1A">
        <w:rPr>
          <w:szCs w:val="32"/>
        </w:rPr>
        <w:t>为了促进社会主义市场经济的发展，</w:t>
      </w:r>
      <w:r w:rsidRPr="00037F1A">
        <w:rPr>
          <w:rFonts w:eastAsia="仿宋"/>
          <w:szCs w:val="32"/>
          <w:shd w:val="pct15" w:color="auto" w:fill="FFFFFF"/>
        </w:rPr>
        <w:t>更好服务实体经济，</w:t>
      </w:r>
      <w:r w:rsidRPr="00037F1A">
        <w:rPr>
          <w:szCs w:val="32"/>
        </w:rPr>
        <w:t>充分发挥期货市场的功能，保证期货交易的正常进行，维护期货交易各方的合法权益和社会公众的利益，根据国家有关法律、法规和规章，制定本章程。</w:t>
      </w:r>
    </w:p>
    <w:bookmarkEnd w:id="0"/>
    <w:p w:rsidR="00B30C55" w:rsidRPr="00037F1A" w:rsidRDefault="00B30C55" w:rsidP="00B30C55">
      <w:pPr>
        <w:spacing w:line="580" w:lineRule="exact"/>
        <w:ind w:firstLineChars="200" w:firstLine="640"/>
        <w:contextualSpacing/>
        <w:rPr>
          <w:szCs w:val="32"/>
          <w:shd w:val="clear" w:color="auto" w:fill="FFFFFF"/>
        </w:rPr>
      </w:pPr>
      <w:r w:rsidRPr="00037F1A">
        <w:rPr>
          <w:szCs w:val="32"/>
          <w:shd w:val="clear" w:color="auto" w:fill="FFFFFF"/>
        </w:rPr>
        <w:t>第十四条</w:t>
      </w:r>
      <w:r w:rsidRPr="00037F1A">
        <w:rPr>
          <w:szCs w:val="32"/>
          <w:shd w:val="clear" w:color="auto" w:fill="FFFFFF"/>
        </w:rPr>
        <w:t xml:space="preserve"> </w:t>
      </w:r>
      <w:r w:rsidRPr="00037F1A">
        <w:rPr>
          <w:szCs w:val="32"/>
          <w:shd w:val="clear" w:color="auto" w:fill="FFFFFF"/>
        </w:rPr>
        <w:t>交易所履行下列职责：</w:t>
      </w:r>
    </w:p>
    <w:p w:rsidR="00B30C55" w:rsidRPr="00037F1A" w:rsidRDefault="00B30C55" w:rsidP="00B30C55">
      <w:pPr>
        <w:widowControl/>
        <w:spacing w:line="580" w:lineRule="exact"/>
        <w:ind w:firstLineChars="200" w:firstLine="640"/>
        <w:contextualSpacing/>
        <w:rPr>
          <w:szCs w:val="32"/>
        </w:rPr>
      </w:pPr>
      <w:r w:rsidRPr="00037F1A">
        <w:rPr>
          <w:szCs w:val="32"/>
        </w:rPr>
        <w:t>……</w:t>
      </w:r>
    </w:p>
    <w:p w:rsidR="00B30C55" w:rsidRPr="00037F1A" w:rsidRDefault="00B30C55" w:rsidP="00B30C55">
      <w:pPr>
        <w:widowControl/>
        <w:spacing w:line="580" w:lineRule="exact"/>
        <w:ind w:firstLineChars="177" w:firstLine="566"/>
        <w:contextualSpacing/>
        <w:rPr>
          <w:kern w:val="0"/>
          <w:szCs w:val="32"/>
        </w:rPr>
      </w:pPr>
      <w:bookmarkStart w:id="1" w:name="_Hlk56429513"/>
      <w:r w:rsidRPr="00037F1A">
        <w:rPr>
          <w:kern w:val="0"/>
          <w:szCs w:val="32"/>
        </w:rPr>
        <w:t>（九）根据本章程和业务规则对会员、</w:t>
      </w:r>
      <w:r w:rsidRPr="00037F1A">
        <w:rPr>
          <w:kern w:val="0"/>
          <w:szCs w:val="32"/>
          <w:shd w:val="pct15" w:color="auto" w:fill="FFFFFF"/>
        </w:rPr>
        <w:t>境外特殊参与者、境外中介机构</w:t>
      </w:r>
      <w:r w:rsidRPr="00037F1A">
        <w:rPr>
          <w:dstrike/>
          <w:kern w:val="0"/>
          <w:szCs w:val="32"/>
        </w:rPr>
        <w:t>境外经纪机构、直接入场交易的境外交易者</w:t>
      </w:r>
      <w:r w:rsidRPr="00037F1A">
        <w:rPr>
          <w:kern w:val="0"/>
          <w:szCs w:val="32"/>
        </w:rPr>
        <w:t>、客户、指定交割仓库、指定期货保证金存管银行及期货市场其他参与者进行监督管理；</w:t>
      </w:r>
    </w:p>
    <w:p w:rsidR="00B30C55" w:rsidRPr="00037F1A" w:rsidRDefault="00B30C55" w:rsidP="00B30C55">
      <w:pPr>
        <w:widowControl/>
        <w:spacing w:line="580" w:lineRule="exact"/>
        <w:ind w:firstLineChars="177" w:firstLine="566"/>
        <w:contextualSpacing/>
        <w:rPr>
          <w:kern w:val="0"/>
          <w:szCs w:val="32"/>
        </w:rPr>
      </w:pPr>
      <w:r w:rsidRPr="00037F1A">
        <w:rPr>
          <w:kern w:val="0"/>
          <w:szCs w:val="32"/>
        </w:rPr>
        <w:t>（十）建立健全各项规章制度，加强对期货交易行为的监督管理，督促会员</w:t>
      </w:r>
      <w:r w:rsidRPr="00037F1A">
        <w:rPr>
          <w:kern w:val="0"/>
          <w:szCs w:val="32"/>
          <w:shd w:val="pct15" w:color="auto" w:fill="FFFFFF"/>
        </w:rPr>
        <w:t>和境外特殊经纪参与者</w:t>
      </w:r>
      <w:r w:rsidRPr="00037F1A">
        <w:rPr>
          <w:kern w:val="0"/>
          <w:szCs w:val="32"/>
        </w:rPr>
        <w:t>加强对客户交易行为的管理；</w:t>
      </w:r>
    </w:p>
    <w:bookmarkEnd w:id="1"/>
    <w:p w:rsidR="00B30C55" w:rsidRPr="00037F1A" w:rsidRDefault="00B30C55" w:rsidP="00B30C55">
      <w:pPr>
        <w:spacing w:line="580" w:lineRule="exact"/>
        <w:ind w:firstLineChars="200" w:firstLine="640"/>
        <w:contextualSpacing/>
        <w:rPr>
          <w:szCs w:val="32"/>
        </w:rPr>
      </w:pPr>
      <w:r w:rsidRPr="00037F1A">
        <w:rPr>
          <w:szCs w:val="32"/>
        </w:rPr>
        <w:t>……</w:t>
      </w:r>
    </w:p>
    <w:p w:rsidR="00B30C55" w:rsidRPr="00037F1A" w:rsidRDefault="00B30C55" w:rsidP="00B30C55">
      <w:pPr>
        <w:widowControl/>
        <w:spacing w:line="580" w:lineRule="exact"/>
        <w:ind w:firstLineChars="208" w:firstLine="666"/>
        <w:contextualSpacing/>
        <w:rPr>
          <w:kern w:val="0"/>
          <w:szCs w:val="32"/>
        </w:rPr>
      </w:pPr>
      <w:r w:rsidRPr="00037F1A">
        <w:rPr>
          <w:kern w:val="0"/>
          <w:szCs w:val="32"/>
        </w:rPr>
        <w:t>第三十八条</w:t>
      </w:r>
      <w:r w:rsidRPr="00037F1A">
        <w:rPr>
          <w:kern w:val="0"/>
          <w:szCs w:val="32"/>
        </w:rPr>
        <w:t xml:space="preserve"> </w:t>
      </w:r>
      <w:r w:rsidRPr="00037F1A">
        <w:rPr>
          <w:kern w:val="0"/>
          <w:szCs w:val="32"/>
        </w:rPr>
        <w:t>理事会是会员大会的常设机构，对会员大会负责。</w:t>
      </w:r>
    </w:p>
    <w:p w:rsidR="00B30C55" w:rsidRPr="00037F1A" w:rsidRDefault="00B30C55" w:rsidP="00B30C55">
      <w:pPr>
        <w:widowControl/>
        <w:spacing w:line="580" w:lineRule="exact"/>
        <w:ind w:firstLineChars="208" w:firstLine="666"/>
        <w:contextualSpacing/>
        <w:rPr>
          <w:kern w:val="0"/>
          <w:szCs w:val="32"/>
        </w:rPr>
      </w:pPr>
      <w:r w:rsidRPr="00037F1A">
        <w:rPr>
          <w:kern w:val="0"/>
          <w:szCs w:val="32"/>
        </w:rPr>
        <w:t>理事会行使下列职权：</w:t>
      </w:r>
    </w:p>
    <w:p w:rsidR="00B30C55" w:rsidRPr="00037F1A" w:rsidRDefault="00B30C55" w:rsidP="00B30C55">
      <w:pPr>
        <w:widowControl/>
        <w:spacing w:line="580" w:lineRule="exact"/>
        <w:ind w:firstLineChars="208" w:firstLine="666"/>
        <w:contextualSpacing/>
        <w:rPr>
          <w:szCs w:val="32"/>
        </w:rPr>
      </w:pPr>
      <w:r w:rsidRPr="00037F1A">
        <w:rPr>
          <w:szCs w:val="32"/>
        </w:rPr>
        <w:t>……</w:t>
      </w:r>
    </w:p>
    <w:p w:rsidR="00B30C55" w:rsidRPr="00037F1A" w:rsidRDefault="00B30C55" w:rsidP="00B30C55">
      <w:pPr>
        <w:widowControl/>
        <w:spacing w:line="580" w:lineRule="exact"/>
        <w:ind w:firstLineChars="208" w:firstLine="666"/>
        <w:contextualSpacing/>
        <w:rPr>
          <w:kern w:val="0"/>
          <w:szCs w:val="32"/>
        </w:rPr>
      </w:pPr>
      <w:bookmarkStart w:id="2" w:name="_Hlk56429491"/>
      <w:r w:rsidRPr="00037F1A">
        <w:rPr>
          <w:kern w:val="0"/>
          <w:szCs w:val="32"/>
        </w:rPr>
        <w:lastRenderedPageBreak/>
        <w:t>（八）决定会员</w:t>
      </w:r>
      <w:r w:rsidRPr="00037F1A">
        <w:rPr>
          <w:kern w:val="0"/>
          <w:szCs w:val="32"/>
          <w:shd w:val="pct15" w:color="auto" w:fill="FFFFFF"/>
        </w:rPr>
        <w:t>和境外特殊参与者</w:t>
      </w:r>
      <w:r w:rsidRPr="00037F1A">
        <w:rPr>
          <w:dstrike/>
          <w:kern w:val="0"/>
          <w:szCs w:val="32"/>
        </w:rPr>
        <w:t>、直接入场交易的境外交易者和境外经纪机构</w:t>
      </w:r>
      <w:r w:rsidRPr="00037F1A">
        <w:rPr>
          <w:kern w:val="0"/>
          <w:szCs w:val="32"/>
        </w:rPr>
        <w:t>的接纳和退出；</w:t>
      </w:r>
    </w:p>
    <w:bookmarkEnd w:id="2"/>
    <w:p w:rsidR="00B30C55" w:rsidRPr="00037F1A" w:rsidRDefault="00B30C55" w:rsidP="00B30C55">
      <w:pPr>
        <w:spacing w:line="580" w:lineRule="exact"/>
        <w:ind w:firstLineChars="208" w:firstLine="666"/>
        <w:contextualSpacing/>
        <w:rPr>
          <w:szCs w:val="32"/>
        </w:rPr>
      </w:pPr>
      <w:r w:rsidRPr="00037F1A">
        <w:rPr>
          <w:szCs w:val="32"/>
        </w:rPr>
        <w:t>……</w:t>
      </w:r>
    </w:p>
    <w:p w:rsidR="00B30C55" w:rsidRPr="00037F1A" w:rsidRDefault="00B30C55" w:rsidP="00B30C55">
      <w:pPr>
        <w:widowControl/>
        <w:spacing w:line="580" w:lineRule="exact"/>
        <w:ind w:firstLineChars="213" w:firstLine="682"/>
        <w:contextualSpacing/>
        <w:rPr>
          <w:kern w:val="0"/>
          <w:szCs w:val="32"/>
        </w:rPr>
      </w:pPr>
      <w:bookmarkStart w:id="3" w:name="_Hlk56429465"/>
      <w:r w:rsidRPr="00037F1A">
        <w:rPr>
          <w:kern w:val="0"/>
          <w:szCs w:val="32"/>
        </w:rPr>
        <w:t>第五十四条</w:t>
      </w:r>
      <w:r w:rsidRPr="00037F1A">
        <w:rPr>
          <w:kern w:val="0"/>
          <w:szCs w:val="32"/>
        </w:rPr>
        <w:t xml:space="preserve"> </w:t>
      </w:r>
      <w:r w:rsidRPr="00037F1A">
        <w:rPr>
          <w:kern w:val="0"/>
          <w:szCs w:val="32"/>
        </w:rPr>
        <w:t>监事会成员不得少于五人。</w:t>
      </w:r>
    </w:p>
    <w:p w:rsidR="00B30C55" w:rsidRPr="00037F1A" w:rsidRDefault="00B30C55" w:rsidP="00B30C55">
      <w:pPr>
        <w:widowControl/>
        <w:spacing w:line="580" w:lineRule="exact"/>
        <w:ind w:firstLineChars="213" w:firstLine="682"/>
        <w:contextualSpacing/>
        <w:rPr>
          <w:kern w:val="0"/>
          <w:szCs w:val="32"/>
        </w:rPr>
      </w:pPr>
      <w:r w:rsidRPr="00037F1A">
        <w:rPr>
          <w:kern w:val="0"/>
          <w:szCs w:val="32"/>
        </w:rPr>
        <w:t>监事会应当包括会员监事、专职监事和职工监事。监事会每届任期</w:t>
      </w:r>
      <w:r w:rsidRPr="00037F1A">
        <w:rPr>
          <w:kern w:val="0"/>
          <w:szCs w:val="32"/>
        </w:rPr>
        <w:t>3</w:t>
      </w:r>
      <w:r w:rsidRPr="00037F1A">
        <w:rPr>
          <w:kern w:val="0"/>
          <w:szCs w:val="32"/>
        </w:rPr>
        <w:t>年。会员监事</w:t>
      </w:r>
      <w:r w:rsidRPr="00037F1A">
        <w:rPr>
          <w:kern w:val="0"/>
          <w:szCs w:val="32"/>
          <w:shd w:val="pct15" w:color="auto" w:fill="FFFFFF"/>
        </w:rPr>
        <w:t>由监事会或者</w:t>
      </w:r>
      <w:r w:rsidRPr="00037F1A">
        <w:rPr>
          <w:kern w:val="0"/>
          <w:szCs w:val="32"/>
          <w:shd w:val="pct15" w:color="auto" w:fill="FFFFFF"/>
        </w:rPr>
        <w:t>1/5</w:t>
      </w:r>
      <w:r w:rsidRPr="00037F1A">
        <w:rPr>
          <w:kern w:val="0"/>
          <w:szCs w:val="32"/>
          <w:shd w:val="pct15" w:color="auto" w:fill="FFFFFF"/>
        </w:rPr>
        <w:t>以上会员联合提名，</w:t>
      </w:r>
      <w:r w:rsidRPr="00037F1A">
        <w:rPr>
          <w:kern w:val="0"/>
          <w:szCs w:val="32"/>
        </w:rPr>
        <w:t>由会员大会差额选举产生。专职监事由中国证监会委派。职工监事的占比应不低于监事会人数的</w:t>
      </w:r>
      <w:r w:rsidRPr="00037F1A">
        <w:rPr>
          <w:kern w:val="0"/>
          <w:szCs w:val="32"/>
        </w:rPr>
        <w:t>1/3</w:t>
      </w:r>
      <w:r w:rsidRPr="00037F1A">
        <w:rPr>
          <w:kern w:val="0"/>
          <w:szCs w:val="32"/>
        </w:rPr>
        <w:t>，由交易所职工民主差额选举产生。</w:t>
      </w:r>
    </w:p>
    <w:p w:rsidR="00B30C55" w:rsidRPr="00037F1A" w:rsidRDefault="00B30C55" w:rsidP="00B30C55">
      <w:pPr>
        <w:spacing w:line="580" w:lineRule="exact"/>
        <w:ind w:firstLineChars="200" w:firstLine="640"/>
        <w:contextualSpacing/>
        <w:rPr>
          <w:kern w:val="0"/>
          <w:szCs w:val="32"/>
        </w:rPr>
      </w:pPr>
      <w:r w:rsidRPr="00037F1A">
        <w:rPr>
          <w:kern w:val="0"/>
          <w:szCs w:val="32"/>
        </w:rPr>
        <w:t>理事、高级管理人员不得兼任监事。</w:t>
      </w:r>
      <w:bookmarkEnd w:id="3"/>
    </w:p>
    <w:p w:rsidR="00B30C55" w:rsidRPr="00037F1A" w:rsidRDefault="00B30C55" w:rsidP="00B30C55">
      <w:pPr>
        <w:widowControl/>
        <w:shd w:val="clear" w:color="auto" w:fill="FFFFFF"/>
        <w:spacing w:line="580" w:lineRule="exact"/>
        <w:ind w:firstLine="640"/>
        <w:contextualSpacing/>
        <w:rPr>
          <w:kern w:val="0"/>
          <w:szCs w:val="32"/>
        </w:rPr>
      </w:pPr>
      <w:bookmarkStart w:id="4" w:name="_Hlk56429437"/>
      <w:r w:rsidRPr="00037F1A">
        <w:rPr>
          <w:szCs w:val="32"/>
          <w:shd w:val="pct15" w:color="auto" w:fill="FFFFFF"/>
        </w:rPr>
        <w:t>第六十四条</w:t>
      </w:r>
      <w:r w:rsidRPr="00037F1A">
        <w:rPr>
          <w:szCs w:val="32"/>
          <w:shd w:val="pct15" w:color="auto" w:fill="FFFFFF"/>
        </w:rPr>
        <w:t xml:space="preserve"> </w:t>
      </w:r>
      <w:r w:rsidRPr="00037F1A">
        <w:rPr>
          <w:szCs w:val="32"/>
          <w:shd w:val="pct15" w:color="auto" w:fill="FFFFFF"/>
        </w:rPr>
        <w:t>交易所实行异常情况处理制度。</w:t>
      </w:r>
      <w:bookmarkStart w:id="5" w:name="_Hlk53134003"/>
      <w:r w:rsidRPr="00037F1A">
        <w:rPr>
          <w:szCs w:val="32"/>
          <w:shd w:val="pct15" w:color="auto" w:fill="FFFFFF"/>
        </w:rPr>
        <w:t>理事会或者总经理可以按照相关业务规则，认定出现异常情况，并决定采取紧急措施</w:t>
      </w:r>
      <w:bookmarkEnd w:id="5"/>
      <w:r w:rsidRPr="00037F1A">
        <w:rPr>
          <w:szCs w:val="32"/>
          <w:shd w:val="pct15" w:color="auto" w:fill="FFFFFF"/>
        </w:rPr>
        <w:t>。</w:t>
      </w:r>
      <w:bookmarkEnd w:id="4"/>
    </w:p>
    <w:p w:rsidR="00B30C55" w:rsidRPr="00037F1A" w:rsidRDefault="00B30C55" w:rsidP="00B30C55">
      <w:pPr>
        <w:spacing w:line="580" w:lineRule="exact"/>
        <w:ind w:firstLineChars="200" w:firstLine="640"/>
        <w:contextualSpacing/>
        <w:rPr>
          <w:kern w:val="0"/>
          <w:szCs w:val="32"/>
        </w:rPr>
      </w:pPr>
      <w:bookmarkStart w:id="6" w:name="_Hlk56429417"/>
      <w:r w:rsidRPr="00037F1A">
        <w:rPr>
          <w:kern w:val="0"/>
          <w:szCs w:val="32"/>
        </w:rPr>
        <w:t>第七十</w:t>
      </w:r>
      <w:r w:rsidRPr="00037F1A">
        <w:rPr>
          <w:dstrike/>
          <w:kern w:val="0"/>
          <w:szCs w:val="32"/>
        </w:rPr>
        <w:t>一</w:t>
      </w:r>
      <w:r w:rsidRPr="00037F1A">
        <w:rPr>
          <w:kern w:val="0"/>
          <w:szCs w:val="32"/>
          <w:shd w:val="pct15" w:color="auto" w:fill="FFFFFF"/>
        </w:rPr>
        <w:t>二</w:t>
      </w:r>
      <w:r w:rsidRPr="00037F1A">
        <w:rPr>
          <w:kern w:val="0"/>
          <w:szCs w:val="32"/>
        </w:rPr>
        <w:t>条</w:t>
      </w:r>
      <w:r w:rsidRPr="00037F1A">
        <w:rPr>
          <w:kern w:val="0"/>
          <w:szCs w:val="32"/>
        </w:rPr>
        <w:t xml:space="preserve"> </w:t>
      </w:r>
      <w:r w:rsidRPr="00037F1A">
        <w:rPr>
          <w:kern w:val="0"/>
          <w:szCs w:val="32"/>
        </w:rPr>
        <w:t>交易所对违规行为，视情节轻重和后果大小，可单处或并处警告、通报批评、暂停开仓交易、强行平仓、暂停期货、期权业务、罚款、没收违规所得、取消会员</w:t>
      </w:r>
      <w:r w:rsidRPr="00037F1A">
        <w:rPr>
          <w:kern w:val="0"/>
          <w:szCs w:val="32"/>
          <w:shd w:val="pct15" w:color="auto" w:fill="FFFFFF"/>
        </w:rPr>
        <w:t>、境外特殊参与者</w:t>
      </w:r>
      <w:r w:rsidRPr="00037F1A">
        <w:rPr>
          <w:kern w:val="0"/>
          <w:szCs w:val="32"/>
        </w:rPr>
        <w:t>资格或市场禁止进入等处罚。</w:t>
      </w:r>
    </w:p>
    <w:p w:rsidR="00B30C55" w:rsidRPr="00037F1A" w:rsidRDefault="00B30C55" w:rsidP="00B30C55">
      <w:pPr>
        <w:widowControl/>
        <w:spacing w:line="580" w:lineRule="exact"/>
        <w:ind w:firstLineChars="208" w:firstLine="666"/>
        <w:contextualSpacing/>
        <w:rPr>
          <w:kern w:val="0"/>
          <w:szCs w:val="32"/>
        </w:rPr>
      </w:pPr>
      <w:bookmarkStart w:id="7" w:name="_Hlk56429395"/>
      <w:bookmarkEnd w:id="6"/>
      <w:r w:rsidRPr="00037F1A">
        <w:rPr>
          <w:kern w:val="0"/>
          <w:szCs w:val="32"/>
        </w:rPr>
        <w:t>第七十</w:t>
      </w:r>
      <w:r w:rsidRPr="00037F1A">
        <w:rPr>
          <w:dstrike/>
          <w:kern w:val="0"/>
          <w:szCs w:val="32"/>
        </w:rPr>
        <w:t>八</w:t>
      </w:r>
      <w:r w:rsidRPr="00037F1A">
        <w:rPr>
          <w:kern w:val="0"/>
          <w:szCs w:val="32"/>
          <w:shd w:val="pct15" w:color="auto" w:fill="FFFFFF"/>
        </w:rPr>
        <w:t>九</w:t>
      </w:r>
      <w:r w:rsidRPr="00037F1A">
        <w:rPr>
          <w:kern w:val="0"/>
          <w:szCs w:val="32"/>
        </w:rPr>
        <w:t>条</w:t>
      </w:r>
      <w:r w:rsidRPr="00037F1A">
        <w:rPr>
          <w:kern w:val="0"/>
          <w:szCs w:val="32"/>
        </w:rPr>
        <w:t xml:space="preserve"> </w:t>
      </w:r>
      <w:r w:rsidRPr="00037F1A">
        <w:rPr>
          <w:kern w:val="0"/>
          <w:szCs w:val="32"/>
        </w:rPr>
        <w:t>会员、</w:t>
      </w:r>
      <w:r w:rsidRPr="00037F1A">
        <w:rPr>
          <w:kern w:val="0"/>
          <w:szCs w:val="32"/>
          <w:shd w:val="pct15" w:color="auto" w:fill="FFFFFF"/>
        </w:rPr>
        <w:t>境外特殊参与者、境外中介机构</w:t>
      </w:r>
      <w:r w:rsidRPr="00037F1A">
        <w:rPr>
          <w:dstrike/>
          <w:kern w:val="0"/>
          <w:szCs w:val="32"/>
        </w:rPr>
        <w:t>境外经纪机构、直接入场交易的境外交易者</w:t>
      </w:r>
      <w:r w:rsidRPr="00037F1A">
        <w:rPr>
          <w:kern w:val="0"/>
          <w:szCs w:val="32"/>
        </w:rPr>
        <w:t>、客户、指定交割仓库、指定期货保证金存管银行及期货市场其他参与者之间因期货交易发生争议，协商无效的，可以提请交易所调解或者直接依法提请仲裁或诉讼。</w:t>
      </w:r>
    </w:p>
    <w:p w:rsidR="00B30C55" w:rsidRPr="00037F1A" w:rsidRDefault="00B30C55" w:rsidP="00B30C55">
      <w:pPr>
        <w:spacing w:line="580" w:lineRule="exact"/>
        <w:ind w:firstLineChars="177" w:firstLine="566"/>
        <w:contextualSpacing/>
        <w:jc w:val="left"/>
        <w:rPr>
          <w:kern w:val="0"/>
          <w:szCs w:val="32"/>
        </w:rPr>
      </w:pPr>
      <w:r w:rsidRPr="00037F1A">
        <w:rPr>
          <w:kern w:val="0"/>
          <w:szCs w:val="32"/>
        </w:rPr>
        <w:lastRenderedPageBreak/>
        <w:t>会员、</w:t>
      </w:r>
      <w:r w:rsidRPr="00037F1A">
        <w:rPr>
          <w:kern w:val="0"/>
          <w:szCs w:val="32"/>
          <w:shd w:val="pct15" w:color="auto" w:fill="FFFFFF"/>
        </w:rPr>
        <w:t>境外特殊参与者、境外中介机构</w:t>
      </w:r>
      <w:r w:rsidRPr="00037F1A">
        <w:rPr>
          <w:dstrike/>
          <w:kern w:val="0"/>
          <w:szCs w:val="32"/>
        </w:rPr>
        <w:t>境外经纪机构、直接入场交易的境外交易者</w:t>
      </w:r>
      <w:r w:rsidRPr="00037F1A">
        <w:rPr>
          <w:kern w:val="0"/>
          <w:szCs w:val="32"/>
        </w:rPr>
        <w:t>、客户、指定交割仓库、指定期货保证金存管银行及期货市场其他参与者与交易所之间发生争议，协商无效的，应当向中华人民共和国境内的仲裁机构申请仲裁或者人民法院提起诉讼，并适用中华人民共和国法律。</w:t>
      </w:r>
    </w:p>
    <w:bookmarkEnd w:id="7"/>
    <w:p w:rsidR="00B30C55" w:rsidRPr="00037F1A" w:rsidRDefault="00B30C55" w:rsidP="00B30C55">
      <w:pPr>
        <w:spacing w:line="580" w:lineRule="exact"/>
        <w:ind w:firstLineChars="177" w:firstLine="566"/>
        <w:contextualSpacing/>
        <w:jc w:val="left"/>
        <w:rPr>
          <w:kern w:val="0"/>
          <w:szCs w:val="32"/>
        </w:rPr>
      </w:pPr>
      <w:r w:rsidRPr="00037F1A">
        <w:rPr>
          <w:kern w:val="0"/>
          <w:szCs w:val="32"/>
        </w:rPr>
        <w:t>第八十</w:t>
      </w:r>
      <w:r w:rsidRPr="00037F1A">
        <w:rPr>
          <w:dstrike/>
          <w:kern w:val="0"/>
          <w:szCs w:val="32"/>
        </w:rPr>
        <w:t>四</w:t>
      </w:r>
      <w:r w:rsidRPr="00037F1A">
        <w:rPr>
          <w:kern w:val="0"/>
          <w:szCs w:val="32"/>
          <w:shd w:val="pct15" w:color="auto" w:fill="FFFFFF"/>
        </w:rPr>
        <w:t>五</w:t>
      </w:r>
      <w:r w:rsidRPr="00037F1A">
        <w:rPr>
          <w:kern w:val="0"/>
          <w:szCs w:val="32"/>
        </w:rPr>
        <w:t>条</w:t>
      </w:r>
      <w:r w:rsidRPr="00037F1A">
        <w:rPr>
          <w:kern w:val="0"/>
          <w:szCs w:val="32"/>
        </w:rPr>
        <w:t xml:space="preserve"> </w:t>
      </w:r>
      <w:r w:rsidRPr="00037F1A">
        <w:rPr>
          <w:kern w:val="0"/>
          <w:szCs w:val="32"/>
        </w:rPr>
        <w:t>本章程自</w:t>
      </w:r>
      <w:r w:rsidRPr="00037F1A">
        <w:rPr>
          <w:dstrike/>
          <w:kern w:val="0"/>
          <w:szCs w:val="32"/>
        </w:rPr>
        <w:t>2019</w:t>
      </w:r>
      <w:r w:rsidRPr="00037F1A">
        <w:rPr>
          <w:kern w:val="0"/>
          <w:szCs w:val="32"/>
          <w:shd w:val="pct15" w:color="auto" w:fill="FFFFFF"/>
        </w:rPr>
        <w:t>2021</w:t>
      </w:r>
      <w:r w:rsidRPr="00037F1A">
        <w:rPr>
          <w:kern w:val="0"/>
          <w:szCs w:val="32"/>
        </w:rPr>
        <w:t>年</w:t>
      </w:r>
      <w:proofErr w:type="gramStart"/>
      <w:r w:rsidRPr="00037F1A">
        <w:rPr>
          <w:dstrike/>
          <w:kern w:val="0"/>
          <w:szCs w:val="32"/>
        </w:rPr>
        <w:t>8</w:t>
      </w:r>
      <w:r w:rsidRPr="00037F1A">
        <w:rPr>
          <w:kern w:val="0"/>
          <w:szCs w:val="32"/>
          <w:shd w:val="pct15" w:color="auto" w:fill="FFFFFF"/>
        </w:rPr>
        <w:t>1</w:t>
      </w:r>
      <w:proofErr w:type="gramEnd"/>
      <w:r w:rsidRPr="00037F1A">
        <w:rPr>
          <w:kern w:val="0"/>
          <w:szCs w:val="32"/>
        </w:rPr>
        <w:t>月</w:t>
      </w:r>
      <w:r w:rsidRPr="00037F1A">
        <w:rPr>
          <w:dstrike/>
          <w:kern w:val="0"/>
          <w:szCs w:val="32"/>
        </w:rPr>
        <w:t>1</w:t>
      </w:r>
      <w:r w:rsidRPr="00037F1A">
        <w:rPr>
          <w:kern w:val="0"/>
          <w:szCs w:val="32"/>
          <w:shd w:val="pct15" w:color="auto" w:fill="FFFFFF"/>
        </w:rPr>
        <w:t>22</w:t>
      </w:r>
      <w:r w:rsidRPr="00037F1A">
        <w:rPr>
          <w:kern w:val="0"/>
          <w:szCs w:val="32"/>
        </w:rPr>
        <w:t>日起实施。</w:t>
      </w:r>
    </w:p>
    <w:p w:rsidR="00B30C55" w:rsidRPr="00037F1A" w:rsidRDefault="00B30C55" w:rsidP="00B30C55">
      <w:pPr>
        <w:spacing w:line="580" w:lineRule="exact"/>
        <w:ind w:firstLineChars="200" w:firstLine="480"/>
        <w:contextualSpacing/>
        <w:rPr>
          <w:kern w:val="0"/>
          <w:sz w:val="24"/>
        </w:rPr>
      </w:pPr>
    </w:p>
    <w:p w:rsidR="00B30C55" w:rsidRPr="00037F1A" w:rsidRDefault="00B30C55" w:rsidP="00B30C55">
      <w:pPr>
        <w:spacing w:line="580" w:lineRule="exact"/>
        <w:ind w:firstLineChars="200" w:firstLine="480"/>
        <w:contextualSpacing/>
        <w:rPr>
          <w:b/>
          <w:bCs/>
          <w:szCs w:val="32"/>
        </w:rPr>
      </w:pPr>
      <w:r w:rsidRPr="00037F1A">
        <w:rPr>
          <w:kern w:val="0"/>
          <w:sz w:val="24"/>
        </w:rPr>
        <w:t>注：阴影部分为新增内容，双划线部分为删除内容，</w:t>
      </w:r>
      <w:r w:rsidRPr="00037F1A">
        <w:rPr>
          <w:kern w:val="0"/>
          <w:sz w:val="24"/>
        </w:rPr>
        <w:t>“……”</w:t>
      </w:r>
      <w:r w:rsidRPr="00037F1A">
        <w:rPr>
          <w:kern w:val="0"/>
          <w:sz w:val="24"/>
        </w:rPr>
        <w:t>（省略号）含义为该条款未修改的其他内容；出现条款增删的，其他条款顺序依次顺延。</w:t>
      </w:r>
    </w:p>
    <w:p w:rsidR="004720DA" w:rsidRPr="00B30C55" w:rsidRDefault="004720DA">
      <w:bookmarkStart w:id="8" w:name="_GoBack"/>
      <w:bookmarkEnd w:id="8"/>
    </w:p>
    <w:sectPr w:rsidR="004720DA" w:rsidRPr="00B30C55" w:rsidSect="00373949">
      <w:footerReference w:type="default" r:id="rId6"/>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55" w:rsidRDefault="00B30C55" w:rsidP="00B30C55">
      <w:r>
        <w:separator/>
      </w:r>
    </w:p>
  </w:endnote>
  <w:endnote w:type="continuationSeparator" w:id="0">
    <w:p w:rsidR="00B30C55" w:rsidRDefault="00B30C55" w:rsidP="00B3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14784"/>
      <w:docPartObj>
        <w:docPartGallery w:val="Page Numbers (Bottom of Page)"/>
        <w:docPartUnique/>
      </w:docPartObj>
    </w:sdtPr>
    <w:sdtContent>
      <w:p w:rsidR="00373949" w:rsidRDefault="00373949" w:rsidP="00373949">
        <w:pPr>
          <w:pStyle w:val="a5"/>
          <w:jc w:val="center"/>
          <w:rPr>
            <w:rFonts w:hint="eastAsia"/>
          </w:rPr>
        </w:pPr>
        <w:r>
          <w:fldChar w:fldCharType="begin"/>
        </w:r>
        <w:r>
          <w:instrText>PAGE   \* MERGEFORMAT</w:instrText>
        </w:r>
        <w:r>
          <w:fldChar w:fldCharType="separate"/>
        </w:r>
        <w:r w:rsidRPr="00373949">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55" w:rsidRDefault="00B30C55" w:rsidP="00B30C55">
      <w:r>
        <w:separator/>
      </w:r>
    </w:p>
  </w:footnote>
  <w:footnote w:type="continuationSeparator" w:id="0">
    <w:p w:rsidR="00B30C55" w:rsidRDefault="00B30C55" w:rsidP="00B3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0F"/>
    <w:rsid w:val="00373949"/>
    <w:rsid w:val="004720DA"/>
    <w:rsid w:val="004D3A0F"/>
    <w:rsid w:val="00B3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726D"/>
  <w15:chartTrackingRefBased/>
  <w15:docId w15:val="{D1042A3B-AE4A-4EFB-8E86-23DB205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5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C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0C55"/>
    <w:rPr>
      <w:sz w:val="18"/>
      <w:szCs w:val="18"/>
    </w:rPr>
  </w:style>
  <w:style w:type="paragraph" w:styleId="a5">
    <w:name w:val="footer"/>
    <w:basedOn w:val="a"/>
    <w:link w:val="a6"/>
    <w:uiPriority w:val="99"/>
    <w:unhideWhenUsed/>
    <w:rsid w:val="00B30C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0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763</Characters>
  <Application>Microsoft Office Word</Application>
  <DocSecurity>0</DocSecurity>
  <Lines>19</Lines>
  <Paragraphs>9</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2021-01-22T01:38:00Z</dcterms:created>
  <dcterms:modified xsi:type="dcterms:W3CDTF">2021-01-22T01:51:00Z</dcterms:modified>
</cp:coreProperties>
</file>